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2DA0" w14:textId="4ED73137" w:rsidR="0083731E" w:rsidRPr="009A1DB5" w:rsidRDefault="009A1DB5" w:rsidP="009A1DB5">
      <w:pPr>
        <w:suppressLineNumbers/>
        <w:spacing w:line="480" w:lineRule="auto"/>
        <w:jc w:val="center"/>
        <w:rPr>
          <w:rFonts w:ascii="Arial" w:hAnsi="Arial" w:cs="Arial"/>
          <w:b/>
          <w:bCs/>
          <w:sz w:val="22"/>
          <w:szCs w:val="22"/>
        </w:rPr>
      </w:pPr>
      <w:r w:rsidRPr="009A1DB5">
        <w:rPr>
          <w:rFonts w:ascii="Arial" w:hAnsi="Arial" w:cs="Arial"/>
          <w:b/>
          <w:bCs/>
          <w:sz w:val="22"/>
          <w:szCs w:val="22"/>
        </w:rPr>
        <w:t>POSITION PAPER #</w:t>
      </w:r>
      <w:r w:rsidR="006172A9">
        <w:rPr>
          <w:rFonts w:ascii="Arial" w:hAnsi="Arial" w:cs="Arial"/>
          <w:b/>
          <w:bCs/>
          <w:sz w:val="22"/>
          <w:szCs w:val="22"/>
        </w:rPr>
        <w:t>1</w:t>
      </w:r>
    </w:p>
    <w:p w14:paraId="57665643" w14:textId="0FF4E71F" w:rsidR="0089560E" w:rsidRPr="009A1DB5" w:rsidRDefault="00814BB6" w:rsidP="009A1DB5">
      <w:pPr>
        <w:suppressLineNumbers/>
        <w:spacing w:line="480" w:lineRule="auto"/>
        <w:jc w:val="center"/>
        <w:rPr>
          <w:rFonts w:ascii="Arial" w:hAnsi="Arial" w:cs="Arial"/>
          <w:bCs/>
          <w:sz w:val="22"/>
          <w:szCs w:val="22"/>
        </w:rPr>
      </w:pPr>
      <w:r w:rsidRPr="009A1DB5">
        <w:rPr>
          <w:rFonts w:ascii="Arial" w:hAnsi="Arial" w:cs="Arial"/>
          <w:b/>
          <w:bCs/>
          <w:sz w:val="22"/>
          <w:szCs w:val="22"/>
        </w:rPr>
        <w:t>FARMLAND ASSESSMENT IN NEW JERSEY</w:t>
      </w:r>
    </w:p>
    <w:p w14:paraId="08F155E6" w14:textId="77777777" w:rsidR="009A1DB5" w:rsidRDefault="009A1DB5" w:rsidP="009A1DB5">
      <w:pPr>
        <w:suppressLineNumbers/>
        <w:spacing w:line="480" w:lineRule="auto"/>
        <w:rPr>
          <w:rFonts w:ascii="Arial" w:hAnsi="Arial" w:cs="Arial"/>
          <w:b/>
          <w:i/>
          <w:color w:val="000000" w:themeColor="text1"/>
          <w:sz w:val="22"/>
          <w:szCs w:val="22"/>
          <w:u w:val="single"/>
        </w:rPr>
      </w:pPr>
    </w:p>
    <w:p w14:paraId="330502FE" w14:textId="3AE54769" w:rsidR="005B0580" w:rsidRPr="009A1DB5" w:rsidRDefault="005B0580" w:rsidP="009A1DB5">
      <w:pPr>
        <w:spacing w:line="480" w:lineRule="auto"/>
        <w:rPr>
          <w:rFonts w:ascii="Arial" w:hAnsi="Arial" w:cs="Arial"/>
          <w:bCs/>
          <w:iCs/>
          <w:color w:val="000000" w:themeColor="text1"/>
          <w:sz w:val="22"/>
          <w:szCs w:val="22"/>
        </w:rPr>
      </w:pPr>
      <w:r w:rsidRPr="009A1DB5">
        <w:rPr>
          <w:rFonts w:ascii="Arial" w:hAnsi="Arial" w:cs="Arial"/>
          <w:b/>
          <w:i/>
          <w:color w:val="000000" w:themeColor="text1"/>
          <w:sz w:val="22"/>
          <w:szCs w:val="22"/>
          <w:u w:val="single"/>
        </w:rPr>
        <w:t>Position</w:t>
      </w:r>
      <w:r w:rsidRPr="009A1DB5">
        <w:rPr>
          <w:rFonts w:ascii="Arial" w:hAnsi="Arial" w:cs="Arial"/>
          <w:b/>
          <w:i/>
          <w:color w:val="000000" w:themeColor="text1"/>
          <w:sz w:val="22"/>
          <w:szCs w:val="22"/>
        </w:rPr>
        <w:t xml:space="preserve">: </w:t>
      </w:r>
      <w:r w:rsidRPr="009A1DB5">
        <w:rPr>
          <w:rFonts w:ascii="Arial" w:hAnsi="Arial" w:cs="Arial"/>
          <w:bCs/>
          <w:iCs/>
          <w:color w:val="000000" w:themeColor="text1"/>
          <w:sz w:val="22"/>
          <w:szCs w:val="22"/>
        </w:rPr>
        <w:t xml:space="preserve">The </w:t>
      </w:r>
      <w:r w:rsidR="00572B49" w:rsidRPr="009A1DB5">
        <w:rPr>
          <w:rFonts w:ascii="Arial" w:hAnsi="Arial" w:cs="Arial"/>
          <w:bCs/>
          <w:iCs/>
          <w:color w:val="000000" w:themeColor="text1"/>
          <w:sz w:val="22"/>
          <w:szCs w:val="22"/>
        </w:rPr>
        <w:t>differential</w:t>
      </w:r>
      <w:r w:rsidRPr="009A1DB5">
        <w:rPr>
          <w:rFonts w:ascii="Arial" w:hAnsi="Arial" w:cs="Arial"/>
          <w:bCs/>
          <w:iCs/>
          <w:color w:val="000000" w:themeColor="text1"/>
          <w:sz w:val="22"/>
          <w:szCs w:val="22"/>
        </w:rPr>
        <w:t>-</w:t>
      </w:r>
      <w:r w:rsidR="00572B49" w:rsidRPr="009A1DB5">
        <w:rPr>
          <w:rFonts w:ascii="Arial" w:hAnsi="Arial" w:cs="Arial"/>
          <w:bCs/>
          <w:iCs/>
          <w:color w:val="000000" w:themeColor="text1"/>
          <w:sz w:val="22"/>
          <w:szCs w:val="22"/>
        </w:rPr>
        <w:t>tax</w:t>
      </w:r>
      <w:r w:rsidRPr="009A1DB5">
        <w:rPr>
          <w:rFonts w:ascii="Arial" w:hAnsi="Arial" w:cs="Arial"/>
          <w:bCs/>
          <w:iCs/>
          <w:color w:val="000000" w:themeColor="text1"/>
          <w:sz w:val="22"/>
          <w:szCs w:val="22"/>
        </w:rPr>
        <w:t xml:space="preserve"> benefits of Farmland Assessment are crucial to enabling farmers to stay on their land and </w:t>
      </w:r>
      <w:r w:rsidR="006A1F78" w:rsidRPr="009A1DB5">
        <w:rPr>
          <w:rFonts w:ascii="Arial" w:hAnsi="Arial" w:cs="Arial"/>
          <w:bCs/>
          <w:iCs/>
          <w:color w:val="000000" w:themeColor="text1"/>
          <w:sz w:val="22"/>
          <w:szCs w:val="22"/>
        </w:rPr>
        <w:t xml:space="preserve">use it to </w:t>
      </w:r>
      <w:r w:rsidRPr="009A1DB5">
        <w:rPr>
          <w:rFonts w:ascii="Arial" w:hAnsi="Arial" w:cs="Arial"/>
          <w:bCs/>
          <w:iCs/>
          <w:color w:val="000000" w:themeColor="text1"/>
          <w:sz w:val="22"/>
          <w:szCs w:val="22"/>
        </w:rPr>
        <w:t xml:space="preserve">continue farming in the face of development pressures, most recently embodied by the drive by developers to buy farmland for warehousing projects. Farmland Assessment, as a prerequisite to Farmland Preservation, also aids in permanent preservation of farm properties, which further stems development of the remaining agricultural landscape.     </w:t>
      </w:r>
    </w:p>
    <w:p w14:paraId="4695CDAB" w14:textId="660A7B58" w:rsidR="00A66491" w:rsidRPr="009A1DB5" w:rsidRDefault="007314E5" w:rsidP="009A1DB5">
      <w:pPr>
        <w:spacing w:line="480" w:lineRule="auto"/>
        <w:rPr>
          <w:rFonts w:ascii="Arial" w:hAnsi="Arial" w:cs="Arial"/>
          <w:b/>
          <w:i/>
          <w:sz w:val="22"/>
          <w:szCs w:val="22"/>
        </w:rPr>
      </w:pPr>
      <w:r w:rsidRPr="009A1DB5">
        <w:rPr>
          <w:rFonts w:ascii="Arial" w:hAnsi="Arial" w:cs="Arial"/>
          <w:b/>
          <w:i/>
          <w:sz w:val="22"/>
          <w:szCs w:val="22"/>
          <w:u w:val="single"/>
        </w:rPr>
        <w:t>Issue</w:t>
      </w:r>
      <w:r w:rsidRPr="009A1DB5">
        <w:rPr>
          <w:rFonts w:ascii="Arial" w:hAnsi="Arial" w:cs="Arial"/>
          <w:b/>
          <w:i/>
          <w:sz w:val="22"/>
          <w:szCs w:val="22"/>
        </w:rPr>
        <w:t>:</w:t>
      </w:r>
      <w:r w:rsidR="00A66491" w:rsidRPr="009A1DB5">
        <w:rPr>
          <w:rFonts w:ascii="Arial" w:hAnsi="Arial" w:cs="Arial"/>
          <w:b/>
          <w:i/>
          <w:sz w:val="22"/>
          <w:szCs w:val="22"/>
        </w:rPr>
        <w:t xml:space="preserve"> </w:t>
      </w:r>
      <w:r w:rsidR="00A66491" w:rsidRPr="009A1DB5">
        <w:rPr>
          <w:rFonts w:ascii="Arial" w:hAnsi="Arial" w:cs="Arial"/>
          <w:bCs/>
          <w:iCs/>
          <w:sz w:val="22"/>
          <w:szCs w:val="22"/>
        </w:rPr>
        <w:t xml:space="preserve">New Jersey’s Farmland Assessment Program provides a lower property-tax rate on land dedicated </w:t>
      </w:r>
      <w:r w:rsidR="006A1F78" w:rsidRPr="009A1DB5">
        <w:rPr>
          <w:rFonts w:ascii="Arial" w:hAnsi="Arial" w:cs="Arial"/>
          <w:bCs/>
          <w:iCs/>
          <w:sz w:val="22"/>
          <w:szCs w:val="22"/>
        </w:rPr>
        <w:t>for use in</w:t>
      </w:r>
      <w:r w:rsidR="00A66491" w:rsidRPr="009A1DB5">
        <w:rPr>
          <w:rFonts w:ascii="Arial" w:hAnsi="Arial" w:cs="Arial"/>
          <w:bCs/>
          <w:iCs/>
          <w:sz w:val="22"/>
          <w:szCs w:val="22"/>
        </w:rPr>
        <w:t xml:space="preserve"> agricultural production, although the farmhouse and some agricultural buildings are taxed at the full rate. This has helped many farmers remain financially viable so they can continue to farm instead of selling their land to developers. However, the program occasionally comes under fire for not requiring a high enough value of agricultural products that must be sold to qualify for the tax reduction</w:t>
      </w:r>
      <w:r w:rsidR="003C2B40" w:rsidRPr="009A1DB5">
        <w:rPr>
          <w:rFonts w:ascii="Arial" w:hAnsi="Arial" w:cs="Arial"/>
          <w:bCs/>
          <w:iCs/>
          <w:sz w:val="22"/>
          <w:szCs w:val="22"/>
        </w:rPr>
        <w:t xml:space="preserve">, leading some to consider small properties that still qualify for the program “fake farmers.” </w:t>
      </w:r>
      <w:r w:rsidR="006A1F78" w:rsidRPr="009A1DB5">
        <w:rPr>
          <w:rFonts w:ascii="Arial" w:hAnsi="Arial" w:cs="Arial"/>
          <w:bCs/>
          <w:iCs/>
          <w:sz w:val="22"/>
          <w:szCs w:val="22"/>
        </w:rPr>
        <w:t xml:space="preserve">Recently, the </w:t>
      </w:r>
      <w:r w:rsidR="00A66491" w:rsidRPr="009A1DB5">
        <w:rPr>
          <w:rFonts w:ascii="Arial" w:hAnsi="Arial" w:cs="Arial"/>
          <w:bCs/>
          <w:iCs/>
          <w:sz w:val="22"/>
          <w:szCs w:val="22"/>
        </w:rPr>
        <w:t xml:space="preserve">gross sales of agricultural products coming from the land in question </w:t>
      </w:r>
      <w:r w:rsidR="006A1F78" w:rsidRPr="009A1DB5">
        <w:rPr>
          <w:rFonts w:ascii="Arial" w:hAnsi="Arial" w:cs="Arial"/>
          <w:bCs/>
          <w:iCs/>
          <w:sz w:val="22"/>
          <w:szCs w:val="22"/>
        </w:rPr>
        <w:t xml:space="preserve">was changed </w:t>
      </w:r>
      <w:proofErr w:type="gramStart"/>
      <w:r w:rsidR="006A1F78" w:rsidRPr="009A1DB5">
        <w:rPr>
          <w:rFonts w:ascii="Arial" w:hAnsi="Arial" w:cs="Arial"/>
          <w:bCs/>
          <w:iCs/>
          <w:sz w:val="22"/>
          <w:szCs w:val="22"/>
        </w:rPr>
        <w:t>to be</w:t>
      </w:r>
      <w:proofErr w:type="gramEnd"/>
      <w:r w:rsidR="00A66491" w:rsidRPr="009A1DB5">
        <w:rPr>
          <w:rFonts w:ascii="Arial" w:hAnsi="Arial" w:cs="Arial"/>
          <w:bCs/>
          <w:iCs/>
          <w:sz w:val="22"/>
          <w:szCs w:val="22"/>
        </w:rPr>
        <w:t xml:space="preserve"> </w:t>
      </w:r>
      <w:r w:rsidR="006A1F78" w:rsidRPr="009A1DB5">
        <w:rPr>
          <w:rFonts w:ascii="Arial" w:hAnsi="Arial" w:cs="Arial"/>
          <w:bCs/>
          <w:iCs/>
          <w:sz w:val="22"/>
          <w:szCs w:val="22"/>
        </w:rPr>
        <w:t>$1,900 (occurring in the next three years)</w:t>
      </w:r>
      <w:r w:rsidR="00A66491" w:rsidRPr="009A1DB5">
        <w:rPr>
          <w:rFonts w:ascii="Arial" w:hAnsi="Arial" w:cs="Arial"/>
          <w:bCs/>
          <w:iCs/>
          <w:sz w:val="22"/>
          <w:szCs w:val="22"/>
        </w:rPr>
        <w:t xml:space="preserve"> for the first five acres, plus an average of $5 per acre for any </w:t>
      </w:r>
      <w:proofErr w:type="gramStart"/>
      <w:r w:rsidR="00A66491" w:rsidRPr="009A1DB5">
        <w:rPr>
          <w:rFonts w:ascii="Arial" w:hAnsi="Arial" w:cs="Arial"/>
          <w:bCs/>
          <w:iCs/>
          <w:sz w:val="22"/>
          <w:szCs w:val="22"/>
        </w:rPr>
        <w:t>acreage</w:t>
      </w:r>
      <w:proofErr w:type="gramEnd"/>
      <w:r w:rsidR="00A66491" w:rsidRPr="009A1DB5">
        <w:rPr>
          <w:rFonts w:ascii="Arial" w:hAnsi="Arial" w:cs="Arial"/>
          <w:bCs/>
          <w:iCs/>
          <w:sz w:val="22"/>
          <w:szCs w:val="22"/>
        </w:rPr>
        <w:t xml:space="preserve"> over </w:t>
      </w:r>
      <w:r w:rsidR="003C2B40" w:rsidRPr="009A1DB5">
        <w:rPr>
          <w:rFonts w:ascii="Arial" w:hAnsi="Arial" w:cs="Arial"/>
          <w:bCs/>
          <w:iCs/>
          <w:sz w:val="22"/>
          <w:szCs w:val="22"/>
        </w:rPr>
        <w:t xml:space="preserve">the first five acres. </w:t>
      </w:r>
      <w:r w:rsidR="00A66491" w:rsidRPr="009A1DB5">
        <w:rPr>
          <w:rFonts w:ascii="Arial" w:hAnsi="Arial" w:cs="Arial"/>
          <w:bCs/>
          <w:iCs/>
          <w:sz w:val="22"/>
          <w:szCs w:val="22"/>
        </w:rPr>
        <w:t xml:space="preserve">    </w:t>
      </w:r>
      <w:r w:rsidR="0082196A" w:rsidRPr="009A1DB5">
        <w:rPr>
          <w:rFonts w:ascii="Arial" w:hAnsi="Arial" w:cs="Arial"/>
          <w:b/>
          <w:i/>
          <w:sz w:val="22"/>
          <w:szCs w:val="22"/>
        </w:rPr>
        <w:t xml:space="preserve"> </w:t>
      </w:r>
    </w:p>
    <w:p w14:paraId="27771DC1" w14:textId="7ACA0B58" w:rsidR="003C2B40" w:rsidRPr="009A1DB5" w:rsidRDefault="007314E5" w:rsidP="009A1DB5">
      <w:pPr>
        <w:spacing w:line="480" w:lineRule="auto"/>
        <w:rPr>
          <w:rFonts w:ascii="Arial" w:hAnsi="Arial" w:cs="Arial"/>
          <w:bCs/>
          <w:iCs/>
          <w:sz w:val="22"/>
          <w:szCs w:val="22"/>
        </w:rPr>
      </w:pPr>
      <w:r w:rsidRPr="009A1DB5">
        <w:rPr>
          <w:rFonts w:ascii="Arial" w:hAnsi="Arial" w:cs="Arial"/>
          <w:b/>
          <w:i/>
          <w:sz w:val="22"/>
          <w:szCs w:val="22"/>
          <w:u w:val="single"/>
        </w:rPr>
        <w:t>Background</w:t>
      </w:r>
      <w:r w:rsidRPr="009A1DB5">
        <w:rPr>
          <w:rFonts w:ascii="Arial" w:hAnsi="Arial" w:cs="Arial"/>
          <w:b/>
          <w:i/>
          <w:sz w:val="22"/>
          <w:szCs w:val="22"/>
        </w:rPr>
        <w:t>:</w:t>
      </w:r>
      <w:r w:rsidR="003B2EDA" w:rsidRPr="009A1DB5">
        <w:rPr>
          <w:rFonts w:ascii="Arial" w:hAnsi="Arial" w:cs="Arial"/>
          <w:b/>
          <w:i/>
          <w:sz w:val="22"/>
          <w:szCs w:val="22"/>
        </w:rPr>
        <w:t xml:space="preserve"> </w:t>
      </w:r>
      <w:r w:rsidR="003C2B40" w:rsidRPr="009A1DB5">
        <w:rPr>
          <w:rFonts w:ascii="Arial" w:hAnsi="Arial" w:cs="Arial"/>
          <w:bCs/>
          <w:iCs/>
          <w:sz w:val="22"/>
          <w:szCs w:val="22"/>
        </w:rPr>
        <w:t>The Farmland Assessment Act of 1964 was adopted by New Jersey as the state went through development booms in the post-World War II era. Increasing property taxes result</w:t>
      </w:r>
      <w:r w:rsidR="006A1F78" w:rsidRPr="009A1DB5">
        <w:rPr>
          <w:rFonts w:ascii="Arial" w:hAnsi="Arial" w:cs="Arial"/>
          <w:bCs/>
          <w:iCs/>
          <w:sz w:val="22"/>
          <w:szCs w:val="22"/>
        </w:rPr>
        <w:t>ed</w:t>
      </w:r>
      <w:r w:rsidR="003C2B40" w:rsidRPr="009A1DB5">
        <w:rPr>
          <w:rFonts w:ascii="Arial" w:hAnsi="Arial" w:cs="Arial"/>
          <w:bCs/>
          <w:iCs/>
          <w:sz w:val="22"/>
          <w:szCs w:val="22"/>
        </w:rPr>
        <w:t xml:space="preserve"> from land becoming </w:t>
      </w:r>
      <w:r w:rsidR="008F6C8C" w:rsidRPr="009A1DB5">
        <w:rPr>
          <w:rFonts w:ascii="Arial" w:hAnsi="Arial" w:cs="Arial"/>
          <w:bCs/>
          <w:iCs/>
          <w:sz w:val="22"/>
          <w:szCs w:val="22"/>
        </w:rPr>
        <w:t>scarcer</w:t>
      </w:r>
      <w:r w:rsidR="003C2B40" w:rsidRPr="009A1DB5">
        <w:rPr>
          <w:rFonts w:ascii="Arial" w:hAnsi="Arial" w:cs="Arial"/>
          <w:bCs/>
          <w:iCs/>
          <w:sz w:val="22"/>
          <w:szCs w:val="22"/>
        </w:rPr>
        <w:t xml:space="preserve"> and towns developing to the point where more schools and other tax-funded buildings were needed. The increases in property taxes were cited by many farmers as a reason they could not continue farming and had to sell off land to developers, which further exacerbated the issue as it led to even more development.</w:t>
      </w:r>
      <w:r w:rsidR="006A1F78" w:rsidRPr="009A1DB5">
        <w:rPr>
          <w:rFonts w:ascii="Arial" w:hAnsi="Arial" w:cs="Arial"/>
          <w:bCs/>
          <w:iCs/>
          <w:sz w:val="22"/>
          <w:szCs w:val="22"/>
        </w:rPr>
        <w:t xml:space="preserve"> There is an “additional benefit” to residents not residing on </w:t>
      </w:r>
      <w:r w:rsidR="006A1F78" w:rsidRPr="009A1DB5">
        <w:rPr>
          <w:rFonts w:ascii="Arial" w:hAnsi="Arial" w:cs="Arial"/>
          <w:bCs/>
          <w:iCs/>
          <w:sz w:val="22"/>
          <w:szCs w:val="22"/>
        </w:rPr>
        <w:lastRenderedPageBreak/>
        <w:t xml:space="preserve">farm properties, as a farm that is not developed into housing or commercial property does not require additional school, police, and other municipal services, which, when added, drive up property taxes. </w:t>
      </w:r>
    </w:p>
    <w:p w14:paraId="1FBD3508" w14:textId="2B0AF8E3" w:rsidR="001A4BB4" w:rsidRPr="009A1DB5" w:rsidRDefault="003C2B40" w:rsidP="009A1DB5">
      <w:pPr>
        <w:spacing w:line="480" w:lineRule="auto"/>
        <w:rPr>
          <w:rFonts w:ascii="Arial" w:hAnsi="Arial" w:cs="Arial"/>
          <w:bCs/>
          <w:iCs/>
          <w:sz w:val="22"/>
          <w:szCs w:val="22"/>
        </w:rPr>
      </w:pPr>
      <w:r w:rsidRPr="009A1DB5">
        <w:rPr>
          <w:rFonts w:ascii="Arial" w:hAnsi="Arial" w:cs="Arial"/>
          <w:b/>
          <w:i/>
          <w:sz w:val="22"/>
          <w:szCs w:val="22"/>
        </w:rPr>
        <w:t xml:space="preserve">     </w:t>
      </w:r>
      <w:r w:rsidRPr="009A1DB5">
        <w:rPr>
          <w:rFonts w:ascii="Arial" w:hAnsi="Arial" w:cs="Arial"/>
          <w:bCs/>
          <w:iCs/>
          <w:sz w:val="22"/>
          <w:szCs w:val="22"/>
        </w:rPr>
        <w:t xml:space="preserve">Because farmers were engaged </w:t>
      </w:r>
      <w:r w:rsidR="00AC6972" w:rsidRPr="009A1DB5">
        <w:rPr>
          <w:rFonts w:ascii="Arial" w:hAnsi="Arial" w:cs="Arial"/>
          <w:bCs/>
          <w:iCs/>
          <w:sz w:val="22"/>
          <w:szCs w:val="22"/>
        </w:rPr>
        <w:t>in creating</w:t>
      </w:r>
      <w:r w:rsidRPr="009A1DB5">
        <w:rPr>
          <w:rFonts w:ascii="Arial" w:hAnsi="Arial" w:cs="Arial"/>
          <w:bCs/>
          <w:iCs/>
          <w:sz w:val="22"/>
          <w:szCs w:val="22"/>
        </w:rPr>
        <w:t xml:space="preserve"> the food and other essential agricultural products for the population of the state and beyond – it was determined that land used specifically for the creation of these products should be taxed at a lower rate, leading to the concept of “farmland assessed” property. The issue typically gets attention when someone with a large house paying substantial property taxes, but which is located on a property that is not a minimum of five acres and thus cannot be farmland assessed, learns of neighbors who do have enough acreage and are meeting the minimum acreage and sales requirements</w:t>
      </w:r>
      <w:r w:rsidR="00562AD9" w:rsidRPr="009A1DB5">
        <w:rPr>
          <w:rFonts w:ascii="Arial" w:hAnsi="Arial" w:cs="Arial"/>
          <w:bCs/>
          <w:iCs/>
          <w:sz w:val="22"/>
          <w:szCs w:val="22"/>
        </w:rPr>
        <w:t xml:space="preserve"> getting the tax break. Typically, it involves a misunderstanding of the law by the complaining party thinking that it means the person on the farmland-assessed property is getting the tax break on their home as well, which is not the case.</w:t>
      </w:r>
      <w:r w:rsidR="006A1F78" w:rsidRPr="009A1DB5">
        <w:rPr>
          <w:rFonts w:ascii="Arial" w:hAnsi="Arial" w:cs="Arial"/>
          <w:bCs/>
          <w:iCs/>
          <w:sz w:val="22"/>
          <w:szCs w:val="22"/>
        </w:rPr>
        <w:t xml:space="preserve"> Farmhouses are taxed at the regular rate.</w:t>
      </w:r>
    </w:p>
    <w:p w14:paraId="25A29049" w14:textId="54CE8A81" w:rsidR="003C2B40" w:rsidRPr="009A1DB5" w:rsidRDefault="001A4BB4" w:rsidP="009A1DB5">
      <w:pPr>
        <w:spacing w:line="480" w:lineRule="auto"/>
        <w:rPr>
          <w:rFonts w:ascii="Arial" w:hAnsi="Arial" w:cs="Arial"/>
          <w:bCs/>
          <w:iCs/>
          <w:sz w:val="22"/>
          <w:szCs w:val="22"/>
        </w:rPr>
      </w:pPr>
      <w:r w:rsidRPr="009A1DB5">
        <w:rPr>
          <w:rFonts w:ascii="Arial" w:hAnsi="Arial" w:cs="Arial"/>
          <w:bCs/>
          <w:iCs/>
          <w:sz w:val="22"/>
          <w:szCs w:val="22"/>
        </w:rPr>
        <w:t xml:space="preserve">      Due to these issues, legislators often are encouraged by the complaining parties to increase the amount of the gross sales requirement to as high as $4,000 on the first five acres. That level of sales could prove fatal to a farm operation. For instance, in the spring/summer/autumn of 2024, a massive drought impacting the state led to many hay and grain growers getting only a “one-cutting” harvest. Combined with the lower prices for grain commodities in that year, many hay/grain farmers would not have sold enough to meet that high of a gross-sales threshold</w:t>
      </w:r>
      <w:r w:rsidR="00F26C87" w:rsidRPr="009A1DB5">
        <w:rPr>
          <w:rFonts w:ascii="Arial" w:hAnsi="Arial" w:cs="Arial"/>
          <w:bCs/>
          <w:iCs/>
          <w:sz w:val="22"/>
          <w:szCs w:val="22"/>
        </w:rPr>
        <w:t xml:space="preserve"> on the first five acres</w:t>
      </w:r>
      <w:r w:rsidRPr="009A1DB5">
        <w:rPr>
          <w:rFonts w:ascii="Arial" w:hAnsi="Arial" w:cs="Arial"/>
          <w:bCs/>
          <w:iCs/>
          <w:sz w:val="22"/>
          <w:szCs w:val="22"/>
        </w:rPr>
        <w:t xml:space="preserve">. </w:t>
      </w:r>
      <w:r w:rsidR="006A1F78" w:rsidRPr="009A1DB5">
        <w:rPr>
          <w:rFonts w:ascii="Arial" w:hAnsi="Arial" w:cs="Arial"/>
          <w:bCs/>
          <w:iCs/>
          <w:sz w:val="22"/>
          <w:szCs w:val="22"/>
        </w:rPr>
        <w:t xml:space="preserve">The recent decision by the Farmland Assessment Committee to increase the minimum gross sales requirement to $1,900 in three years is a middle ground solution, but it still could cause problems for grain farmers if </w:t>
      </w:r>
      <w:r w:rsidR="000320E2" w:rsidRPr="009A1DB5">
        <w:rPr>
          <w:rFonts w:ascii="Arial" w:hAnsi="Arial" w:cs="Arial"/>
          <w:bCs/>
          <w:iCs/>
          <w:sz w:val="22"/>
          <w:szCs w:val="22"/>
        </w:rPr>
        <w:t>weather conditions limit the number of “cuttings” of their grain crops.</w:t>
      </w:r>
      <w:r w:rsidR="006A1F78" w:rsidRPr="009A1DB5">
        <w:rPr>
          <w:rFonts w:ascii="Arial" w:hAnsi="Arial" w:cs="Arial"/>
          <w:bCs/>
          <w:iCs/>
          <w:sz w:val="22"/>
          <w:szCs w:val="22"/>
        </w:rPr>
        <w:t xml:space="preserve"> </w:t>
      </w:r>
      <w:r w:rsidRPr="009A1DB5">
        <w:rPr>
          <w:rFonts w:ascii="Arial" w:hAnsi="Arial" w:cs="Arial"/>
          <w:bCs/>
          <w:iCs/>
          <w:sz w:val="22"/>
          <w:szCs w:val="22"/>
        </w:rPr>
        <w:t xml:space="preserve">   </w:t>
      </w:r>
      <w:r w:rsidR="00562AD9" w:rsidRPr="009A1DB5">
        <w:rPr>
          <w:rFonts w:ascii="Arial" w:hAnsi="Arial" w:cs="Arial"/>
          <w:bCs/>
          <w:iCs/>
          <w:sz w:val="22"/>
          <w:szCs w:val="22"/>
        </w:rPr>
        <w:t xml:space="preserve"> </w:t>
      </w:r>
      <w:r w:rsidR="003C2B40" w:rsidRPr="009A1DB5">
        <w:rPr>
          <w:rFonts w:ascii="Arial" w:hAnsi="Arial" w:cs="Arial"/>
          <w:bCs/>
          <w:iCs/>
          <w:sz w:val="22"/>
          <w:szCs w:val="22"/>
        </w:rPr>
        <w:t xml:space="preserve">      </w:t>
      </w:r>
      <w:r w:rsidR="003C2B40" w:rsidRPr="009A1DB5">
        <w:rPr>
          <w:rFonts w:ascii="Arial" w:hAnsi="Arial" w:cs="Arial"/>
          <w:b/>
          <w:i/>
          <w:sz w:val="22"/>
          <w:szCs w:val="22"/>
        </w:rPr>
        <w:t xml:space="preserve">  </w:t>
      </w:r>
      <w:r w:rsidR="003C2B40" w:rsidRPr="009A1DB5">
        <w:rPr>
          <w:rFonts w:ascii="Arial" w:hAnsi="Arial" w:cs="Arial"/>
          <w:bCs/>
          <w:iCs/>
          <w:sz w:val="22"/>
          <w:szCs w:val="22"/>
        </w:rPr>
        <w:t xml:space="preserve">  </w:t>
      </w:r>
    </w:p>
    <w:p w14:paraId="68860035" w14:textId="1C6D5445" w:rsidR="005B0580" w:rsidRPr="009A1DB5" w:rsidRDefault="00E95963" w:rsidP="009A1DB5">
      <w:pPr>
        <w:spacing w:line="480" w:lineRule="auto"/>
        <w:rPr>
          <w:rFonts w:ascii="Arial" w:hAnsi="Arial" w:cs="Arial"/>
          <w:color w:val="000000"/>
          <w:sz w:val="22"/>
          <w:szCs w:val="22"/>
          <w:shd w:val="clear" w:color="auto" w:fill="FFFFFF"/>
        </w:rPr>
      </w:pPr>
      <w:r w:rsidRPr="009A1DB5">
        <w:rPr>
          <w:rFonts w:ascii="Arial" w:hAnsi="Arial" w:cs="Arial"/>
          <w:b/>
          <w:bCs/>
          <w:i/>
          <w:iCs/>
          <w:sz w:val="22"/>
          <w:szCs w:val="22"/>
          <w:u w:val="single"/>
        </w:rPr>
        <w:lastRenderedPageBreak/>
        <w:t xml:space="preserve">Suggested </w:t>
      </w:r>
      <w:r w:rsidR="0089560E" w:rsidRPr="009A1DB5">
        <w:rPr>
          <w:rFonts w:ascii="Arial" w:hAnsi="Arial" w:cs="Arial"/>
          <w:b/>
          <w:bCs/>
          <w:i/>
          <w:iCs/>
          <w:sz w:val="22"/>
          <w:szCs w:val="22"/>
          <w:u w:val="single"/>
        </w:rPr>
        <w:t>A</w:t>
      </w:r>
      <w:r w:rsidR="007314E5" w:rsidRPr="009A1DB5">
        <w:rPr>
          <w:rFonts w:ascii="Arial" w:hAnsi="Arial" w:cs="Arial"/>
          <w:b/>
          <w:bCs/>
          <w:i/>
          <w:iCs/>
          <w:sz w:val="22"/>
          <w:szCs w:val="22"/>
          <w:u w:val="single"/>
        </w:rPr>
        <w:t>ctions</w:t>
      </w:r>
      <w:r w:rsidR="007314E5" w:rsidRPr="009A1DB5">
        <w:rPr>
          <w:rFonts w:ascii="Arial" w:hAnsi="Arial" w:cs="Arial"/>
          <w:b/>
          <w:bCs/>
          <w:i/>
          <w:iCs/>
          <w:sz w:val="22"/>
          <w:szCs w:val="22"/>
        </w:rPr>
        <w:t>:</w:t>
      </w:r>
      <w:r w:rsidR="001A4BB4" w:rsidRPr="009A1DB5">
        <w:rPr>
          <w:rFonts w:ascii="Arial" w:hAnsi="Arial" w:cs="Arial"/>
          <w:b/>
          <w:bCs/>
          <w:i/>
          <w:iCs/>
          <w:sz w:val="22"/>
          <w:szCs w:val="22"/>
        </w:rPr>
        <w:t xml:space="preserve"> </w:t>
      </w:r>
      <w:r w:rsidR="001A4BB4" w:rsidRPr="009A1DB5">
        <w:rPr>
          <w:rFonts w:ascii="Arial" w:hAnsi="Arial" w:cs="Arial"/>
          <w:sz w:val="22"/>
          <w:szCs w:val="22"/>
        </w:rPr>
        <w:t>The delegates to the 2025 State Agricultural Convention charged the NJDA to “w</w:t>
      </w:r>
      <w:r w:rsidR="001A4BB4" w:rsidRPr="009A1DB5">
        <w:rPr>
          <w:rFonts w:ascii="Arial" w:hAnsi="Arial" w:cs="Arial"/>
          <w:color w:val="000000"/>
          <w:sz w:val="22"/>
          <w:szCs w:val="22"/>
          <w:shd w:val="clear" w:color="auto" w:fill="FFFFFF"/>
        </w:rPr>
        <w:t>ork with its fellow members of the State Farmland Evaluation Committee to examine all the factors that should play into any deliberations about changing the amount of documented receipts a landowner must realize on the first five acres of agricultural/horticultural production lands, especially to include the prices farmers are currently receiving for commodity crops.</w:t>
      </w:r>
      <w:r w:rsidR="00B12820" w:rsidRPr="009A1DB5">
        <w:rPr>
          <w:rFonts w:ascii="Arial" w:hAnsi="Arial" w:cs="Arial"/>
          <w:color w:val="000000"/>
          <w:sz w:val="22"/>
          <w:szCs w:val="22"/>
          <w:shd w:val="clear" w:color="auto" w:fill="FFFFFF"/>
        </w:rPr>
        <w:t xml:space="preserve">” </w:t>
      </w:r>
      <w:r w:rsidR="00B12820" w:rsidRPr="009A1DB5">
        <w:rPr>
          <w:rFonts w:ascii="Arial" w:hAnsi="Arial" w:cs="Arial"/>
          <w:color w:val="000000" w:themeColor="text1"/>
          <w:sz w:val="22"/>
          <w:szCs w:val="22"/>
          <w:shd w:val="clear" w:color="auto" w:fill="FFFFFF"/>
        </w:rPr>
        <w:t>The delegates also urge the Legislature that “</w:t>
      </w:r>
      <w:r w:rsidR="001A4BB4" w:rsidRPr="009A1DB5">
        <w:rPr>
          <w:rFonts w:ascii="Arial" w:hAnsi="Arial" w:cs="Arial"/>
          <w:color w:val="000000" w:themeColor="text1"/>
          <w:sz w:val="22"/>
          <w:szCs w:val="22"/>
          <w:shd w:val="clear" w:color="auto" w:fill="FFFFFF"/>
        </w:rPr>
        <w:t xml:space="preserve">any legislation aimed at changing the Farmland Assessment program must include language REQUIRING local and county tax assessors </w:t>
      </w:r>
      <w:r w:rsidR="00A068AE" w:rsidRPr="009A1DB5">
        <w:rPr>
          <w:rFonts w:ascii="Arial" w:hAnsi="Arial" w:cs="Arial"/>
          <w:color w:val="000000" w:themeColor="text1"/>
          <w:sz w:val="22"/>
          <w:szCs w:val="22"/>
          <w:shd w:val="clear" w:color="auto" w:fill="FFFFFF"/>
        </w:rPr>
        <w:t xml:space="preserve">to </w:t>
      </w:r>
      <w:r w:rsidR="001A4BB4" w:rsidRPr="009A1DB5">
        <w:rPr>
          <w:rFonts w:ascii="Arial" w:hAnsi="Arial" w:cs="Arial"/>
          <w:color w:val="000000" w:themeColor="text1"/>
          <w:sz w:val="22"/>
          <w:szCs w:val="22"/>
          <w:shd w:val="clear" w:color="auto" w:fill="FFFFFF"/>
        </w:rPr>
        <w:t>avail themselves of the training offered by the Department’s Division of Agricultural and Natural Resources and other agencies in order to ensure consistent application of new and existing Farmland Assessment program rules and regulations, helping assessors to better meet their obligations through on-site visual verification and with methodical and careful reviews of farm assessment qualifying documents</w:t>
      </w:r>
      <w:r w:rsidR="005B0580" w:rsidRPr="009A1DB5">
        <w:rPr>
          <w:rFonts w:ascii="Arial" w:hAnsi="Arial" w:cs="Arial"/>
          <w:color w:val="000000" w:themeColor="text1"/>
          <w:sz w:val="22"/>
          <w:szCs w:val="22"/>
          <w:shd w:val="clear" w:color="auto" w:fill="FFFFFF"/>
        </w:rPr>
        <w:t xml:space="preserve">. </w:t>
      </w:r>
      <w:r w:rsidR="005B0580" w:rsidRPr="009A1DB5">
        <w:rPr>
          <w:rFonts w:ascii="Arial" w:hAnsi="Arial" w:cs="Arial"/>
          <w:color w:val="000000"/>
          <w:sz w:val="22"/>
          <w:szCs w:val="22"/>
          <w:shd w:val="clear" w:color="auto" w:fill="FFFFFF"/>
        </w:rPr>
        <w:t>The delegates also urge the Division of Taxation to dedicate a staff member as a “Farmland Assessment Ombudsman,” to be the point person farmers can call when dealing with issues involving Farmland Assessment and taxation.</w:t>
      </w:r>
      <w:r w:rsidR="00DC7EE9" w:rsidRPr="009A1DB5">
        <w:rPr>
          <w:rFonts w:ascii="Arial" w:hAnsi="Arial" w:cs="Arial"/>
          <w:color w:val="000000"/>
          <w:sz w:val="22"/>
          <w:szCs w:val="22"/>
          <w:shd w:val="clear" w:color="auto" w:fill="FFFFFF"/>
        </w:rPr>
        <w:t xml:space="preserve"> Finally, the delegates strongly oppose any imposition of an “application fee” for those farmers seeking Farmland Assessment. </w:t>
      </w:r>
      <w:r w:rsidR="005B0580" w:rsidRPr="009A1DB5">
        <w:rPr>
          <w:rFonts w:ascii="Arial" w:hAnsi="Arial" w:cs="Arial"/>
          <w:color w:val="000000"/>
          <w:sz w:val="22"/>
          <w:szCs w:val="22"/>
          <w:shd w:val="clear" w:color="auto" w:fill="FFFFFF"/>
        </w:rPr>
        <w:t xml:space="preserve">       </w:t>
      </w:r>
    </w:p>
    <w:p w14:paraId="77C2DA3A" w14:textId="59AAB8AA" w:rsidR="001A4BB4" w:rsidRPr="009A1DB5" w:rsidRDefault="001A4BB4" w:rsidP="00202B21">
      <w:pPr>
        <w:suppressLineNumbers/>
        <w:spacing w:line="480" w:lineRule="auto"/>
        <w:rPr>
          <w:rFonts w:ascii="Arial" w:hAnsi="Arial" w:cs="Arial"/>
          <w:color w:val="000000"/>
          <w:sz w:val="22"/>
          <w:szCs w:val="22"/>
          <w:shd w:val="clear" w:color="auto" w:fill="FFFFFF"/>
        </w:rPr>
      </w:pPr>
      <w:r w:rsidRPr="009A1DB5">
        <w:rPr>
          <w:rFonts w:ascii="Arial" w:hAnsi="Arial" w:cs="Arial"/>
          <w:color w:val="000000"/>
          <w:sz w:val="22"/>
          <w:szCs w:val="22"/>
          <w:shd w:val="clear" w:color="auto" w:fill="FFFFFF"/>
        </w:rPr>
        <w:t xml:space="preserve"> </w:t>
      </w:r>
    </w:p>
    <w:p w14:paraId="093ACF45" w14:textId="77777777" w:rsidR="001A4BB4" w:rsidRPr="009A1DB5" w:rsidRDefault="001A4BB4" w:rsidP="00202B21">
      <w:pPr>
        <w:suppressLineNumbers/>
        <w:spacing w:line="480" w:lineRule="auto"/>
        <w:rPr>
          <w:rFonts w:ascii="Arial" w:hAnsi="Arial" w:cs="Arial"/>
          <w:sz w:val="22"/>
          <w:szCs w:val="22"/>
        </w:rPr>
      </w:pPr>
    </w:p>
    <w:p w14:paraId="302E48A2" w14:textId="77777777" w:rsidR="005B0580" w:rsidRPr="009A1DB5" w:rsidRDefault="005B0580" w:rsidP="00202B21">
      <w:pPr>
        <w:suppressLineNumbers/>
        <w:spacing w:line="480" w:lineRule="auto"/>
        <w:rPr>
          <w:rFonts w:ascii="Arial" w:hAnsi="Arial" w:cs="Arial"/>
          <w:sz w:val="22"/>
          <w:szCs w:val="22"/>
        </w:rPr>
      </w:pPr>
    </w:p>
    <w:p w14:paraId="7AA53C06" w14:textId="77777777" w:rsidR="001A4BB4" w:rsidRPr="009A1DB5" w:rsidRDefault="001A4BB4" w:rsidP="00202B21">
      <w:pPr>
        <w:suppressLineNumbers/>
        <w:spacing w:line="480" w:lineRule="auto"/>
        <w:rPr>
          <w:rFonts w:ascii="Arial" w:hAnsi="Arial" w:cs="Arial"/>
          <w:sz w:val="22"/>
          <w:szCs w:val="22"/>
        </w:rPr>
      </w:pPr>
    </w:p>
    <w:sectPr w:rsidR="001A4BB4" w:rsidRPr="009A1DB5" w:rsidSect="009A1DB5">
      <w:pgSz w:w="12240" w:h="15840"/>
      <w:pgMar w:top="1152" w:right="1440" w:bottom="1440" w:left="2160" w:header="720" w:footer="432" w:gutter="0"/>
      <w:lnNumType w:countBy="1" w:distance="720" w:restart="continuous"/>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F084D6"/>
    <w:multiLevelType w:val="hybridMultilevel"/>
    <w:tmpl w:val="9CAEC00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E52456"/>
    <w:multiLevelType w:val="hybridMultilevel"/>
    <w:tmpl w:val="7CDA4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C1C65"/>
    <w:multiLevelType w:val="hybridMultilevel"/>
    <w:tmpl w:val="2982D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FD5FEA"/>
    <w:multiLevelType w:val="hybridMultilevel"/>
    <w:tmpl w:val="9D30C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10B236"/>
    <w:multiLevelType w:val="hybridMultilevel"/>
    <w:tmpl w:val="D3B732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F950A70"/>
    <w:multiLevelType w:val="hybridMultilevel"/>
    <w:tmpl w:val="F88315A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2080F39"/>
    <w:multiLevelType w:val="hybridMultilevel"/>
    <w:tmpl w:val="E8885020"/>
    <w:lvl w:ilvl="0" w:tplc="766691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90786827">
    <w:abstractNumId w:val="3"/>
  </w:num>
  <w:num w:numId="2" w16cid:durableId="1704479569">
    <w:abstractNumId w:val="5"/>
  </w:num>
  <w:num w:numId="3" w16cid:durableId="832643799">
    <w:abstractNumId w:val="4"/>
  </w:num>
  <w:num w:numId="4" w16cid:durableId="944920831">
    <w:abstractNumId w:val="0"/>
  </w:num>
  <w:num w:numId="5" w16cid:durableId="1768042839">
    <w:abstractNumId w:val="2"/>
  </w:num>
  <w:num w:numId="6" w16cid:durableId="439225524">
    <w:abstractNumId w:val="6"/>
  </w:num>
  <w:num w:numId="7" w16cid:durableId="253981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99"/>
    <w:rsid w:val="000320E2"/>
    <w:rsid w:val="00064CA1"/>
    <w:rsid w:val="00077905"/>
    <w:rsid w:val="000D5E81"/>
    <w:rsid w:val="000D6880"/>
    <w:rsid w:val="000E08CE"/>
    <w:rsid w:val="00140FE9"/>
    <w:rsid w:val="00150199"/>
    <w:rsid w:val="00193270"/>
    <w:rsid w:val="001A4BB4"/>
    <w:rsid w:val="001D6A30"/>
    <w:rsid w:val="00202B21"/>
    <w:rsid w:val="00220928"/>
    <w:rsid w:val="002328B3"/>
    <w:rsid w:val="002559FA"/>
    <w:rsid w:val="00326E3E"/>
    <w:rsid w:val="003925D6"/>
    <w:rsid w:val="00393E1E"/>
    <w:rsid w:val="003B2EDA"/>
    <w:rsid w:val="003B521B"/>
    <w:rsid w:val="003C2B40"/>
    <w:rsid w:val="00411B06"/>
    <w:rsid w:val="004120AD"/>
    <w:rsid w:val="00457092"/>
    <w:rsid w:val="0047475E"/>
    <w:rsid w:val="004C2C22"/>
    <w:rsid w:val="004F5520"/>
    <w:rsid w:val="00533528"/>
    <w:rsid w:val="00562AD9"/>
    <w:rsid w:val="00572B49"/>
    <w:rsid w:val="005825CB"/>
    <w:rsid w:val="0059776D"/>
    <w:rsid w:val="005B0580"/>
    <w:rsid w:val="006172A9"/>
    <w:rsid w:val="006310CF"/>
    <w:rsid w:val="00677490"/>
    <w:rsid w:val="006A1F78"/>
    <w:rsid w:val="00726EC2"/>
    <w:rsid w:val="007314E5"/>
    <w:rsid w:val="00814BB6"/>
    <w:rsid w:val="0082196A"/>
    <w:rsid w:val="0083731E"/>
    <w:rsid w:val="00844DB2"/>
    <w:rsid w:val="0089560E"/>
    <w:rsid w:val="008D5F33"/>
    <w:rsid w:val="008F6C8C"/>
    <w:rsid w:val="00973855"/>
    <w:rsid w:val="009A1DB5"/>
    <w:rsid w:val="009F7F52"/>
    <w:rsid w:val="00A068AE"/>
    <w:rsid w:val="00A66491"/>
    <w:rsid w:val="00A90351"/>
    <w:rsid w:val="00A90452"/>
    <w:rsid w:val="00AC6972"/>
    <w:rsid w:val="00AE5917"/>
    <w:rsid w:val="00AE62D3"/>
    <w:rsid w:val="00B12820"/>
    <w:rsid w:val="00B35CBB"/>
    <w:rsid w:val="00B71561"/>
    <w:rsid w:val="00B71B17"/>
    <w:rsid w:val="00B94056"/>
    <w:rsid w:val="00D54650"/>
    <w:rsid w:val="00DC7EE9"/>
    <w:rsid w:val="00E33EA2"/>
    <w:rsid w:val="00E60DF7"/>
    <w:rsid w:val="00E95963"/>
    <w:rsid w:val="00F26C87"/>
    <w:rsid w:val="00F55A50"/>
    <w:rsid w:val="00FE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CA28B"/>
  <w15:chartTrackingRefBased/>
  <w15:docId w15:val="{82519A46-84D2-48AF-B0C5-BFEDF58B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3">
    <w:name w:val="Body Text Indent 3"/>
    <w:basedOn w:val="Normal"/>
    <w:pPr>
      <w:ind w:left="720"/>
    </w:p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EndnoteReference">
    <w:name w:val="endnote reference"/>
    <w:semiHidden/>
    <w:rPr>
      <w:rFonts w:cs="Arial"/>
      <w:color w:val="000000"/>
    </w:rPr>
  </w:style>
  <w:style w:type="paragraph" w:styleId="BodyTextIndent">
    <w:name w:val="Body Text Indent"/>
    <w:basedOn w:val="Default"/>
    <w:next w:val="Default"/>
    <w:rPr>
      <w:rFonts w:cs="Times New Roman"/>
      <w:color w:val="auto"/>
      <w:sz w:val="20"/>
    </w:rPr>
  </w:style>
  <w:style w:type="paragraph" w:styleId="EndnoteText">
    <w:name w:val="endnote text"/>
    <w:basedOn w:val="Default"/>
    <w:next w:val="Default"/>
    <w:semiHidden/>
    <w:rPr>
      <w:rFonts w:cs="Times New Roman"/>
      <w:color w:val="auto"/>
      <w:sz w:val="20"/>
    </w:rPr>
  </w:style>
  <w:style w:type="character" w:styleId="FootnoteReference">
    <w:name w:val="footnote reference"/>
    <w:semiHidden/>
    <w:rPr>
      <w:rFonts w:cs="Arial"/>
      <w:color w:val="000000"/>
    </w:rPr>
  </w:style>
  <w:style w:type="character" w:styleId="Hyperlink">
    <w:name w:val="Hyperlink"/>
    <w:rPr>
      <w:strike w:val="0"/>
      <w:dstrike w:val="0"/>
      <w:color w:val="CC3300"/>
      <w:u w:val="none"/>
      <w:effect w:val="none"/>
    </w:rPr>
  </w:style>
  <w:style w:type="paragraph" w:styleId="NormalWeb">
    <w:name w:val="Normal (Web)"/>
    <w:basedOn w:val="Normal"/>
    <w:pPr>
      <w:spacing w:before="100" w:beforeAutospacing="1" w:after="100" w:afterAutospacing="1"/>
    </w:pPr>
    <w:rPr>
      <w:rFonts w:ascii="Arial" w:eastAsia="Arial Unicode MS" w:hAnsi="Arial" w:cs="Arial"/>
      <w:color w:val="444444"/>
      <w:sz w:val="20"/>
      <w:szCs w:val="20"/>
    </w:rPr>
  </w:style>
  <w:style w:type="paragraph" w:styleId="BalloonText">
    <w:name w:val="Balloon Text"/>
    <w:basedOn w:val="Normal"/>
    <w:semiHidden/>
    <w:rsid w:val="000E08CE"/>
    <w:rPr>
      <w:rFonts w:ascii="Tahoma" w:hAnsi="Tahoma" w:cs="Tahoma"/>
      <w:sz w:val="16"/>
      <w:szCs w:val="16"/>
    </w:rPr>
  </w:style>
  <w:style w:type="character" w:styleId="UnresolvedMention">
    <w:name w:val="Unresolved Mention"/>
    <w:uiPriority w:val="99"/>
    <w:semiHidden/>
    <w:unhideWhenUsed/>
    <w:rsid w:val="00393E1E"/>
    <w:rPr>
      <w:color w:val="605E5C"/>
      <w:shd w:val="clear" w:color="auto" w:fill="E1DFDD"/>
    </w:rPr>
  </w:style>
  <w:style w:type="character" w:styleId="FollowedHyperlink">
    <w:name w:val="FollowedHyperlink"/>
    <w:rsid w:val="00393E1E"/>
    <w:rPr>
      <w:color w:val="954F72"/>
      <w:u w:val="single"/>
    </w:rPr>
  </w:style>
  <w:style w:type="paragraph" w:styleId="Revision">
    <w:name w:val="Revision"/>
    <w:hidden/>
    <w:uiPriority w:val="99"/>
    <w:semiHidden/>
    <w:rsid w:val="005B0580"/>
    <w:rPr>
      <w:sz w:val="24"/>
      <w:szCs w:val="24"/>
    </w:rPr>
  </w:style>
  <w:style w:type="character" w:styleId="LineNumber">
    <w:name w:val="line number"/>
    <w:basedOn w:val="DefaultParagraphFont"/>
    <w:rsid w:val="00814BB6"/>
  </w:style>
  <w:style w:type="character" w:styleId="CommentReference">
    <w:name w:val="annotation reference"/>
    <w:basedOn w:val="DefaultParagraphFont"/>
    <w:rsid w:val="008F6C8C"/>
    <w:rPr>
      <w:sz w:val="16"/>
      <w:szCs w:val="16"/>
    </w:rPr>
  </w:style>
  <w:style w:type="paragraph" w:styleId="CommentText">
    <w:name w:val="annotation text"/>
    <w:basedOn w:val="Normal"/>
    <w:link w:val="CommentTextChar"/>
    <w:rsid w:val="008F6C8C"/>
    <w:rPr>
      <w:sz w:val="20"/>
      <w:szCs w:val="20"/>
    </w:rPr>
  </w:style>
  <w:style w:type="character" w:customStyle="1" w:styleId="CommentTextChar">
    <w:name w:val="Comment Text Char"/>
    <w:basedOn w:val="DefaultParagraphFont"/>
    <w:link w:val="CommentText"/>
    <w:rsid w:val="008F6C8C"/>
  </w:style>
  <w:style w:type="paragraph" w:styleId="CommentSubject">
    <w:name w:val="annotation subject"/>
    <w:basedOn w:val="CommentText"/>
    <w:next w:val="CommentText"/>
    <w:link w:val="CommentSubjectChar"/>
    <w:rsid w:val="008F6C8C"/>
    <w:rPr>
      <w:b/>
      <w:bCs/>
    </w:rPr>
  </w:style>
  <w:style w:type="character" w:customStyle="1" w:styleId="CommentSubjectChar">
    <w:name w:val="Comment Subject Char"/>
    <w:basedOn w:val="CommentTextChar"/>
    <w:link w:val="CommentSubject"/>
    <w:rsid w:val="008F6C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SADC Major Issues</vt:lpstr>
    </vt:vector>
  </TitlesOfParts>
  <Company>NJ Dept. of Agriculture</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SADC Major Issues</dc:title>
  <dc:subject/>
  <dc:creator>Hope Gruzlovich</dc:creator>
  <cp:keywords/>
  <dc:description/>
  <cp:lastModifiedBy>Steward, Nichole [AG]</cp:lastModifiedBy>
  <cp:revision>7</cp:revision>
  <cp:lastPrinted>2006-12-21T21:11:00Z</cp:lastPrinted>
  <dcterms:created xsi:type="dcterms:W3CDTF">2025-12-10T03:41:00Z</dcterms:created>
  <dcterms:modified xsi:type="dcterms:W3CDTF">2026-01-23T19:10:00Z</dcterms:modified>
</cp:coreProperties>
</file>