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18FA" w14:textId="0C9EABF7" w:rsidR="00EB62C0" w:rsidRPr="00BF3B74" w:rsidRDefault="00EB62C0" w:rsidP="00BF3B74">
      <w:pPr>
        <w:jc w:val="center"/>
        <w:rPr>
          <w:b/>
          <w:sz w:val="28"/>
          <w:szCs w:val="28"/>
          <w:u w:val="single"/>
        </w:rPr>
      </w:pPr>
      <w:r w:rsidRPr="00BF3B74">
        <w:rPr>
          <w:b/>
          <w:sz w:val="28"/>
          <w:szCs w:val="28"/>
          <w:u w:val="single"/>
        </w:rPr>
        <w:t>Secretary’s Monthly Report to the State Board of Agriculture</w:t>
      </w:r>
    </w:p>
    <w:p w14:paraId="3A6CF2BF" w14:textId="0F7CAF72" w:rsidR="0025715E" w:rsidRPr="00BF3B74" w:rsidRDefault="0025715E" w:rsidP="00BF3B74">
      <w:pPr>
        <w:jc w:val="center"/>
        <w:rPr>
          <w:b/>
          <w:sz w:val="28"/>
          <w:szCs w:val="28"/>
          <w:u w:val="single"/>
        </w:rPr>
      </w:pPr>
      <w:r w:rsidRPr="00BF3B74">
        <w:rPr>
          <w:b/>
          <w:sz w:val="28"/>
          <w:szCs w:val="28"/>
          <w:u w:val="single"/>
        </w:rPr>
        <w:t>April 22, 2026</w:t>
      </w:r>
    </w:p>
    <w:p w14:paraId="237FF4E3" w14:textId="77777777" w:rsidR="00EB62C0" w:rsidRPr="00EB62C0" w:rsidRDefault="00EB62C0" w:rsidP="00BF3B74">
      <w:pPr>
        <w:jc w:val="both"/>
        <w:rPr>
          <w:b/>
          <w:sz w:val="28"/>
          <w:szCs w:val="28"/>
        </w:rPr>
      </w:pPr>
    </w:p>
    <w:p w14:paraId="6F9D9D95" w14:textId="6BBF023B" w:rsidR="003A59E7" w:rsidRPr="00BF3B74" w:rsidRDefault="003A59E7" w:rsidP="00BF3B74">
      <w:pPr>
        <w:jc w:val="both"/>
        <w:rPr>
          <w:sz w:val="22"/>
          <w:szCs w:val="22"/>
        </w:rPr>
      </w:pPr>
      <w:r w:rsidRPr="00BF3B74">
        <w:rPr>
          <w:b/>
          <w:sz w:val="22"/>
          <w:szCs w:val="22"/>
        </w:rPr>
        <w:t>Warren County Processing Plant</w:t>
      </w:r>
      <w:r w:rsidR="003662C1" w:rsidRPr="00BF3B74">
        <w:rPr>
          <w:b/>
          <w:sz w:val="22"/>
          <w:szCs w:val="22"/>
        </w:rPr>
        <w:t xml:space="preserve">: </w:t>
      </w:r>
      <w:r w:rsidRPr="00BF3B74">
        <w:rPr>
          <w:sz w:val="22"/>
          <w:szCs w:val="22"/>
        </w:rPr>
        <w:t>The North Jersey livestock processing project reported that the Warren County Commissioners voted 2-1 to assign the Oxford plant site to the Warren Community College for oversight, and the agreement with the not-for-profit is being worked out now. All processors interested in the USDA-MPPEP grant round are waiting with anticipation that the RFP will be released soon. USDA last reported they are determining the amount of money left available in the program to fund this fourth round.</w:t>
      </w:r>
    </w:p>
    <w:p w14:paraId="39A094E3" w14:textId="77777777" w:rsidR="009C01BE" w:rsidRPr="00BF3B74" w:rsidRDefault="009C01BE" w:rsidP="00BF3B74">
      <w:pPr>
        <w:jc w:val="both"/>
        <w:rPr>
          <w:sz w:val="22"/>
          <w:szCs w:val="22"/>
        </w:rPr>
      </w:pPr>
    </w:p>
    <w:p w14:paraId="5C7C5626" w14:textId="54CB4105" w:rsidR="009C01BE" w:rsidRPr="00BF3B74" w:rsidRDefault="009C01BE" w:rsidP="00BF3B74">
      <w:pPr>
        <w:jc w:val="both"/>
        <w:rPr>
          <w:sz w:val="22"/>
          <w:szCs w:val="22"/>
        </w:rPr>
      </w:pPr>
      <w:r w:rsidRPr="00BF3B74">
        <w:rPr>
          <w:b/>
          <w:bCs/>
          <w:sz w:val="22"/>
          <w:szCs w:val="22"/>
        </w:rPr>
        <w:t>HPAI Detections</w:t>
      </w:r>
      <w:r w:rsidRPr="00BF3B74">
        <w:rPr>
          <w:sz w:val="22"/>
          <w:szCs w:val="22"/>
        </w:rPr>
        <w:t xml:space="preserve">: A new H5 (HPAI) case in a backyard poultry flock was detected in Hunterdon County on March 25. The flock had experienced high mortality over two days before the owner contacted DAH. The NJ AHDL completed a necropsy on deceased birds from the flock and collected flock samples for Avian Influenza testing. On-site response and disposal </w:t>
      </w:r>
      <w:proofErr w:type="gramStart"/>
      <w:r w:rsidRPr="00BF3B74">
        <w:rPr>
          <w:sz w:val="22"/>
          <w:szCs w:val="22"/>
        </w:rPr>
        <w:t>was</w:t>
      </w:r>
      <w:proofErr w:type="gramEnd"/>
      <w:r w:rsidRPr="00BF3B74">
        <w:rPr>
          <w:sz w:val="22"/>
          <w:szCs w:val="22"/>
        </w:rPr>
        <w:t xml:space="preserve"> completed on March 27. The premises </w:t>
      </w:r>
      <w:proofErr w:type="gramStart"/>
      <w:r w:rsidRPr="00BF3B74">
        <w:rPr>
          <w:sz w:val="22"/>
          <w:szCs w:val="22"/>
        </w:rPr>
        <w:t>was</w:t>
      </w:r>
      <w:proofErr w:type="gramEnd"/>
      <w:r w:rsidRPr="00BF3B74">
        <w:rPr>
          <w:sz w:val="22"/>
          <w:szCs w:val="22"/>
        </w:rPr>
        <w:t xml:space="preserve"> quarantined and will be managed with a 120-</w:t>
      </w:r>
      <w:proofErr w:type="gramStart"/>
      <w:r w:rsidRPr="00BF3B74">
        <w:rPr>
          <w:sz w:val="22"/>
          <w:szCs w:val="22"/>
        </w:rPr>
        <w:t>day fallow</w:t>
      </w:r>
      <w:proofErr w:type="gramEnd"/>
      <w:r w:rsidRPr="00BF3B74">
        <w:rPr>
          <w:sz w:val="22"/>
          <w:szCs w:val="22"/>
        </w:rPr>
        <w:t xml:space="preserve"> period.</w:t>
      </w:r>
      <w:r w:rsidR="00BF3B74" w:rsidRPr="00BF3B74">
        <w:rPr>
          <w:sz w:val="22"/>
          <w:szCs w:val="22"/>
        </w:rPr>
        <w:t xml:space="preserve">  </w:t>
      </w:r>
      <w:r w:rsidRPr="00BF3B74">
        <w:rPr>
          <w:sz w:val="22"/>
          <w:szCs w:val="22"/>
        </w:rPr>
        <w:t>On April 02, another H5 (HPAI) detection in Ocean County was reported. This case involved only one bird, which died with no clinical signs. The remaining birds in the flock have displayed no signs of disease. This flock is a component of captive animals at an exhibition facility and is categorized as agricultural livestock. A 120-day quarantine was implemented with firm instructions to report any bird illness or death to NJDA.</w:t>
      </w:r>
    </w:p>
    <w:p w14:paraId="56CB8650" w14:textId="77777777" w:rsidR="003A59E7" w:rsidRPr="00BF3B74" w:rsidRDefault="003A59E7" w:rsidP="00BF3B74">
      <w:pPr>
        <w:jc w:val="both"/>
        <w:rPr>
          <w:sz w:val="22"/>
          <w:szCs w:val="22"/>
        </w:rPr>
      </w:pPr>
    </w:p>
    <w:p w14:paraId="45BE6760" w14:textId="10F34F32" w:rsidR="003662C1" w:rsidRPr="00BF3B74" w:rsidRDefault="003662C1" w:rsidP="00BF3B74">
      <w:pPr>
        <w:jc w:val="both"/>
        <w:rPr>
          <w:sz w:val="22"/>
          <w:szCs w:val="22"/>
        </w:rPr>
      </w:pPr>
      <w:r w:rsidRPr="00BF3B74">
        <w:rPr>
          <w:b/>
          <w:bCs/>
          <w:sz w:val="22"/>
          <w:szCs w:val="22"/>
        </w:rPr>
        <w:t>Animal Health Testing March 2026</w:t>
      </w:r>
      <w:r w:rsidRPr="00BF3B74">
        <w:rPr>
          <w:sz w:val="22"/>
          <w:szCs w:val="22"/>
        </w:rPr>
        <w:t>: The Pathology Laboratory Section for the month of</w:t>
      </w:r>
      <w:r w:rsidRPr="00BF3B74">
        <w:rPr>
          <w:b/>
          <w:bCs/>
          <w:sz w:val="22"/>
          <w:szCs w:val="22"/>
        </w:rPr>
        <w:t xml:space="preserve"> March</w:t>
      </w:r>
      <w:r w:rsidR="00BF3B74" w:rsidRPr="00BF3B74">
        <w:rPr>
          <w:b/>
          <w:bCs/>
          <w:sz w:val="22"/>
          <w:szCs w:val="22"/>
        </w:rPr>
        <w:t xml:space="preserve"> </w:t>
      </w:r>
      <w:r w:rsidRPr="00BF3B74">
        <w:rPr>
          <w:b/>
          <w:bCs/>
          <w:sz w:val="22"/>
          <w:szCs w:val="22"/>
        </w:rPr>
        <w:t xml:space="preserve">2026 </w:t>
      </w:r>
      <w:r w:rsidRPr="00BF3B74">
        <w:rPr>
          <w:sz w:val="22"/>
          <w:szCs w:val="22"/>
        </w:rPr>
        <w:t>completed a total of</w:t>
      </w:r>
      <w:r w:rsidRPr="00BF3B74">
        <w:rPr>
          <w:b/>
          <w:bCs/>
          <w:sz w:val="22"/>
          <w:szCs w:val="22"/>
        </w:rPr>
        <w:t xml:space="preserve"> 940 </w:t>
      </w:r>
      <w:r w:rsidRPr="00BF3B74">
        <w:rPr>
          <w:sz w:val="22"/>
          <w:szCs w:val="22"/>
        </w:rPr>
        <w:t>tests/</w:t>
      </w:r>
      <w:r w:rsidR="00EE6D14" w:rsidRPr="00BF3B74">
        <w:rPr>
          <w:sz w:val="22"/>
          <w:szCs w:val="22"/>
        </w:rPr>
        <w:t>p</w:t>
      </w:r>
      <w:r w:rsidRPr="00BF3B74">
        <w:rPr>
          <w:sz w:val="22"/>
          <w:szCs w:val="22"/>
        </w:rPr>
        <w:t>rocedures.</w:t>
      </w:r>
      <w:r w:rsidR="00EE6D14" w:rsidRPr="00BF3B74">
        <w:rPr>
          <w:sz w:val="22"/>
          <w:szCs w:val="22"/>
        </w:rPr>
        <w:t xml:space="preserve"> </w:t>
      </w:r>
      <w:r w:rsidRPr="00BF3B74">
        <w:rPr>
          <w:sz w:val="22"/>
          <w:szCs w:val="22"/>
        </w:rPr>
        <w:t>T</w:t>
      </w:r>
      <w:r w:rsidR="00EE6D14" w:rsidRPr="00BF3B74">
        <w:rPr>
          <w:sz w:val="22"/>
          <w:szCs w:val="22"/>
        </w:rPr>
        <w:t>hese</w:t>
      </w:r>
      <w:r w:rsidRPr="00BF3B74">
        <w:rPr>
          <w:sz w:val="22"/>
          <w:szCs w:val="22"/>
        </w:rPr>
        <w:t xml:space="preserve"> involved gross necropsy examination; histopathologic (microscopic), immunohistochemical, and parasitological preparation and evaluation; and, in some cases, additional diagnostic tests for other laboratory sections (e.g., bacteriology, virology, and molecular diagnostics). Cases involved diagnostic testing for disease and/or cause of death diagnosis and routine and/or sporadic disease surveillance for large and small ruminant, companion animal, and exotic/zoo species; sudden death with no clinical symptoms; assessment of backyard and small flock health issues; large-scale flock disease; law enforcement forensic investigation and animals exhibiting neurologic symptoms.</w:t>
      </w:r>
    </w:p>
    <w:p w14:paraId="1BE42DDC" w14:textId="77777777" w:rsidR="00D70FF6" w:rsidRPr="00BF3B74" w:rsidRDefault="00D70FF6" w:rsidP="00BF3B74">
      <w:pPr>
        <w:pStyle w:val="Default"/>
        <w:jc w:val="both"/>
        <w:rPr>
          <w:sz w:val="22"/>
          <w:szCs w:val="22"/>
        </w:rPr>
      </w:pPr>
      <w:r w:rsidRPr="00BF3B74">
        <w:rPr>
          <w:sz w:val="22"/>
          <w:szCs w:val="22"/>
        </w:rPr>
        <w:t xml:space="preserve"> </w:t>
      </w:r>
    </w:p>
    <w:p w14:paraId="7838B0EC" w14:textId="497164D8" w:rsidR="00D60124" w:rsidRPr="00BF3B74" w:rsidRDefault="00D70FF6" w:rsidP="00BF3B74">
      <w:pPr>
        <w:pStyle w:val="Default"/>
        <w:jc w:val="both"/>
        <w:rPr>
          <w:sz w:val="22"/>
          <w:szCs w:val="22"/>
        </w:rPr>
      </w:pPr>
      <w:r w:rsidRPr="00BF3B74">
        <w:rPr>
          <w:rFonts w:ascii="Times New Roman" w:hAnsi="Times New Roman" w:cs="Times New Roman"/>
          <w:b/>
          <w:bCs/>
          <w:sz w:val="22"/>
          <w:szCs w:val="22"/>
        </w:rPr>
        <w:t>Woodland Preservation Program</w:t>
      </w:r>
      <w:r w:rsidRPr="00BF3B74">
        <w:rPr>
          <w:rFonts w:ascii="Times New Roman" w:hAnsi="Times New Roman" w:cs="Times New Roman"/>
          <w:sz w:val="22"/>
          <w:szCs w:val="22"/>
        </w:rPr>
        <w:t xml:space="preserve">: Staff met with the SADC’s Future Program subcommittee to discuss the initial strategies and staff recommendations regarding the development of the Woodland Preservation Program. Staff have attended meetings of the New Jersey Foresters Association and the New Jersey Society of Foresters for input. Outreach efforts to county-level stakeholders will be organized shortly. </w:t>
      </w:r>
    </w:p>
    <w:p w14:paraId="3692D27D" w14:textId="77777777" w:rsidR="00D60124" w:rsidRPr="00BF3B74" w:rsidRDefault="00D60124" w:rsidP="00BF3B74">
      <w:pPr>
        <w:jc w:val="both"/>
        <w:rPr>
          <w:sz w:val="22"/>
          <w:szCs w:val="22"/>
        </w:rPr>
      </w:pPr>
    </w:p>
    <w:p w14:paraId="22D7D443" w14:textId="057951B1" w:rsidR="00D60124" w:rsidRPr="00BF3B74" w:rsidRDefault="003A59E7" w:rsidP="00BF3B74">
      <w:pPr>
        <w:jc w:val="both"/>
        <w:rPr>
          <w:sz w:val="22"/>
          <w:szCs w:val="22"/>
        </w:rPr>
      </w:pPr>
      <w:r w:rsidRPr="00BF3B74">
        <w:rPr>
          <w:b/>
          <w:bCs/>
          <w:sz w:val="22"/>
          <w:szCs w:val="22"/>
        </w:rPr>
        <w:t>PFAS Testing</w:t>
      </w:r>
      <w:r w:rsidR="00030984" w:rsidRPr="00BF3B74">
        <w:rPr>
          <w:b/>
          <w:bCs/>
          <w:sz w:val="22"/>
          <w:szCs w:val="22"/>
        </w:rPr>
        <w:t>:</w:t>
      </w:r>
      <w:r w:rsidRPr="00BF3B74">
        <w:rPr>
          <w:sz w:val="22"/>
          <w:szCs w:val="22"/>
        </w:rPr>
        <w:t xml:space="preserve"> The dairy and livestock section is working with the PFAS group to develop testing and management of crops grown on </w:t>
      </w:r>
      <w:r w:rsidR="00D60124" w:rsidRPr="00BF3B74">
        <w:rPr>
          <w:sz w:val="22"/>
          <w:szCs w:val="22"/>
        </w:rPr>
        <w:t>PFAS-</w:t>
      </w:r>
      <w:r w:rsidRPr="00BF3B74">
        <w:rPr>
          <w:sz w:val="22"/>
          <w:szCs w:val="22"/>
        </w:rPr>
        <w:t>contaminated land. A sampling protocol is being worked on by the Department with the EPA. There are methods of controlling feed intake of PFAS</w:t>
      </w:r>
      <w:r w:rsidR="00D60124" w:rsidRPr="00BF3B74">
        <w:rPr>
          <w:sz w:val="22"/>
          <w:szCs w:val="22"/>
        </w:rPr>
        <w:t>-</w:t>
      </w:r>
      <w:r w:rsidRPr="00BF3B74">
        <w:rPr>
          <w:sz w:val="22"/>
          <w:szCs w:val="22"/>
        </w:rPr>
        <w:t>laced feeds and clearing the chemicals from the livestock and livestock products. Work is also underway to assist in a deer study with NJ-DEP</w:t>
      </w:r>
      <w:r w:rsidR="00D60124" w:rsidRPr="00BF3B74">
        <w:rPr>
          <w:sz w:val="22"/>
          <w:szCs w:val="22"/>
        </w:rPr>
        <w:t>,</w:t>
      </w:r>
      <w:r w:rsidRPr="00BF3B74">
        <w:rPr>
          <w:sz w:val="22"/>
          <w:szCs w:val="22"/>
        </w:rPr>
        <w:t xml:space="preserve"> where access to the lands is needed to harvest deer for testing by partners in this project.</w:t>
      </w:r>
    </w:p>
    <w:p w14:paraId="01EA315E" w14:textId="4CF6E4CE" w:rsidR="003A59E7" w:rsidRPr="00BF3B74" w:rsidRDefault="003A59E7" w:rsidP="00BF3B74">
      <w:pPr>
        <w:jc w:val="both"/>
        <w:rPr>
          <w:sz w:val="22"/>
          <w:szCs w:val="22"/>
        </w:rPr>
      </w:pPr>
      <w:r w:rsidRPr="00BF3B74">
        <w:rPr>
          <w:sz w:val="22"/>
          <w:szCs w:val="22"/>
        </w:rPr>
        <w:t xml:space="preserve">  </w:t>
      </w:r>
    </w:p>
    <w:p w14:paraId="1938A5E7" w14:textId="5940E27C" w:rsidR="002971A8" w:rsidRPr="00BF3B74" w:rsidRDefault="002971A8" w:rsidP="00BF3B74">
      <w:pPr>
        <w:pStyle w:val="ListParagraph"/>
        <w:ind w:left="0"/>
        <w:jc w:val="both"/>
        <w:rPr>
          <w:rFonts w:cs="Aptos"/>
          <w:sz w:val="22"/>
          <w:szCs w:val="22"/>
        </w:rPr>
      </w:pPr>
      <w:r w:rsidRPr="00BF3B74">
        <w:rPr>
          <w:rFonts w:cs="Aptos"/>
          <w:b/>
          <w:bCs/>
          <w:sz w:val="22"/>
          <w:szCs w:val="22"/>
        </w:rPr>
        <w:t>Farm Buildings and UCC</w:t>
      </w:r>
      <w:r w:rsidRPr="00BF3B74">
        <w:rPr>
          <w:rFonts w:cs="Aptos"/>
          <w:sz w:val="22"/>
          <w:szCs w:val="22"/>
        </w:rPr>
        <w:t>: Division of Agricultural and Natural Resources staff developed a comprehensive presentation on agricultural and horticultural development as it relates to Commercial Farm Buildings under the Uniform Construction Code (UCC). Content included an overview of International Building Code (IBC) occupancy use groups and their applicability, as well as a regulatory framework covering key statutes and rules, including the Farmland Assessment Act, Right to Farm Act, Soil Erosion and Sediment Control Act, and Stormwater Management regulations. Materials were presented to West Amwell Agricultural Advisory Committee, and municipal officials.</w:t>
      </w:r>
    </w:p>
    <w:p w14:paraId="425FA030" w14:textId="5448D950" w:rsidR="003A59E7" w:rsidRPr="00BF3B74" w:rsidRDefault="003A59E7" w:rsidP="00BF3B74">
      <w:pPr>
        <w:jc w:val="both"/>
        <w:rPr>
          <w:sz w:val="22"/>
          <w:szCs w:val="22"/>
        </w:rPr>
      </w:pPr>
      <w:r w:rsidRPr="00BF3B74">
        <w:rPr>
          <w:sz w:val="22"/>
          <w:szCs w:val="22"/>
        </w:rPr>
        <w:t xml:space="preserve">  </w:t>
      </w:r>
    </w:p>
    <w:p w14:paraId="19FFEB84" w14:textId="77777777" w:rsidR="00894190" w:rsidRDefault="00CE3C50" w:rsidP="00BF3B74">
      <w:pPr>
        <w:jc w:val="both"/>
        <w:rPr>
          <w:sz w:val="22"/>
          <w:szCs w:val="22"/>
        </w:rPr>
      </w:pPr>
      <w:r w:rsidRPr="00BF3B74">
        <w:rPr>
          <w:b/>
          <w:bCs/>
          <w:sz w:val="22"/>
          <w:szCs w:val="22"/>
        </w:rPr>
        <w:t xml:space="preserve">NJDEP Weekly Drinking Water Supply Update: </w:t>
      </w:r>
      <w:r w:rsidR="00A32884" w:rsidRPr="00BF3B74">
        <w:rPr>
          <w:sz w:val="22"/>
          <w:szCs w:val="22"/>
        </w:rPr>
        <w:t>Division of Agricultural and Natural Resources staff reported that, w</w:t>
      </w:r>
      <w:r w:rsidRPr="00BF3B74">
        <w:rPr>
          <w:sz w:val="22"/>
          <w:szCs w:val="22"/>
        </w:rPr>
        <w:t xml:space="preserve">ith the end of March and beginning of April showing below average rainfall, dry conditions continue to negatively impact water supply indicators. Consistent rainfall across the entire state remains necessary to improve water-supply conditions, and as such, New Jersey remains in a Drought Warning. </w:t>
      </w:r>
    </w:p>
    <w:p w14:paraId="789E5CA9" w14:textId="3BA091A3" w:rsidR="00EF130F" w:rsidRPr="00BF3B74" w:rsidRDefault="00CE3C50" w:rsidP="00BF3B74">
      <w:pPr>
        <w:jc w:val="both"/>
        <w:rPr>
          <w:sz w:val="22"/>
          <w:szCs w:val="22"/>
        </w:rPr>
      </w:pPr>
      <w:r w:rsidRPr="00BF3B74">
        <w:rPr>
          <w:sz w:val="22"/>
          <w:szCs w:val="22"/>
        </w:rPr>
        <w:lastRenderedPageBreak/>
        <w:t>As the growing season begins in New Jersey, the public is strongly encouraged to practice water conservation and use water wisely</w:t>
      </w:r>
      <w:r w:rsidR="00EF130F" w:rsidRPr="00BF3B74">
        <w:rPr>
          <w:sz w:val="22"/>
          <w:szCs w:val="22"/>
        </w:rPr>
        <w:t>.</w:t>
      </w:r>
    </w:p>
    <w:p w14:paraId="6ABB214B" w14:textId="77777777" w:rsidR="00EF130F" w:rsidRPr="00BF3B74" w:rsidRDefault="00EF130F" w:rsidP="00BF3B74">
      <w:pPr>
        <w:jc w:val="both"/>
        <w:rPr>
          <w:sz w:val="22"/>
          <w:szCs w:val="22"/>
        </w:rPr>
      </w:pPr>
    </w:p>
    <w:p w14:paraId="78B41E87" w14:textId="64D7C6B2" w:rsidR="00EF130F" w:rsidRPr="00BF3B74" w:rsidRDefault="00EF130F" w:rsidP="00BF3B74">
      <w:pPr>
        <w:jc w:val="both"/>
        <w:rPr>
          <w:sz w:val="22"/>
          <w:szCs w:val="22"/>
        </w:rPr>
      </w:pPr>
      <w:r w:rsidRPr="00BF3B74">
        <w:rPr>
          <w:b/>
          <w:bCs/>
          <w:sz w:val="22"/>
          <w:szCs w:val="22"/>
        </w:rPr>
        <w:t>Urban Agriculture</w:t>
      </w:r>
      <w:r w:rsidRPr="00BF3B74">
        <w:rPr>
          <w:sz w:val="22"/>
          <w:szCs w:val="22"/>
        </w:rPr>
        <w:t>: The Department continues its development of the Urban Agriculture Strategic Plan in collaboration with the NJDA Urban Agriculture Workgroup and the State Board Urban Agriculture Committee. Stakeholder engagement remains active following the March 18 community meeting, and additional work is underway to refine priority areas and gather input from partners.</w:t>
      </w:r>
    </w:p>
    <w:p w14:paraId="5F4F75DA" w14:textId="77777777" w:rsidR="009315BA" w:rsidRPr="00BF3B74" w:rsidRDefault="009315BA" w:rsidP="00BF3B74">
      <w:pPr>
        <w:jc w:val="both"/>
        <w:rPr>
          <w:sz w:val="22"/>
          <w:szCs w:val="22"/>
        </w:rPr>
      </w:pPr>
    </w:p>
    <w:p w14:paraId="7F4F1DEE" w14:textId="77777777" w:rsidR="009315BA" w:rsidRPr="00BF3B74" w:rsidRDefault="009315BA" w:rsidP="00BF3B74">
      <w:pPr>
        <w:jc w:val="both"/>
        <w:rPr>
          <w:sz w:val="22"/>
          <w:szCs w:val="22"/>
        </w:rPr>
      </w:pPr>
      <w:r w:rsidRPr="00BF3B74">
        <w:rPr>
          <w:b/>
          <w:bCs/>
          <w:sz w:val="22"/>
          <w:szCs w:val="22"/>
        </w:rPr>
        <w:t xml:space="preserve">Summer EBT: </w:t>
      </w:r>
      <w:r w:rsidRPr="00BF3B74">
        <w:rPr>
          <w:sz w:val="22"/>
          <w:szCs w:val="22"/>
        </w:rPr>
        <w:t xml:space="preserve">The Summer EBT Unit conducted a live, comprehensive webinar on the Summer EBT 2026 File Upload Process on Wednesday, March 25. School officials and all school personnel directly responsible for student demographic, meal eligibility, and/or enrollment information were strongly encouraged to attend the training. The training covered two hours, with half of that time dedicated to </w:t>
      </w:r>
      <w:proofErr w:type="gramStart"/>
      <w:r w:rsidRPr="00BF3B74">
        <w:rPr>
          <w:sz w:val="22"/>
          <w:szCs w:val="22"/>
        </w:rPr>
        <w:t>participating</w:t>
      </w:r>
      <w:proofErr w:type="gramEnd"/>
      <w:r w:rsidRPr="00BF3B74">
        <w:rPr>
          <w:sz w:val="22"/>
          <w:szCs w:val="22"/>
        </w:rPr>
        <w:t xml:space="preserve"> School Food Authority (SFA) questions. Attendance was good, with 343 school district personnel registered, and 308 participants actively logged in. The recording and slides have been posted in SNEARS Resources. The Summer EBT Team received positive feedback in the webinar chat and through follow-up emails.</w:t>
      </w:r>
    </w:p>
    <w:p w14:paraId="30701AF9" w14:textId="77777777" w:rsidR="00CE3C50" w:rsidRPr="00BF3B74" w:rsidRDefault="00CE3C50" w:rsidP="00BF3B74">
      <w:pPr>
        <w:jc w:val="both"/>
        <w:rPr>
          <w:sz w:val="22"/>
          <w:szCs w:val="22"/>
          <w:u w:val="single"/>
        </w:rPr>
      </w:pPr>
    </w:p>
    <w:p w14:paraId="1F2128F4" w14:textId="6E60CC3A" w:rsidR="00535552" w:rsidRPr="00BF3B74" w:rsidRDefault="00535552" w:rsidP="00BF3B74">
      <w:pPr>
        <w:shd w:val="clear" w:color="auto" w:fill="FFFFFF"/>
        <w:jc w:val="both"/>
        <w:rPr>
          <w:sz w:val="22"/>
          <w:szCs w:val="22"/>
        </w:rPr>
      </w:pPr>
      <w:r w:rsidRPr="00BF3B74">
        <w:rPr>
          <w:b/>
          <w:bCs/>
          <w:sz w:val="22"/>
          <w:szCs w:val="22"/>
        </w:rPr>
        <w:t>Nursery/Phytosanitary Inspections</w:t>
      </w:r>
      <w:r w:rsidRPr="00BF3B74">
        <w:rPr>
          <w:sz w:val="22"/>
          <w:szCs w:val="22"/>
        </w:rPr>
        <w:t>: Division of Plant Industry staff conducted 116 dealer inspections and 11 nursery inspections during the month. These inspections include an examination of overwintering nursery stock. Horticultural staff also conducted 33 Phytosanitary inspections conducted during March. These inspections certified plant material for shipment to other states and countries. There were 18 federal phytosanitary inspections of 775 bulbs, 24,762 tubers, and 880,896 rooted plants to Canada. There were 15 domestic shipments that certified 21,800 plants, 792,222 bulbs, and 179,076 bare root plants to California, Texas, and Washington State.</w:t>
      </w:r>
    </w:p>
    <w:p w14:paraId="2F27D757" w14:textId="77777777" w:rsidR="00EB2E31" w:rsidRPr="00BF3B74" w:rsidRDefault="00EB2E31" w:rsidP="00BF3B74">
      <w:pPr>
        <w:jc w:val="both"/>
        <w:rPr>
          <w:sz w:val="22"/>
          <w:szCs w:val="22"/>
        </w:rPr>
      </w:pPr>
    </w:p>
    <w:p w14:paraId="673F1252" w14:textId="77777777" w:rsidR="009F463F" w:rsidRPr="00BF3B74" w:rsidRDefault="0088484A" w:rsidP="00BF3B74">
      <w:pPr>
        <w:jc w:val="both"/>
        <w:rPr>
          <w:sz w:val="22"/>
          <w:szCs w:val="22"/>
        </w:rPr>
      </w:pPr>
      <w:r w:rsidRPr="00BF3B74">
        <w:rPr>
          <w:b/>
          <w:bCs/>
          <w:sz w:val="22"/>
          <w:szCs w:val="22"/>
        </w:rPr>
        <w:t xml:space="preserve">Child &amp; Adult Care Food Program: </w:t>
      </w:r>
      <w:r w:rsidRPr="00BF3B74">
        <w:rPr>
          <w:sz w:val="22"/>
          <w:szCs w:val="22"/>
        </w:rPr>
        <w:t>A key operational priority this month is coordination surrounding the second round of Food and Nutrition Service (FNS) targeted reviews, which will be conducted April 13-16. This requires extensive unit-level planning to ensure appropriate field coverage, staff availability, new institution outreach/onboarding support, and continuity of administrative review obligations while supporting federal monitoring efforts.</w:t>
      </w:r>
    </w:p>
    <w:p w14:paraId="40754690" w14:textId="77777777" w:rsidR="009F463F" w:rsidRPr="00BF3B74" w:rsidRDefault="009F463F" w:rsidP="00BF3B74">
      <w:pPr>
        <w:jc w:val="both"/>
        <w:rPr>
          <w:b/>
          <w:bCs/>
          <w:sz w:val="22"/>
          <w:szCs w:val="22"/>
        </w:rPr>
      </w:pPr>
    </w:p>
    <w:p w14:paraId="7E8FF730" w14:textId="40E307D8" w:rsidR="00901867" w:rsidRPr="00BF3B74" w:rsidRDefault="009F463F" w:rsidP="00BF3B74">
      <w:pPr>
        <w:pStyle w:val="yiv1402650672msonormal"/>
        <w:shd w:val="clear" w:color="auto" w:fill="FFFFFF"/>
        <w:spacing w:before="0" w:beforeAutospacing="0" w:after="0" w:afterAutospacing="0"/>
        <w:jc w:val="both"/>
        <w:rPr>
          <w:rFonts w:ascii="Aptos" w:hAnsi="Aptos"/>
          <w:color w:val="1D1D1D"/>
          <w:sz w:val="22"/>
          <w:szCs w:val="22"/>
        </w:rPr>
      </w:pPr>
      <w:r w:rsidRPr="00BF3B74">
        <w:rPr>
          <w:b/>
          <w:bCs/>
          <w:sz w:val="22"/>
          <w:szCs w:val="22"/>
        </w:rPr>
        <w:t xml:space="preserve">USDA - Specialty Crop Block Grant Program (SCBGP): </w:t>
      </w:r>
      <w:r w:rsidRPr="00BF3B74">
        <w:rPr>
          <w:sz w:val="22"/>
          <w:szCs w:val="22"/>
        </w:rPr>
        <w:t xml:space="preserve">A funding opportunity was released by USDA on April 13 regarding the USDA Specialty Crop Block Grant Program, with New Jersey receiving approximately $1,000,000 in funding to support grant projects. An RFP seeking </w:t>
      </w:r>
      <w:proofErr w:type="gramStart"/>
      <w:r w:rsidRPr="00BF3B74">
        <w:rPr>
          <w:sz w:val="22"/>
          <w:szCs w:val="22"/>
        </w:rPr>
        <w:t>proposals</w:t>
      </w:r>
      <w:proofErr w:type="gramEnd"/>
      <w:r w:rsidRPr="00BF3B74">
        <w:rPr>
          <w:sz w:val="22"/>
          <w:szCs w:val="22"/>
        </w:rPr>
        <w:t xml:space="preserve"> was published on the NJDA website, with a press release to follow. Applications are due May 14, and reviews of those proposals </w:t>
      </w:r>
      <w:proofErr w:type="gramStart"/>
      <w:r w:rsidRPr="00BF3B74">
        <w:rPr>
          <w:sz w:val="22"/>
          <w:szCs w:val="22"/>
        </w:rPr>
        <w:t>will occur</w:t>
      </w:r>
      <w:proofErr w:type="gramEnd"/>
      <w:r w:rsidRPr="00BF3B74">
        <w:rPr>
          <w:sz w:val="22"/>
          <w:szCs w:val="22"/>
        </w:rPr>
        <w:t xml:space="preserve"> from May 14-June 8.</w:t>
      </w:r>
      <w:r w:rsidR="00901867" w:rsidRPr="00BF3B74">
        <w:rPr>
          <w:sz w:val="22"/>
          <w:szCs w:val="22"/>
        </w:rPr>
        <w:t xml:space="preserve"> The link to apply is: </w:t>
      </w:r>
      <w:hyperlink r:id="rId5" w:tgtFrame="_blank" w:history="1">
        <w:r w:rsidR="00901867" w:rsidRPr="00BF3B74">
          <w:rPr>
            <w:rStyle w:val="Hyperlink"/>
            <w:rFonts w:ascii="Aptos" w:eastAsiaTheme="majorEastAsia" w:hAnsi="Aptos"/>
            <w:sz w:val="22"/>
            <w:szCs w:val="22"/>
          </w:rPr>
          <w:t>https://njdoa.prod.simpligov.com/prod/portal/ShowWorkFlow/AnonymousEmbed/35b738f9-971e-47fb-b086-f3f881492380</w:t>
        </w:r>
      </w:hyperlink>
    </w:p>
    <w:p w14:paraId="3EE876D8" w14:textId="766734B5" w:rsidR="003F4F30" w:rsidRPr="00BF3B74" w:rsidRDefault="00901867" w:rsidP="00BF3B74">
      <w:pPr>
        <w:pStyle w:val="yiv1402650672msonormal"/>
        <w:shd w:val="clear" w:color="auto" w:fill="FFFFFF"/>
        <w:spacing w:before="0" w:beforeAutospacing="0" w:after="0" w:afterAutospacing="0"/>
        <w:jc w:val="both"/>
        <w:rPr>
          <w:rFonts w:ascii="Arial" w:hAnsi="Arial" w:cs="Arial"/>
          <w:b/>
          <w:sz w:val="22"/>
          <w:szCs w:val="22"/>
        </w:rPr>
      </w:pPr>
      <w:r w:rsidRPr="00BF3B74">
        <w:rPr>
          <w:rFonts w:ascii="Aptos" w:hAnsi="Aptos"/>
          <w:color w:val="1D1D1D"/>
          <w:sz w:val="22"/>
          <w:szCs w:val="22"/>
        </w:rPr>
        <w:t> </w:t>
      </w:r>
    </w:p>
    <w:p w14:paraId="32A5CC85" w14:textId="4C1405EC" w:rsidR="003F4F30" w:rsidRPr="00BF3B74" w:rsidRDefault="003F4F30" w:rsidP="00BF3B74">
      <w:pPr>
        <w:jc w:val="both"/>
        <w:rPr>
          <w:bCs/>
          <w:sz w:val="22"/>
          <w:szCs w:val="22"/>
        </w:rPr>
      </w:pPr>
      <w:r w:rsidRPr="00BF3B74">
        <w:rPr>
          <w:b/>
          <w:sz w:val="22"/>
          <w:szCs w:val="22"/>
        </w:rPr>
        <w:t xml:space="preserve">Colony Condition: </w:t>
      </w:r>
      <w:r w:rsidRPr="00BF3B74">
        <w:rPr>
          <w:bCs/>
          <w:sz w:val="22"/>
          <w:szCs w:val="22"/>
        </w:rPr>
        <w:t xml:space="preserve">The State Apiarist received several calls and emails regarding dead colonies. Bee colonies are quickly building, and swarms are starting to be reported. The Apiarist </w:t>
      </w:r>
      <w:proofErr w:type="gramStart"/>
      <w:r w:rsidRPr="00BF3B74">
        <w:rPr>
          <w:bCs/>
          <w:sz w:val="22"/>
          <w:szCs w:val="22"/>
        </w:rPr>
        <w:t>is reminding</w:t>
      </w:r>
      <w:proofErr w:type="gramEnd"/>
      <w:r w:rsidRPr="00BF3B74">
        <w:rPr>
          <w:bCs/>
          <w:sz w:val="22"/>
          <w:szCs w:val="22"/>
        </w:rPr>
        <w:t xml:space="preserve"> beekeepers to stay on top of swarm management, have a water source on their property, and to keep an eye on maintaining adequate food levels in the colonies for the cold, frosty mornings. </w:t>
      </w:r>
    </w:p>
    <w:sectPr w:rsidR="003F4F30" w:rsidRPr="00BF3B74" w:rsidSect="00894190">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4A1A"/>
    <w:multiLevelType w:val="hybridMultilevel"/>
    <w:tmpl w:val="09FAF768"/>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1" w15:restartNumberingAfterBreak="0">
    <w:nsid w:val="66C44946"/>
    <w:multiLevelType w:val="hybridMultilevel"/>
    <w:tmpl w:val="4F7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34651"/>
    <w:multiLevelType w:val="hybridMultilevel"/>
    <w:tmpl w:val="62500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D27059"/>
    <w:multiLevelType w:val="hybridMultilevel"/>
    <w:tmpl w:val="5E789040"/>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num w:numId="1" w16cid:durableId="946426921">
    <w:abstractNumId w:val="2"/>
  </w:num>
  <w:num w:numId="2" w16cid:durableId="336008192">
    <w:abstractNumId w:val="1"/>
  </w:num>
  <w:num w:numId="3" w16cid:durableId="168493627">
    <w:abstractNumId w:val="0"/>
  </w:num>
  <w:num w:numId="4" w16cid:durableId="305162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C0"/>
    <w:rsid w:val="00030984"/>
    <w:rsid w:val="000C7344"/>
    <w:rsid w:val="000E77F1"/>
    <w:rsid w:val="0014628F"/>
    <w:rsid w:val="00154F0D"/>
    <w:rsid w:val="001647E8"/>
    <w:rsid w:val="001D087F"/>
    <w:rsid w:val="002019EC"/>
    <w:rsid w:val="00203B1C"/>
    <w:rsid w:val="002263D9"/>
    <w:rsid w:val="002342A2"/>
    <w:rsid w:val="0025715E"/>
    <w:rsid w:val="00292A11"/>
    <w:rsid w:val="002971A8"/>
    <w:rsid w:val="002C6873"/>
    <w:rsid w:val="003246C0"/>
    <w:rsid w:val="003457C3"/>
    <w:rsid w:val="0035236C"/>
    <w:rsid w:val="003662C1"/>
    <w:rsid w:val="003A59E7"/>
    <w:rsid w:val="003F4F30"/>
    <w:rsid w:val="00431BC5"/>
    <w:rsid w:val="00435C05"/>
    <w:rsid w:val="004F1767"/>
    <w:rsid w:val="00534553"/>
    <w:rsid w:val="00535552"/>
    <w:rsid w:val="00554F5C"/>
    <w:rsid w:val="005A137B"/>
    <w:rsid w:val="005B6804"/>
    <w:rsid w:val="005B6998"/>
    <w:rsid w:val="00671636"/>
    <w:rsid w:val="00745403"/>
    <w:rsid w:val="007A0EAC"/>
    <w:rsid w:val="007D13F9"/>
    <w:rsid w:val="008460D4"/>
    <w:rsid w:val="0088484A"/>
    <w:rsid w:val="00894190"/>
    <w:rsid w:val="008E4CBA"/>
    <w:rsid w:val="008F746F"/>
    <w:rsid w:val="00901867"/>
    <w:rsid w:val="009315BA"/>
    <w:rsid w:val="009356D9"/>
    <w:rsid w:val="00953930"/>
    <w:rsid w:val="009603CC"/>
    <w:rsid w:val="00980830"/>
    <w:rsid w:val="009908B7"/>
    <w:rsid w:val="009C01BE"/>
    <w:rsid w:val="009F463F"/>
    <w:rsid w:val="00A32884"/>
    <w:rsid w:val="00AC01B0"/>
    <w:rsid w:val="00AF2574"/>
    <w:rsid w:val="00B944E2"/>
    <w:rsid w:val="00BF3B74"/>
    <w:rsid w:val="00C0212B"/>
    <w:rsid w:val="00C5532F"/>
    <w:rsid w:val="00CD0D97"/>
    <w:rsid w:val="00CE3C50"/>
    <w:rsid w:val="00CF2245"/>
    <w:rsid w:val="00D60124"/>
    <w:rsid w:val="00D70FF6"/>
    <w:rsid w:val="00D76F11"/>
    <w:rsid w:val="00DA1B36"/>
    <w:rsid w:val="00E65E1F"/>
    <w:rsid w:val="00E80DE6"/>
    <w:rsid w:val="00E97E66"/>
    <w:rsid w:val="00EB2E31"/>
    <w:rsid w:val="00EB62C0"/>
    <w:rsid w:val="00EE6D14"/>
    <w:rsid w:val="00EF130F"/>
    <w:rsid w:val="00FB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9547"/>
  <w15:chartTrackingRefBased/>
  <w15:docId w15:val="{3A433B75-77EF-45E6-BADD-922D5709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C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2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2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2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2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2C0"/>
    <w:rPr>
      <w:rFonts w:eastAsiaTheme="majorEastAsia" w:cstheme="majorBidi"/>
      <w:color w:val="272727" w:themeColor="text1" w:themeTint="D8"/>
    </w:rPr>
  </w:style>
  <w:style w:type="paragraph" w:styleId="Title">
    <w:name w:val="Title"/>
    <w:basedOn w:val="Normal"/>
    <w:next w:val="Normal"/>
    <w:link w:val="TitleChar"/>
    <w:uiPriority w:val="10"/>
    <w:qFormat/>
    <w:rsid w:val="00EB62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2C0"/>
    <w:pPr>
      <w:spacing w:before="160"/>
      <w:jc w:val="center"/>
    </w:pPr>
    <w:rPr>
      <w:i/>
      <w:iCs/>
      <w:color w:val="404040" w:themeColor="text1" w:themeTint="BF"/>
    </w:rPr>
  </w:style>
  <w:style w:type="character" w:customStyle="1" w:styleId="QuoteChar">
    <w:name w:val="Quote Char"/>
    <w:basedOn w:val="DefaultParagraphFont"/>
    <w:link w:val="Quote"/>
    <w:uiPriority w:val="29"/>
    <w:rsid w:val="00EB62C0"/>
    <w:rPr>
      <w:i/>
      <w:iCs/>
      <w:color w:val="404040" w:themeColor="text1" w:themeTint="BF"/>
    </w:rPr>
  </w:style>
  <w:style w:type="paragraph" w:styleId="ListParagraph">
    <w:name w:val="List Paragraph"/>
    <w:basedOn w:val="Normal"/>
    <w:link w:val="ListParagraphChar"/>
    <w:uiPriority w:val="34"/>
    <w:qFormat/>
    <w:rsid w:val="00EB62C0"/>
    <w:pPr>
      <w:ind w:left="720"/>
      <w:contextualSpacing/>
    </w:pPr>
  </w:style>
  <w:style w:type="character" w:styleId="IntenseEmphasis">
    <w:name w:val="Intense Emphasis"/>
    <w:basedOn w:val="DefaultParagraphFont"/>
    <w:uiPriority w:val="21"/>
    <w:qFormat/>
    <w:rsid w:val="00EB62C0"/>
    <w:rPr>
      <w:i/>
      <w:iCs/>
      <w:color w:val="0F4761" w:themeColor="accent1" w:themeShade="BF"/>
    </w:rPr>
  </w:style>
  <w:style w:type="paragraph" w:styleId="IntenseQuote">
    <w:name w:val="Intense Quote"/>
    <w:basedOn w:val="Normal"/>
    <w:next w:val="Normal"/>
    <w:link w:val="IntenseQuoteChar"/>
    <w:uiPriority w:val="30"/>
    <w:qFormat/>
    <w:rsid w:val="00EB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2C0"/>
    <w:rPr>
      <w:i/>
      <w:iCs/>
      <w:color w:val="0F4761" w:themeColor="accent1" w:themeShade="BF"/>
    </w:rPr>
  </w:style>
  <w:style w:type="character" w:styleId="IntenseReference">
    <w:name w:val="Intense Reference"/>
    <w:basedOn w:val="DefaultParagraphFont"/>
    <w:uiPriority w:val="32"/>
    <w:qFormat/>
    <w:rsid w:val="00EB62C0"/>
    <w:rPr>
      <w:b/>
      <w:bCs/>
      <w:smallCaps/>
      <w:color w:val="0F4761" w:themeColor="accent1" w:themeShade="BF"/>
      <w:spacing w:val="5"/>
    </w:rPr>
  </w:style>
  <w:style w:type="paragraph" w:customStyle="1" w:styleId="Default">
    <w:name w:val="Default"/>
    <w:rsid w:val="00D70FF6"/>
    <w:pPr>
      <w:autoSpaceDE w:val="0"/>
      <w:autoSpaceDN w:val="0"/>
      <w:adjustRightInd w:val="0"/>
      <w:spacing w:after="0" w:line="240" w:lineRule="auto"/>
    </w:pPr>
    <w:rPr>
      <w:rFonts w:ascii="Aptos" w:hAnsi="Aptos" w:cs="Aptos"/>
      <w:color w:val="000000"/>
      <w:kern w:val="0"/>
    </w:rPr>
  </w:style>
  <w:style w:type="character" w:customStyle="1" w:styleId="ListParagraphChar">
    <w:name w:val="List Paragraph Char"/>
    <w:link w:val="ListParagraph"/>
    <w:uiPriority w:val="34"/>
    <w:locked/>
    <w:rsid w:val="002971A8"/>
    <w:rPr>
      <w:rFonts w:ascii="Times New Roman" w:eastAsia="Times New Roman" w:hAnsi="Times New Roman" w:cs="Times New Roman"/>
      <w:kern w:val="0"/>
      <w14:ligatures w14:val="none"/>
    </w:rPr>
  </w:style>
  <w:style w:type="paragraph" w:customStyle="1" w:styleId="yiv1402650672msonormal">
    <w:name w:val="yiv1402650672msonormal"/>
    <w:basedOn w:val="Normal"/>
    <w:rsid w:val="00901867"/>
    <w:pPr>
      <w:spacing w:before="100" w:beforeAutospacing="1" w:after="100" w:afterAutospacing="1"/>
    </w:pPr>
  </w:style>
  <w:style w:type="character" w:styleId="Hyperlink">
    <w:name w:val="Hyperlink"/>
    <w:basedOn w:val="DefaultParagraphFont"/>
    <w:uiPriority w:val="99"/>
    <w:semiHidden/>
    <w:unhideWhenUsed/>
    <w:rsid w:val="009018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doa.prod.simpligov.com/prod/portal/ShowWorkFlow/AnonymousEmbed/35b738f9-971e-47fb-b086-f3f8814923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cp:lastPrinted>2026-04-20T17:58:00Z</cp:lastPrinted>
  <dcterms:created xsi:type="dcterms:W3CDTF">2026-04-20T17:59:00Z</dcterms:created>
  <dcterms:modified xsi:type="dcterms:W3CDTF">2026-04-20T17:59:00Z</dcterms:modified>
</cp:coreProperties>
</file>