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009B5" w14:textId="5F2904FD" w:rsidR="00AB4113" w:rsidRPr="00AB4113" w:rsidRDefault="00AB4113" w:rsidP="00AB4113">
      <w:pPr>
        <w:pStyle w:val="Default"/>
        <w:jc w:val="center"/>
        <w:rPr>
          <w:b/>
          <w:bCs/>
          <w:sz w:val="28"/>
          <w:szCs w:val="28"/>
        </w:rPr>
      </w:pPr>
      <w:r w:rsidRPr="00AB4113">
        <w:rPr>
          <w:b/>
          <w:bCs/>
          <w:sz w:val="28"/>
          <w:szCs w:val="28"/>
        </w:rPr>
        <w:t>Secretary’s Report to the State Board of Agriculture</w:t>
      </w:r>
    </w:p>
    <w:p w14:paraId="5731ABE1" w14:textId="1DFEEC01" w:rsidR="00AB4113" w:rsidRPr="00AB4113" w:rsidRDefault="000F23DB" w:rsidP="00AB4113">
      <w:pPr>
        <w:pStyle w:val="Default"/>
        <w:jc w:val="center"/>
        <w:rPr>
          <w:b/>
          <w:bCs/>
          <w:sz w:val="28"/>
          <w:szCs w:val="28"/>
        </w:rPr>
      </w:pPr>
      <w:r>
        <w:rPr>
          <w:b/>
          <w:bCs/>
          <w:sz w:val="28"/>
          <w:szCs w:val="28"/>
        </w:rPr>
        <w:t>Novemb</w:t>
      </w:r>
      <w:r w:rsidR="00AB4113">
        <w:rPr>
          <w:b/>
          <w:bCs/>
          <w:sz w:val="28"/>
          <w:szCs w:val="28"/>
        </w:rPr>
        <w:t xml:space="preserve">er </w:t>
      </w:r>
      <w:r>
        <w:rPr>
          <w:b/>
          <w:bCs/>
          <w:sz w:val="28"/>
          <w:szCs w:val="28"/>
        </w:rPr>
        <w:t>19</w:t>
      </w:r>
      <w:r w:rsidR="00AB4113">
        <w:rPr>
          <w:b/>
          <w:bCs/>
          <w:sz w:val="28"/>
          <w:szCs w:val="28"/>
        </w:rPr>
        <w:t>, 2025</w:t>
      </w:r>
    </w:p>
    <w:p w14:paraId="371EDC5B" w14:textId="476CB3DB" w:rsidR="00A1339C" w:rsidRPr="00EC35D9" w:rsidRDefault="00A1339C" w:rsidP="00A1339C">
      <w:pPr>
        <w:pStyle w:val="Default"/>
        <w:rPr>
          <w:sz w:val="28"/>
          <w:szCs w:val="28"/>
        </w:rPr>
      </w:pPr>
    </w:p>
    <w:p w14:paraId="72AD627A" w14:textId="5A3CCFC0" w:rsidR="0084124F" w:rsidRPr="002F306B" w:rsidRDefault="002F64AB" w:rsidP="0091091C">
      <w:pPr>
        <w:pStyle w:val="Default"/>
        <w:ind w:left="-432" w:right="-432"/>
        <w:jc w:val="both"/>
        <w:rPr>
          <w:color w:val="auto"/>
        </w:rPr>
      </w:pPr>
      <w:r w:rsidRPr="002F306B">
        <w:rPr>
          <w:b/>
          <w:bCs/>
        </w:rPr>
        <w:t xml:space="preserve">Livestock </w:t>
      </w:r>
      <w:r w:rsidR="00CC1678" w:rsidRPr="002F306B">
        <w:rPr>
          <w:b/>
          <w:bCs/>
        </w:rPr>
        <w:t xml:space="preserve">Processing </w:t>
      </w:r>
      <w:r w:rsidR="000F23DB" w:rsidRPr="002F306B">
        <w:rPr>
          <w:b/>
          <w:bCs/>
        </w:rPr>
        <w:t>Expansion</w:t>
      </w:r>
      <w:r w:rsidR="000F23DB" w:rsidRPr="002F306B">
        <w:t xml:space="preserve">: </w:t>
      </w:r>
      <w:r w:rsidR="00CC1678" w:rsidRPr="002F306B">
        <w:t>Key Division of Markets staff me</w:t>
      </w:r>
      <w:r w:rsidR="0084124F" w:rsidRPr="002F306B">
        <w:t>t</w:t>
      </w:r>
      <w:r w:rsidR="00CC1678" w:rsidRPr="002F306B">
        <w:t xml:space="preserve"> recently </w:t>
      </w:r>
      <w:r w:rsidR="000F23DB" w:rsidRPr="002F306B">
        <w:t xml:space="preserve">with a South Jersey poultry processor </w:t>
      </w:r>
      <w:r w:rsidR="00CC1678" w:rsidRPr="002F306B">
        <w:t>l</w:t>
      </w:r>
      <w:r w:rsidR="000F23DB" w:rsidRPr="002F306B">
        <w:t xml:space="preserve">ooking to expand </w:t>
      </w:r>
      <w:r w:rsidR="00CC1678" w:rsidRPr="002F306B">
        <w:t xml:space="preserve">its </w:t>
      </w:r>
      <w:r w:rsidR="000F23DB" w:rsidRPr="002F306B">
        <w:t>processing by 50,000 broilers per week. This equates to the need of 30 grow</w:t>
      </w:r>
      <w:r w:rsidR="00CC1678" w:rsidRPr="002F306B">
        <w:t>-</w:t>
      </w:r>
      <w:r w:rsidR="000F23DB" w:rsidRPr="002F306B">
        <w:t>out houses of approximately</w:t>
      </w:r>
      <w:r w:rsidR="00CC1678" w:rsidRPr="002F306B">
        <w:t xml:space="preserve"> </w:t>
      </w:r>
      <w:r w:rsidR="000F23DB" w:rsidRPr="002F306B">
        <w:t xml:space="preserve">16,000 bird capacity to run an </w:t>
      </w:r>
      <w:r w:rsidR="00CC1678" w:rsidRPr="002F306B">
        <w:t>eight</w:t>
      </w:r>
      <w:r w:rsidR="000F23DB" w:rsidRPr="002F306B">
        <w:t>-week grow</w:t>
      </w:r>
      <w:r w:rsidR="00CC1678" w:rsidRPr="002F306B">
        <w:t>-</w:t>
      </w:r>
      <w:r w:rsidR="000F23DB" w:rsidRPr="002F306B">
        <w:t xml:space="preserve"> out cycle and a two</w:t>
      </w:r>
      <w:r w:rsidR="00CC1678" w:rsidRPr="002F306B">
        <w:t>-</w:t>
      </w:r>
      <w:r w:rsidR="000F23DB" w:rsidRPr="002F306B">
        <w:t>week clean</w:t>
      </w:r>
      <w:r w:rsidR="00CC1678" w:rsidRPr="002F306B">
        <w:t>-</w:t>
      </w:r>
      <w:r w:rsidR="000F23DB" w:rsidRPr="002F306B">
        <w:t xml:space="preserve">out period between groups. </w:t>
      </w:r>
      <w:r w:rsidR="00CC1678" w:rsidRPr="002F306B">
        <w:t>At five “</w:t>
      </w:r>
      <w:r w:rsidR="000F23DB" w:rsidRPr="002F306B">
        <w:t>turns</w:t>
      </w:r>
      <w:r w:rsidR="00CC1678" w:rsidRPr="002F306B">
        <w:t>”</w:t>
      </w:r>
      <w:r w:rsidR="000F23DB" w:rsidRPr="002F306B">
        <w:t xml:space="preserve"> per year</w:t>
      </w:r>
      <w:r w:rsidR="00CC1678" w:rsidRPr="002F306B">
        <w:t>, t</w:t>
      </w:r>
      <w:r w:rsidR="000F23DB" w:rsidRPr="002F306B">
        <w:t>his would equate to 2.6</w:t>
      </w:r>
      <w:r w:rsidR="00CC1678" w:rsidRPr="002F306B">
        <w:t xml:space="preserve"> million</w:t>
      </w:r>
      <w:r w:rsidR="000F23DB" w:rsidRPr="002F306B">
        <w:t xml:space="preserve"> broilers </w:t>
      </w:r>
      <w:r w:rsidR="00CC1678" w:rsidRPr="002F306B">
        <w:t>annually,</w:t>
      </w:r>
      <w:r w:rsidR="000F23DB" w:rsidRPr="002F306B">
        <w:t xml:space="preserve"> consuming 15,800 tons of feed. There will be an additional 3,500 tons of poultry litter for fertilizer application. </w:t>
      </w:r>
      <w:r w:rsidR="00CC1678" w:rsidRPr="002F306B">
        <w:t>The division continues s</w:t>
      </w:r>
      <w:r w:rsidR="000F23DB" w:rsidRPr="002F306B">
        <w:t>etting up meetings with this group to develop expansion of the processing plant and grow</w:t>
      </w:r>
      <w:r w:rsidR="00CC1678" w:rsidRPr="002F306B">
        <w:t>-</w:t>
      </w:r>
      <w:r w:rsidR="000F23DB" w:rsidRPr="002F306B">
        <w:t>out facilities</w:t>
      </w:r>
      <w:r w:rsidR="00CC1678" w:rsidRPr="002F306B">
        <w:t>, as t</w:t>
      </w:r>
      <w:r w:rsidR="000F23DB" w:rsidRPr="002F306B">
        <w:t xml:space="preserve">his project would </w:t>
      </w:r>
      <w:r w:rsidR="00CC1678" w:rsidRPr="002F306B">
        <w:t xml:space="preserve">be a good </w:t>
      </w:r>
      <w:r w:rsidR="000F23DB" w:rsidRPr="002F306B">
        <w:t xml:space="preserve">fit for processors and retail outlets in the state. </w:t>
      </w:r>
      <w:r w:rsidR="000F23DB" w:rsidRPr="002F306B">
        <w:rPr>
          <w:color w:val="auto"/>
        </w:rPr>
        <w:t xml:space="preserve">The processor also </w:t>
      </w:r>
      <w:r w:rsidR="00CC1678" w:rsidRPr="002F306B">
        <w:rPr>
          <w:color w:val="auto"/>
        </w:rPr>
        <w:t xml:space="preserve">is </w:t>
      </w:r>
      <w:r w:rsidR="000F23DB" w:rsidRPr="002F306B">
        <w:rPr>
          <w:color w:val="auto"/>
        </w:rPr>
        <w:t>interested in participation in processing N</w:t>
      </w:r>
      <w:r w:rsidR="00CC1678" w:rsidRPr="002F306B">
        <w:rPr>
          <w:color w:val="auto"/>
        </w:rPr>
        <w:t xml:space="preserve">ew </w:t>
      </w:r>
      <w:r w:rsidR="000F23DB" w:rsidRPr="002F306B">
        <w:rPr>
          <w:color w:val="auto"/>
        </w:rPr>
        <w:t>J</w:t>
      </w:r>
      <w:r w:rsidR="00CC1678" w:rsidRPr="002F306B">
        <w:rPr>
          <w:color w:val="auto"/>
        </w:rPr>
        <w:t>ersey-</w:t>
      </w:r>
      <w:r w:rsidR="000F23DB" w:rsidRPr="002F306B">
        <w:rPr>
          <w:color w:val="auto"/>
        </w:rPr>
        <w:t xml:space="preserve">raised broilers for food pantries </w:t>
      </w:r>
      <w:r w:rsidR="00CC1678" w:rsidRPr="002F306B">
        <w:rPr>
          <w:color w:val="auto"/>
        </w:rPr>
        <w:t xml:space="preserve">and are looking for </w:t>
      </w:r>
      <w:r w:rsidR="000F23DB" w:rsidRPr="002F306B">
        <w:rPr>
          <w:color w:val="auto"/>
        </w:rPr>
        <w:t>contacts with pantries</w:t>
      </w:r>
      <w:r w:rsidR="00CC1678" w:rsidRPr="002F306B">
        <w:rPr>
          <w:color w:val="auto"/>
        </w:rPr>
        <w:t>.</w:t>
      </w:r>
      <w:r w:rsidR="0084124F" w:rsidRPr="002F306B">
        <w:rPr>
          <w:color w:val="auto"/>
        </w:rPr>
        <w:t xml:space="preserve"> </w:t>
      </w:r>
    </w:p>
    <w:p w14:paraId="730A2914" w14:textId="77777777" w:rsidR="0052490F" w:rsidRDefault="0052490F" w:rsidP="0091091C">
      <w:pPr>
        <w:pStyle w:val="Default"/>
        <w:ind w:left="-432" w:right="-432"/>
        <w:jc w:val="both"/>
        <w:rPr>
          <w:color w:val="auto"/>
        </w:rPr>
      </w:pPr>
    </w:p>
    <w:p w14:paraId="52721E07" w14:textId="78626D5B" w:rsidR="00A1339C" w:rsidRPr="002F306B" w:rsidRDefault="0084124F" w:rsidP="0091091C">
      <w:pPr>
        <w:pStyle w:val="Default"/>
        <w:ind w:left="-432" w:right="-432"/>
        <w:jc w:val="both"/>
        <w:rPr>
          <w:color w:val="auto"/>
        </w:rPr>
      </w:pPr>
      <w:r w:rsidRPr="002F306B">
        <w:t>The North Jersey Processing Center has been working on alternative funding from groups that typically back non-profits. The Department has supplied support for the group as they work to secure the land for the site. The project continues to move forward slowly, but the hope is that final approvals from the county for the land on which the plant would be built will come soon. The managing group has identified a way to discuss with USDA options for funding of the plant, and that discussion with USDA is waiting for the USDA to re-open after the federal shutdown. The group is looking at modules that can be used to start smaller and scale up with additional units. Such modules could also work well in the innovation center approach to use as teaching units in various counties serving the processing center.</w:t>
      </w:r>
    </w:p>
    <w:p w14:paraId="42781509" w14:textId="13CBCD11" w:rsidR="00CC1678" w:rsidRPr="002F306B" w:rsidRDefault="00CC1678" w:rsidP="0091091C">
      <w:pPr>
        <w:pStyle w:val="Default"/>
        <w:ind w:left="-432" w:right="-432"/>
        <w:jc w:val="both"/>
        <w:rPr>
          <w:color w:val="auto"/>
        </w:rPr>
      </w:pPr>
    </w:p>
    <w:p w14:paraId="0C86D401" w14:textId="527E3994" w:rsidR="00CC1678" w:rsidRPr="002F306B" w:rsidRDefault="006F0639" w:rsidP="0091091C">
      <w:pPr>
        <w:pStyle w:val="Default"/>
        <w:ind w:left="-432" w:right="-432"/>
        <w:jc w:val="both"/>
      </w:pPr>
      <w:r w:rsidRPr="002F306B">
        <w:rPr>
          <w:b/>
          <w:bCs/>
          <w:color w:val="auto"/>
        </w:rPr>
        <w:t>Dairy Pricing Violations</w:t>
      </w:r>
      <w:r w:rsidRPr="002F306B">
        <w:rPr>
          <w:color w:val="auto"/>
        </w:rPr>
        <w:t xml:space="preserve">: </w:t>
      </w:r>
      <w:r w:rsidRPr="002F306B">
        <w:t>Dairy investigators are continuing to monitor reported sales below cost due to stores not adjusting to price movements and posting prices as they are required. Multiple violations are being issued for all, with more severe penalties being issued for repeat offenders. Licensing is being verified and updated when discrepancies are identified due to stores reporting incorrect volumes being sold. Suppliers are also being cross-referenced with the office to make sure all are currently licensed. The Dairy section is working to modernize investigator procedures so they can better issue and print information or violations while out in the field.</w:t>
      </w:r>
    </w:p>
    <w:p w14:paraId="4F73CFA3" w14:textId="28F17722" w:rsidR="006F0639" w:rsidRPr="002F306B" w:rsidRDefault="006F0639" w:rsidP="0091091C">
      <w:pPr>
        <w:pStyle w:val="Default"/>
        <w:ind w:left="-432" w:right="-432"/>
        <w:jc w:val="both"/>
      </w:pPr>
    </w:p>
    <w:p w14:paraId="527421CD" w14:textId="0B0429CA" w:rsidR="006F0639" w:rsidRPr="002F306B" w:rsidRDefault="009A7D1C" w:rsidP="0091091C">
      <w:pPr>
        <w:pStyle w:val="Default"/>
        <w:ind w:left="-432" w:right="-432"/>
        <w:jc w:val="both"/>
        <w:rPr>
          <w:color w:val="auto"/>
        </w:rPr>
      </w:pPr>
      <w:r w:rsidRPr="002F306B">
        <w:rPr>
          <w:b/>
          <w:bCs/>
          <w:color w:val="auto"/>
        </w:rPr>
        <w:t>Healthy School Meals</w:t>
      </w:r>
      <w:r w:rsidRPr="002F306B">
        <w:rPr>
          <w:color w:val="auto"/>
        </w:rPr>
        <w:t>:</w:t>
      </w:r>
      <w:r w:rsidRPr="002F306B">
        <w:t xml:space="preserve"> The George L. Catrambone Elementary School in Long Branch, Monmouth County, was publicly recognized during National School Lunch Week by the Department’s Division of Food &amp; Nutrition and Hunger Free NJ. The commendation was for the school's remarkable healthy lunch features and variety. The district also received praise for its successful, district-wide transition to the Community Eligibility Provision (CEP) for school feeding this school year.</w:t>
      </w:r>
    </w:p>
    <w:p w14:paraId="6058066A" w14:textId="77777777" w:rsidR="00CC1678" w:rsidRPr="002F306B" w:rsidRDefault="00CC1678" w:rsidP="0091091C">
      <w:pPr>
        <w:pStyle w:val="Default"/>
        <w:ind w:left="-432" w:right="-432"/>
        <w:jc w:val="both"/>
      </w:pPr>
    </w:p>
    <w:p w14:paraId="73788103" w14:textId="1520E3F6" w:rsidR="000F23DB" w:rsidRPr="002F306B" w:rsidRDefault="00D533D0" w:rsidP="0091091C">
      <w:pPr>
        <w:pStyle w:val="Default"/>
        <w:ind w:left="-432" w:right="-432"/>
        <w:jc w:val="both"/>
      </w:pPr>
      <w:r w:rsidRPr="002F306B">
        <w:rPr>
          <w:b/>
          <w:bCs/>
        </w:rPr>
        <w:t>Farm to School Professional Development</w:t>
      </w:r>
      <w:r w:rsidRPr="002F306B">
        <w:t>: – The NJ Farm to School team is hosting three professional development workshops in November titled “Implementation and Staying Power.” The workshops are open only to participants of previous Farm to School introductory workshops. The focus will be on project planning to sustain farm to school programming.</w:t>
      </w:r>
    </w:p>
    <w:p w14:paraId="7EB1451D" w14:textId="71B554FB" w:rsidR="00D533D0" w:rsidRPr="002F306B" w:rsidRDefault="00D533D0" w:rsidP="0091091C">
      <w:pPr>
        <w:pStyle w:val="Default"/>
        <w:ind w:left="-432" w:right="-432"/>
        <w:jc w:val="both"/>
      </w:pPr>
    </w:p>
    <w:p w14:paraId="548A0D4E" w14:textId="60308D1D" w:rsidR="00D533D0" w:rsidRDefault="007C1FD8" w:rsidP="0091091C">
      <w:pPr>
        <w:pStyle w:val="Default"/>
        <w:ind w:left="-432" w:right="-432"/>
        <w:jc w:val="both"/>
      </w:pPr>
      <w:r w:rsidRPr="002F306B">
        <w:rPr>
          <w:b/>
          <w:bCs/>
        </w:rPr>
        <w:t xml:space="preserve">TEFAP Foods After </w:t>
      </w:r>
      <w:r w:rsidR="001E408E" w:rsidRPr="002F306B">
        <w:rPr>
          <w:b/>
          <w:bCs/>
        </w:rPr>
        <w:t xml:space="preserve">SNAP </w:t>
      </w:r>
      <w:r w:rsidRPr="002F306B">
        <w:rPr>
          <w:b/>
          <w:bCs/>
        </w:rPr>
        <w:t>Shutdown</w:t>
      </w:r>
      <w:r w:rsidRPr="002F306B">
        <w:t xml:space="preserve">: The Emergency Food Assistance Program (TEFAP) continues to face heightened pressure due to disruptions in SNAP benefits and the resulting surge in food insecurity. Despite TEFAP foods comprising roughly one-third of the inventory for Emergency Feeding Organizations, the program remains steadfast in its mission to meet the nutritional needs of communities across New Jersey. Demonstrating their commitment to coordinated response, the Manager and Assistant Manager also participated in the SNAP Benefits Disruption Executive Briefing hosted by SFC Joseph Walsh of the New Jersey State Police. The briefing focused on TEFAP food utilization strategies and reinforced the importance of interagency collaboration during this critical period. The Food Distribution (FD) Team remains fully mobilized and will continue to provide essential resources and support as requested to help mitigate the impact of the </w:t>
      </w:r>
      <w:r w:rsidR="00397662" w:rsidRPr="002F306B">
        <w:t xml:space="preserve">SNAP-disruption </w:t>
      </w:r>
      <w:r w:rsidRPr="002F306B">
        <w:t>crisis.</w:t>
      </w:r>
    </w:p>
    <w:p w14:paraId="41A27291" w14:textId="77777777" w:rsidR="009C6738" w:rsidRPr="002F306B" w:rsidRDefault="009C6738" w:rsidP="0091091C">
      <w:pPr>
        <w:pStyle w:val="Default"/>
        <w:ind w:left="-432" w:right="-432"/>
        <w:jc w:val="both"/>
      </w:pPr>
    </w:p>
    <w:p w14:paraId="35F1506B" w14:textId="77777777" w:rsidR="0052490F" w:rsidRDefault="0052490F" w:rsidP="0091091C">
      <w:pPr>
        <w:pStyle w:val="Default"/>
        <w:ind w:left="-432" w:right="-432"/>
        <w:jc w:val="both"/>
        <w:rPr>
          <w:b/>
          <w:bCs/>
        </w:rPr>
      </w:pPr>
    </w:p>
    <w:p w14:paraId="3F8C2F29" w14:textId="67D6C931" w:rsidR="007C1FD8" w:rsidRPr="002F306B" w:rsidRDefault="009C05AA" w:rsidP="0091091C">
      <w:pPr>
        <w:pStyle w:val="Default"/>
        <w:ind w:left="-432" w:right="-432"/>
        <w:jc w:val="both"/>
      </w:pPr>
      <w:r w:rsidRPr="002F306B">
        <w:rPr>
          <w:b/>
          <w:bCs/>
        </w:rPr>
        <w:lastRenderedPageBreak/>
        <w:t>Animal Emergency Training and Planning</w:t>
      </w:r>
      <w:r w:rsidRPr="002F306B">
        <w:t xml:space="preserve">: Outreach activities have been conducted to educate pet owners on the importance of emergency pet preparedness. The DAH program specialist attended tabling events in partnership with One Health administrators to share the task force's work and discuss animal-related issues in a broader context. One tabling event occurred at a state park during Earth Care Day, and the other at the New Jersey Science Teachers Association annual conference. During the New Jersey Science Teachers Convention, animal emergency preparedness was discussed with science teachers involved in agricultural science education for their schools and communities. Science teachers have an intuitive understanding of the One Health concept and already teach </w:t>
      </w:r>
      <w:proofErr w:type="gramStart"/>
      <w:r w:rsidRPr="002F306B">
        <w:t>it, but</w:t>
      </w:r>
      <w:proofErr w:type="gramEnd"/>
      <w:r w:rsidRPr="002F306B">
        <w:t xml:space="preserve"> aren’t aware of or don't generally use the term One Health. At both events, outreach materials were distributed to provide guidance on creating a pet preparedness kit and to raise awareness of CARTs.</w:t>
      </w:r>
    </w:p>
    <w:p w14:paraId="055822F6" w14:textId="2141F257" w:rsidR="007C1FD8" w:rsidRPr="002F306B" w:rsidRDefault="007C1FD8" w:rsidP="0091091C">
      <w:pPr>
        <w:pStyle w:val="Default"/>
        <w:ind w:left="-432" w:right="-432"/>
        <w:jc w:val="both"/>
      </w:pPr>
    </w:p>
    <w:p w14:paraId="749A6E57" w14:textId="20FDD883" w:rsidR="003053B1" w:rsidRPr="002F306B" w:rsidRDefault="003053B1" w:rsidP="0091091C">
      <w:pPr>
        <w:ind w:left="-432" w:right="-432"/>
        <w:jc w:val="both"/>
      </w:pPr>
      <w:r w:rsidRPr="002F306B">
        <w:rPr>
          <w:b/>
          <w:bCs/>
        </w:rPr>
        <w:t xml:space="preserve">Aquatic Farmer License Update: </w:t>
      </w:r>
      <w:r w:rsidRPr="002F306B">
        <w:t>The Aquatic Farmer License (AFL) application for molluscan bivalve shellfish has been updated to include reporting on monthly harvest per lease. This is a new requirement due to revisions to Title 50. Since the AFL application is used as the Operational Plan for the NJDEP Commercial Shellfish Aquaculture Permit (CSAP), the changes were required</w:t>
      </w:r>
      <w:r w:rsidR="00335AAF" w:rsidRPr="002F306B">
        <w:t>.</w:t>
      </w:r>
    </w:p>
    <w:p w14:paraId="4567D6A8" w14:textId="3BA2C64B" w:rsidR="00335AAF" w:rsidRPr="002F306B" w:rsidRDefault="00335AAF" w:rsidP="0091091C">
      <w:pPr>
        <w:ind w:left="-432" w:right="-432"/>
        <w:jc w:val="both"/>
      </w:pPr>
    </w:p>
    <w:p w14:paraId="1E243D4F" w14:textId="584623BB" w:rsidR="00335AAF" w:rsidRPr="002F306B" w:rsidRDefault="00335AAF" w:rsidP="0091091C">
      <w:pPr>
        <w:ind w:left="-432" w:right="-432"/>
        <w:jc w:val="both"/>
      </w:pPr>
      <w:r w:rsidRPr="002F306B">
        <w:rPr>
          <w:b/>
          <w:bCs/>
        </w:rPr>
        <w:t xml:space="preserve">Drought -- How Farmers Can Help: </w:t>
      </w:r>
      <w:r w:rsidRPr="002F306B">
        <w:t xml:space="preserve">Farmers are encouraged to share what they are seeing on the ground with the </w:t>
      </w:r>
      <w:r w:rsidRPr="002F306B">
        <w:rPr>
          <w:b/>
          <w:bCs/>
        </w:rPr>
        <w:t>U.S. Drought Monitor</w:t>
      </w:r>
      <w:r w:rsidRPr="002F306B">
        <w:t xml:space="preserve">. Local reports make the weekly maps more accurate for New Jersey. Farmers can submit observations through the </w:t>
      </w:r>
      <w:r w:rsidRPr="002F306B">
        <w:rPr>
          <w:b/>
          <w:bCs/>
        </w:rPr>
        <w:t>Condition Monitoring Observer Reports (CMOR)</w:t>
      </w:r>
      <w:r w:rsidRPr="002F306B">
        <w:t xml:space="preserve"> system</w:t>
      </w:r>
      <w:r w:rsidR="009C6738">
        <w:t xml:space="preserve"> at: </w:t>
      </w:r>
      <w:hyperlink r:id="rId5" w:history="1">
        <w:r w:rsidR="009C6738" w:rsidRPr="00DD6C11">
          <w:rPr>
            <w:rStyle w:val="Hyperlink"/>
          </w:rPr>
          <w:t>www.drought.gov/data-maps-tools/condition-monitoring-observer-reports-drought-cmor-drought</w:t>
        </w:r>
      </w:hyperlink>
      <w:r w:rsidR="009C6738">
        <w:t xml:space="preserve"> . Reports can </w:t>
      </w:r>
      <w:proofErr w:type="gramStart"/>
      <w:r w:rsidR="009C6738">
        <w:t>include</w:t>
      </w:r>
      <w:r w:rsidRPr="002F306B">
        <w:t>:</w:t>
      </w:r>
      <w:proofErr w:type="gramEnd"/>
      <w:r w:rsidRPr="002F306B">
        <w:t xml:space="preserve"> </w:t>
      </w:r>
      <w:r w:rsidR="009C6738">
        <w:t>c</w:t>
      </w:r>
      <w:r w:rsidRPr="002F306B">
        <w:t xml:space="preserve">rop stress or yield impacts; </w:t>
      </w:r>
      <w:r w:rsidR="009C6738">
        <w:t>p</w:t>
      </w:r>
      <w:r w:rsidRPr="002F306B">
        <w:t xml:space="preserve">asture conditions; </w:t>
      </w:r>
      <w:r w:rsidR="009C6738">
        <w:t>w</w:t>
      </w:r>
      <w:r w:rsidRPr="002F306B">
        <w:t xml:space="preserve">ater supply issues (ponds, wells, streams); </w:t>
      </w:r>
      <w:r w:rsidR="009C6738">
        <w:t>a</w:t>
      </w:r>
      <w:r w:rsidRPr="002F306B">
        <w:t>ny other on-farm drought impacts</w:t>
      </w:r>
      <w:r w:rsidR="009C6738">
        <w:t xml:space="preserve">. </w:t>
      </w:r>
      <w:r w:rsidRPr="002F306B">
        <w:t>These observations are reviewed by the Drought Monitor authors each week and help ensure New Jersey’s conditions are reflected in the national drought map.</w:t>
      </w:r>
    </w:p>
    <w:p w14:paraId="0158360A" w14:textId="77777777" w:rsidR="002F306B" w:rsidRPr="002F306B" w:rsidRDefault="002F306B" w:rsidP="0091091C">
      <w:pPr>
        <w:autoSpaceDE w:val="0"/>
        <w:autoSpaceDN w:val="0"/>
        <w:adjustRightInd w:val="0"/>
        <w:ind w:left="-432" w:right="-432"/>
        <w:jc w:val="both"/>
        <w:rPr>
          <w:rFonts w:ascii="Aptos" w:eastAsiaTheme="minorHAnsi" w:hAnsi="Aptos" w:cs="Aptos"/>
          <w:color w:val="000000"/>
        </w:rPr>
      </w:pPr>
      <w:r w:rsidRPr="002F306B">
        <w:rPr>
          <w:rFonts w:ascii="Aptos" w:eastAsiaTheme="minorHAnsi" w:hAnsi="Aptos" w:cs="Aptos"/>
          <w:color w:val="000000"/>
        </w:rPr>
        <w:t xml:space="preserve"> </w:t>
      </w:r>
    </w:p>
    <w:p w14:paraId="6E9E0E39" w14:textId="23218069" w:rsidR="00335AAF" w:rsidRPr="00316C65" w:rsidRDefault="002F306B" w:rsidP="0091091C">
      <w:pPr>
        <w:autoSpaceDE w:val="0"/>
        <w:autoSpaceDN w:val="0"/>
        <w:adjustRightInd w:val="0"/>
        <w:ind w:left="-432" w:right="-432"/>
        <w:jc w:val="both"/>
        <w:rPr>
          <w:rFonts w:eastAsiaTheme="minorHAnsi"/>
          <w:color w:val="000000" w:themeColor="text1"/>
        </w:rPr>
      </w:pPr>
      <w:r w:rsidRPr="002F306B">
        <w:rPr>
          <w:rFonts w:eastAsiaTheme="minorHAnsi"/>
          <w:b/>
          <w:bCs/>
          <w:color w:val="000000"/>
        </w:rPr>
        <w:t xml:space="preserve">Taxes, Succession and Estate Planning Workshop: </w:t>
      </w:r>
      <w:r w:rsidRPr="002F306B">
        <w:rPr>
          <w:rFonts w:eastAsiaTheme="minorHAnsi"/>
          <w:color w:val="000000"/>
        </w:rPr>
        <w:t xml:space="preserve">SADC is sponsoring two workshops to discuss landowner financial benefits of preservation, payment tax implications, integrating preservation into estate and succession planning, and more. </w:t>
      </w:r>
      <w:r>
        <w:rPr>
          <w:rFonts w:eastAsiaTheme="minorHAnsi"/>
          <w:color w:val="000000"/>
        </w:rPr>
        <w:t>One session was scheduled for</w:t>
      </w:r>
      <w:r w:rsidRPr="002F306B">
        <w:rPr>
          <w:rFonts w:eastAsiaTheme="minorHAnsi"/>
          <w:color w:val="000000"/>
        </w:rPr>
        <w:t xml:space="preserve"> </w:t>
      </w:r>
      <w:r w:rsidRPr="002F306B">
        <w:rPr>
          <w:rFonts w:eastAsiaTheme="minorHAnsi"/>
          <w:b/>
          <w:bCs/>
          <w:color w:val="000000"/>
        </w:rPr>
        <w:t>November 17</w:t>
      </w:r>
      <w:r>
        <w:rPr>
          <w:rFonts w:eastAsiaTheme="minorHAnsi"/>
          <w:b/>
          <w:bCs/>
          <w:color w:val="000000"/>
        </w:rPr>
        <w:t>,</w:t>
      </w:r>
      <w:r w:rsidRPr="002F306B">
        <w:rPr>
          <w:rFonts w:eastAsiaTheme="minorHAnsi"/>
          <w:b/>
          <w:bCs/>
          <w:color w:val="000000"/>
        </w:rPr>
        <w:t xml:space="preserve"> at D &amp; R Greenway Offices, Princeton, 6:30</w:t>
      </w:r>
      <w:r>
        <w:rPr>
          <w:rFonts w:eastAsiaTheme="minorHAnsi"/>
          <w:b/>
          <w:bCs/>
          <w:color w:val="000000"/>
        </w:rPr>
        <w:t xml:space="preserve"> </w:t>
      </w:r>
      <w:r w:rsidRPr="002F306B">
        <w:rPr>
          <w:rFonts w:eastAsiaTheme="minorHAnsi"/>
          <w:b/>
          <w:bCs/>
          <w:color w:val="000000"/>
        </w:rPr>
        <w:t>p</w:t>
      </w:r>
      <w:r>
        <w:rPr>
          <w:rFonts w:eastAsiaTheme="minorHAnsi"/>
          <w:b/>
          <w:bCs/>
          <w:color w:val="000000"/>
        </w:rPr>
        <w:t>.</w:t>
      </w:r>
      <w:r w:rsidRPr="002F306B">
        <w:rPr>
          <w:rFonts w:eastAsiaTheme="minorHAnsi"/>
          <w:b/>
          <w:bCs/>
          <w:color w:val="000000"/>
        </w:rPr>
        <w:t>m</w:t>
      </w:r>
      <w:r>
        <w:rPr>
          <w:rFonts w:eastAsiaTheme="minorHAnsi"/>
          <w:b/>
          <w:bCs/>
          <w:color w:val="000000"/>
        </w:rPr>
        <w:t>.</w:t>
      </w:r>
      <w:r w:rsidRPr="002F306B">
        <w:rPr>
          <w:rFonts w:eastAsiaTheme="minorHAnsi"/>
          <w:color w:val="000000"/>
        </w:rPr>
        <w:t>: Wade Martin, Martin Financial</w:t>
      </w:r>
      <w:r>
        <w:rPr>
          <w:rFonts w:eastAsiaTheme="minorHAnsi"/>
          <w:color w:val="000000"/>
        </w:rPr>
        <w:t xml:space="preserve">; and another for </w:t>
      </w:r>
      <w:r w:rsidRPr="002F306B">
        <w:rPr>
          <w:rFonts w:eastAsiaTheme="minorHAnsi"/>
          <w:b/>
          <w:bCs/>
          <w:color w:val="000000"/>
        </w:rPr>
        <w:t>December 17 at Salem County Ag Building, 6:30</w:t>
      </w:r>
      <w:r>
        <w:rPr>
          <w:rFonts w:eastAsiaTheme="minorHAnsi"/>
          <w:b/>
          <w:bCs/>
          <w:color w:val="000000"/>
        </w:rPr>
        <w:t xml:space="preserve"> </w:t>
      </w:r>
      <w:r w:rsidRPr="002F306B">
        <w:rPr>
          <w:rFonts w:eastAsiaTheme="minorHAnsi"/>
          <w:b/>
          <w:bCs/>
          <w:color w:val="000000"/>
        </w:rPr>
        <w:t>p</w:t>
      </w:r>
      <w:r>
        <w:rPr>
          <w:rFonts w:eastAsiaTheme="minorHAnsi"/>
          <w:b/>
          <w:bCs/>
          <w:color w:val="000000"/>
        </w:rPr>
        <w:t>.</w:t>
      </w:r>
      <w:r w:rsidRPr="002F306B">
        <w:rPr>
          <w:rFonts w:eastAsiaTheme="minorHAnsi"/>
          <w:b/>
          <w:bCs/>
          <w:color w:val="000000"/>
        </w:rPr>
        <w:t>m</w:t>
      </w:r>
      <w:r>
        <w:rPr>
          <w:rFonts w:eastAsiaTheme="minorHAnsi"/>
          <w:b/>
          <w:bCs/>
          <w:color w:val="000000"/>
        </w:rPr>
        <w:t>.</w:t>
      </w:r>
      <w:r w:rsidRPr="002F306B">
        <w:rPr>
          <w:rFonts w:eastAsiaTheme="minorHAnsi"/>
          <w:b/>
          <w:bCs/>
          <w:color w:val="000000"/>
        </w:rPr>
        <w:t xml:space="preserve">: </w:t>
      </w:r>
      <w:r w:rsidRPr="002F306B">
        <w:rPr>
          <w:rFonts w:eastAsiaTheme="minorHAnsi"/>
          <w:color w:val="000000"/>
        </w:rPr>
        <w:t>Keith Dickinson, Business Consultant, Farm Credit East</w:t>
      </w:r>
      <w:r>
        <w:rPr>
          <w:rFonts w:eastAsiaTheme="minorHAnsi"/>
          <w:color w:val="000000"/>
        </w:rPr>
        <w:t xml:space="preserve">. </w:t>
      </w:r>
      <w:r w:rsidR="00316C65">
        <w:rPr>
          <w:rFonts w:eastAsiaTheme="minorHAnsi"/>
          <w:color w:val="000000"/>
        </w:rPr>
        <w:t>For more information, c</w:t>
      </w:r>
      <w:r w:rsidRPr="002F306B">
        <w:rPr>
          <w:rFonts w:eastAsiaTheme="minorHAnsi"/>
          <w:color w:val="000000"/>
        </w:rPr>
        <w:t xml:space="preserve">ontact </w:t>
      </w:r>
      <w:hyperlink r:id="rId6" w:history="1">
        <w:r w:rsidR="00316C65" w:rsidRPr="00956EBC">
          <w:rPr>
            <w:rStyle w:val="Hyperlink"/>
            <w:rFonts w:eastAsiaTheme="minorHAnsi"/>
          </w:rPr>
          <w:t>Stephanie.Kreiser@ag.nj.gov</w:t>
        </w:r>
      </w:hyperlink>
      <w:r w:rsidR="00316C65">
        <w:rPr>
          <w:rFonts w:eastAsiaTheme="minorHAnsi"/>
          <w:color w:val="000000" w:themeColor="text1"/>
        </w:rPr>
        <w:t xml:space="preserve"> </w:t>
      </w:r>
      <w:r w:rsidRPr="00316C65">
        <w:rPr>
          <w:rFonts w:eastAsiaTheme="minorHAnsi"/>
          <w:color w:val="000000" w:themeColor="text1"/>
        </w:rPr>
        <w:t xml:space="preserve">or </w:t>
      </w:r>
      <w:hyperlink r:id="rId7" w:history="1">
        <w:r w:rsidR="00316C65" w:rsidRPr="00956EBC">
          <w:rPr>
            <w:rStyle w:val="Hyperlink"/>
            <w:rFonts w:eastAsiaTheme="minorHAnsi"/>
          </w:rPr>
          <w:t>cindy.roberts@ag.nj.go</w:t>
        </w:r>
      </w:hyperlink>
      <w:r w:rsidR="00316C65">
        <w:rPr>
          <w:rFonts w:eastAsiaTheme="minorHAnsi"/>
          <w:color w:val="000000" w:themeColor="text1"/>
        </w:rPr>
        <w:t>v.</w:t>
      </w:r>
    </w:p>
    <w:p w14:paraId="0DEAF6FE" w14:textId="77777777" w:rsidR="002F306B" w:rsidRPr="00316C65" w:rsidRDefault="002F306B" w:rsidP="0091091C">
      <w:pPr>
        <w:autoSpaceDE w:val="0"/>
        <w:autoSpaceDN w:val="0"/>
        <w:adjustRightInd w:val="0"/>
        <w:ind w:left="-432" w:right="-432"/>
        <w:jc w:val="both"/>
        <w:rPr>
          <w:color w:val="000000" w:themeColor="text1"/>
        </w:rPr>
      </w:pPr>
    </w:p>
    <w:p w14:paraId="1D955FFD" w14:textId="091D2A6B" w:rsidR="00243078" w:rsidRDefault="004C5972" w:rsidP="0091091C">
      <w:pPr>
        <w:pStyle w:val="Default"/>
        <w:ind w:left="-432" w:right="-432"/>
        <w:jc w:val="both"/>
      </w:pPr>
      <w:r w:rsidRPr="002F306B">
        <w:rPr>
          <w:b/>
          <w:bCs/>
        </w:rPr>
        <w:t>Nursery Inspections</w:t>
      </w:r>
      <w:r w:rsidRPr="002F306B">
        <w:t>:</w:t>
      </w:r>
      <w:r w:rsidR="00243078">
        <w:t xml:space="preserve"> </w:t>
      </w:r>
      <w:r w:rsidR="00243078" w:rsidRPr="00243078">
        <w:t>There were 63 nursery inspections and 65 dealer inspections that took place during the month. These inspections certify nurseries free from injurious insect and disease pests. Horticultural staff conducted 44 Phytosanitary inspections during the month. These inspections certified plant material for shipment to other states and countries. There were 33 federal phytosanitary inspections of 80,775 bulbs, 40 bareroot plants, 676 plants,755 roots and 5,800 plug plants to Canada, 1,178 bareroot peony rhizomes to the Netherlands, 944 grams of horticultural seed to Chile and Uruguay and 922,000 individual horticultural seeds to Costa Rica. There were also 11 domestic shipments that certified 19,680 plants and 232,342 bulbs to California, Oregon, Texas, Tennessee and Colorado. During October, program staff completed the last of three inspections of newly imported and new cuttings of boxwood plants. There are 42 New Jersey nurseries participating in the 2025 Boxwood Blight (BWB) “Cleanliness Program</w:t>
      </w:r>
      <w:r w:rsidR="00243078">
        <w:t>,”</w:t>
      </w:r>
      <w:r w:rsidR="00243078" w:rsidRPr="00243078">
        <w:t xml:space="preserve"> a compliance program for nurseries shipping boxwoods to states with boxwood blight quarantine requirements.</w:t>
      </w:r>
    </w:p>
    <w:p w14:paraId="4592120F" w14:textId="0FCB9FFF" w:rsidR="00405AF7" w:rsidRPr="002F306B" w:rsidRDefault="00405AF7" w:rsidP="0091091C">
      <w:pPr>
        <w:ind w:left="-432" w:right="-432"/>
        <w:jc w:val="both"/>
      </w:pPr>
    </w:p>
    <w:p w14:paraId="0A88A0F3" w14:textId="21BFEC68" w:rsidR="002F6789" w:rsidRPr="002F306B" w:rsidRDefault="00405AF7" w:rsidP="0091091C">
      <w:pPr>
        <w:ind w:left="-432" w:right="-432"/>
        <w:jc w:val="both"/>
      </w:pPr>
      <w:r w:rsidRPr="002F306B">
        <w:rPr>
          <w:rFonts w:eastAsia="Aptos"/>
          <w:b/>
          <w:bCs/>
          <w:kern w:val="2"/>
          <w14:ligatures w14:val="standardContextual"/>
        </w:rPr>
        <w:t xml:space="preserve">Laboratory Report Through </w:t>
      </w:r>
      <w:r w:rsidR="002F6789">
        <w:rPr>
          <w:rFonts w:eastAsia="Aptos"/>
          <w:b/>
          <w:bCs/>
          <w:kern w:val="2"/>
          <w14:ligatures w14:val="standardContextual"/>
        </w:rPr>
        <w:t>October</w:t>
      </w:r>
      <w:r w:rsidRPr="002F306B">
        <w:rPr>
          <w:rFonts w:eastAsia="Aptos"/>
          <w:b/>
          <w:bCs/>
          <w:kern w:val="2"/>
          <w14:ligatures w14:val="standardContextual"/>
        </w:rPr>
        <w:t xml:space="preserve"> 2025</w:t>
      </w:r>
      <w:r w:rsidRPr="002F306B">
        <w:rPr>
          <w:rFonts w:eastAsia="Aptos"/>
          <w:kern w:val="2"/>
          <w14:ligatures w14:val="standardContextual"/>
        </w:rPr>
        <w:t xml:space="preserve">: </w:t>
      </w:r>
      <w:r w:rsidR="002F6789">
        <w:rPr>
          <w:sz w:val="23"/>
          <w:szCs w:val="23"/>
        </w:rPr>
        <w:t>The Pathology Laboratory Section completed a total of 705 tests/ procedures. Tests and/or procedures involved gross necropsy examination, histopathologic (microscopic), immunohistochemical, and parasitological preparation and evaluation, and these cases generated additional diagnostic tests for other laboratory sections (e.g., bacteriology, virology, and molecular diagnostics). Results from these case submissions help to support practicing veterinarians (large, mixed, and small animal), private food and companion animal owners, NJ State Agencies, racetracks, wildlife, zoos, and nonprofit animal facilities. Cases involved diagnostic testing for disease and/or cause of death diagnosis and routine and/or sporadic disease surveillance for large and small ruminant, companion animal, and exotic/zoo species; sudden death with no clinical symptoms; assessment of backyard flock health issues; large-scale flock disease; law enforcement forensic investigation, and animals exhibiting neurologic symptoms.</w:t>
      </w:r>
    </w:p>
    <w:p w14:paraId="6BA6498C" w14:textId="77777777" w:rsidR="008D392F" w:rsidRDefault="008D392F" w:rsidP="008D392F">
      <w:pPr>
        <w:shd w:val="clear" w:color="auto" w:fill="FFFFFF"/>
        <w:spacing w:line="0" w:lineRule="auto"/>
        <w:rPr>
          <w:rFonts w:ascii="pg-4ff1" w:hAnsi="pg-4ff1"/>
          <w:color w:val="000000"/>
          <w:sz w:val="72"/>
          <w:szCs w:val="72"/>
        </w:rPr>
      </w:pPr>
      <w:r>
        <w:rPr>
          <w:rFonts w:ascii="pg-4ff1" w:hAnsi="pg-4ff1"/>
          <w:color w:val="000000"/>
          <w:sz w:val="72"/>
          <w:szCs w:val="72"/>
        </w:rPr>
        <w:t xml:space="preserve">HPAI Dairy Status: On September 12, a report to the USDA Ruminant Health Center demonstrated </w:t>
      </w:r>
    </w:p>
    <w:p w14:paraId="65606CE1" w14:textId="77777777" w:rsidR="008D392F" w:rsidRDefault="008D392F" w:rsidP="008D392F">
      <w:pPr>
        <w:shd w:val="clear" w:color="auto" w:fill="FFFFFF"/>
        <w:spacing w:line="0" w:lineRule="auto"/>
        <w:rPr>
          <w:rFonts w:ascii="pg-4ff1" w:hAnsi="pg-4ff1"/>
          <w:color w:val="000000"/>
          <w:sz w:val="72"/>
          <w:szCs w:val="72"/>
        </w:rPr>
      </w:pPr>
      <w:r>
        <w:rPr>
          <w:rFonts w:ascii="pg-4ff1" w:hAnsi="pg-4ff1"/>
          <w:color w:val="000000"/>
          <w:sz w:val="72"/>
          <w:szCs w:val="72"/>
        </w:rPr>
        <w:t xml:space="preserve">New Jersey’s eligibility for unaffected status within the National Milk Testing Strategy. The </w:t>
      </w:r>
    </w:p>
    <w:p w14:paraId="3F3DD8AB" w14:textId="77777777" w:rsidR="008D392F" w:rsidRDefault="008D392F" w:rsidP="008D392F">
      <w:pPr>
        <w:shd w:val="clear" w:color="auto" w:fill="FFFFFF"/>
        <w:spacing w:line="0" w:lineRule="auto"/>
        <w:rPr>
          <w:rFonts w:ascii="pg-4ff1" w:hAnsi="pg-4ff1"/>
          <w:color w:val="000000"/>
          <w:sz w:val="72"/>
          <w:szCs w:val="72"/>
        </w:rPr>
      </w:pPr>
      <w:r>
        <w:rPr>
          <w:rFonts w:ascii="pg-4ff1" w:hAnsi="pg-4ff1"/>
          <w:color w:val="000000"/>
          <w:sz w:val="72"/>
          <w:szCs w:val="72"/>
        </w:rPr>
        <w:t xml:space="preserve">unaffected status (“Stage 4”) was granted, signifying no detections of avian influenza in New </w:t>
      </w:r>
    </w:p>
    <w:p w14:paraId="42ADE54C" w14:textId="77777777" w:rsidR="008D392F" w:rsidRDefault="008D392F" w:rsidP="008D392F">
      <w:pPr>
        <w:shd w:val="clear" w:color="auto" w:fill="FFFFFF"/>
        <w:spacing w:line="0" w:lineRule="auto"/>
        <w:rPr>
          <w:rFonts w:ascii="pg-4ff1" w:hAnsi="pg-4ff1"/>
          <w:color w:val="000000"/>
          <w:sz w:val="72"/>
          <w:szCs w:val="72"/>
        </w:rPr>
      </w:pPr>
      <w:r>
        <w:rPr>
          <w:rFonts w:ascii="pg-4ff1" w:hAnsi="pg-4ff1"/>
          <w:color w:val="000000"/>
          <w:sz w:val="72"/>
          <w:szCs w:val="72"/>
        </w:rPr>
        <w:t xml:space="preserve">Jersey’s dairies. A minimum level of milk silo testing will continue to maintain the unaffected </w:t>
      </w:r>
    </w:p>
    <w:p w14:paraId="244271E6" w14:textId="77777777" w:rsidR="008D392F" w:rsidRDefault="008D392F" w:rsidP="008D392F">
      <w:pPr>
        <w:shd w:val="clear" w:color="auto" w:fill="FFFFFF"/>
        <w:spacing w:line="0" w:lineRule="auto"/>
        <w:rPr>
          <w:rFonts w:ascii="pg-4ff1" w:hAnsi="pg-4ff1"/>
          <w:color w:val="000000"/>
          <w:sz w:val="72"/>
          <w:szCs w:val="72"/>
        </w:rPr>
      </w:pPr>
      <w:r>
        <w:rPr>
          <w:rFonts w:ascii="pg-4ff1" w:hAnsi="pg-4ff1"/>
          <w:color w:val="000000"/>
          <w:sz w:val="72"/>
          <w:szCs w:val="72"/>
        </w:rPr>
        <w:t xml:space="preserve">status. </w:t>
      </w:r>
    </w:p>
    <w:sectPr w:rsidR="008D392F" w:rsidSect="009574FF">
      <w:pgSz w:w="12240" w:h="16340"/>
      <w:pgMar w:top="1008" w:right="1008" w:bottom="1008" w:left="100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pg-4ff1">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E75C7"/>
    <w:multiLevelType w:val="multilevel"/>
    <w:tmpl w:val="3816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480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39C"/>
    <w:rsid w:val="000F23DB"/>
    <w:rsid w:val="0011229D"/>
    <w:rsid w:val="001736DB"/>
    <w:rsid w:val="001B4F9B"/>
    <w:rsid w:val="001E408E"/>
    <w:rsid w:val="001F4284"/>
    <w:rsid w:val="00201F5C"/>
    <w:rsid w:val="002066B1"/>
    <w:rsid w:val="00243078"/>
    <w:rsid w:val="002A5435"/>
    <w:rsid w:val="002F306B"/>
    <w:rsid w:val="002F64AB"/>
    <w:rsid w:val="002F6789"/>
    <w:rsid w:val="003053B1"/>
    <w:rsid w:val="00316C65"/>
    <w:rsid w:val="00335AAF"/>
    <w:rsid w:val="00397662"/>
    <w:rsid w:val="00405AF7"/>
    <w:rsid w:val="00455DEC"/>
    <w:rsid w:val="004A615C"/>
    <w:rsid w:val="004B2DB6"/>
    <w:rsid w:val="004C5972"/>
    <w:rsid w:val="0052490F"/>
    <w:rsid w:val="005A083B"/>
    <w:rsid w:val="00665EC7"/>
    <w:rsid w:val="006F0639"/>
    <w:rsid w:val="00746094"/>
    <w:rsid w:val="007900CE"/>
    <w:rsid w:val="007B00CF"/>
    <w:rsid w:val="007C1FD8"/>
    <w:rsid w:val="0080706A"/>
    <w:rsid w:val="00830328"/>
    <w:rsid w:val="0084124F"/>
    <w:rsid w:val="008D392F"/>
    <w:rsid w:val="0091091C"/>
    <w:rsid w:val="00934F00"/>
    <w:rsid w:val="009574FF"/>
    <w:rsid w:val="009A7D1C"/>
    <w:rsid w:val="009C05AA"/>
    <w:rsid w:val="009C6738"/>
    <w:rsid w:val="00A1339C"/>
    <w:rsid w:val="00AB4113"/>
    <w:rsid w:val="00CA0E5D"/>
    <w:rsid w:val="00CC1678"/>
    <w:rsid w:val="00D054A6"/>
    <w:rsid w:val="00D3167B"/>
    <w:rsid w:val="00D45466"/>
    <w:rsid w:val="00D533D0"/>
    <w:rsid w:val="00DA1B99"/>
    <w:rsid w:val="00DD1B6C"/>
    <w:rsid w:val="00DD3EEB"/>
    <w:rsid w:val="00E40918"/>
    <w:rsid w:val="00E55DE2"/>
    <w:rsid w:val="00E814FC"/>
    <w:rsid w:val="00EC35D9"/>
    <w:rsid w:val="00EE7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10B78"/>
  <w15:chartTrackingRefBased/>
  <w15:docId w15:val="{B59670CC-56F4-4625-93F3-3D6B92273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9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133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_"/>
    <w:basedOn w:val="DefaultParagraphFont"/>
    <w:rsid w:val="00405AF7"/>
  </w:style>
  <w:style w:type="character" w:customStyle="1" w:styleId="pg-3ff2">
    <w:name w:val="pg-3ff2"/>
    <w:basedOn w:val="DefaultParagraphFont"/>
    <w:rsid w:val="00405AF7"/>
  </w:style>
  <w:style w:type="character" w:styleId="Hyperlink">
    <w:name w:val="Hyperlink"/>
    <w:basedOn w:val="DefaultParagraphFont"/>
    <w:uiPriority w:val="99"/>
    <w:unhideWhenUsed/>
    <w:rsid w:val="00316C65"/>
    <w:rPr>
      <w:color w:val="0563C1" w:themeColor="hyperlink"/>
      <w:u w:val="single"/>
    </w:rPr>
  </w:style>
  <w:style w:type="character" w:styleId="UnresolvedMention">
    <w:name w:val="Unresolved Mention"/>
    <w:basedOn w:val="DefaultParagraphFont"/>
    <w:uiPriority w:val="99"/>
    <w:semiHidden/>
    <w:unhideWhenUsed/>
    <w:rsid w:val="00316C65"/>
    <w:rPr>
      <w:color w:val="605E5C"/>
      <w:shd w:val="clear" w:color="auto" w:fill="E1DFDD"/>
    </w:rPr>
  </w:style>
  <w:style w:type="character" w:styleId="FollowedHyperlink">
    <w:name w:val="FollowedHyperlink"/>
    <w:basedOn w:val="DefaultParagraphFont"/>
    <w:uiPriority w:val="99"/>
    <w:semiHidden/>
    <w:unhideWhenUsed/>
    <w:rsid w:val="009C67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4597">
      <w:bodyDiv w:val="1"/>
      <w:marLeft w:val="0"/>
      <w:marRight w:val="0"/>
      <w:marTop w:val="0"/>
      <w:marBottom w:val="0"/>
      <w:divBdr>
        <w:top w:val="none" w:sz="0" w:space="0" w:color="auto"/>
        <w:left w:val="none" w:sz="0" w:space="0" w:color="auto"/>
        <w:bottom w:val="none" w:sz="0" w:space="0" w:color="auto"/>
        <w:right w:val="none" w:sz="0" w:space="0" w:color="auto"/>
      </w:divBdr>
      <w:divsChild>
        <w:div w:id="1999846069">
          <w:marLeft w:val="0"/>
          <w:marRight w:val="0"/>
          <w:marTop w:val="0"/>
          <w:marBottom w:val="0"/>
          <w:divBdr>
            <w:top w:val="none" w:sz="0" w:space="0" w:color="auto"/>
            <w:left w:val="none" w:sz="0" w:space="0" w:color="auto"/>
            <w:bottom w:val="none" w:sz="0" w:space="0" w:color="auto"/>
            <w:right w:val="none" w:sz="0" w:space="0" w:color="auto"/>
          </w:divBdr>
        </w:div>
        <w:div w:id="1185630657">
          <w:marLeft w:val="0"/>
          <w:marRight w:val="0"/>
          <w:marTop w:val="0"/>
          <w:marBottom w:val="0"/>
          <w:divBdr>
            <w:top w:val="none" w:sz="0" w:space="0" w:color="auto"/>
            <w:left w:val="none" w:sz="0" w:space="0" w:color="auto"/>
            <w:bottom w:val="none" w:sz="0" w:space="0" w:color="auto"/>
            <w:right w:val="none" w:sz="0" w:space="0" w:color="auto"/>
          </w:divBdr>
        </w:div>
        <w:div w:id="323513951">
          <w:marLeft w:val="0"/>
          <w:marRight w:val="0"/>
          <w:marTop w:val="0"/>
          <w:marBottom w:val="0"/>
          <w:divBdr>
            <w:top w:val="none" w:sz="0" w:space="0" w:color="auto"/>
            <w:left w:val="none" w:sz="0" w:space="0" w:color="auto"/>
            <w:bottom w:val="none" w:sz="0" w:space="0" w:color="auto"/>
            <w:right w:val="none" w:sz="0" w:space="0" w:color="auto"/>
          </w:divBdr>
        </w:div>
        <w:div w:id="1663117558">
          <w:marLeft w:val="0"/>
          <w:marRight w:val="0"/>
          <w:marTop w:val="0"/>
          <w:marBottom w:val="0"/>
          <w:divBdr>
            <w:top w:val="none" w:sz="0" w:space="0" w:color="auto"/>
            <w:left w:val="none" w:sz="0" w:space="0" w:color="auto"/>
            <w:bottom w:val="none" w:sz="0" w:space="0" w:color="auto"/>
            <w:right w:val="none" w:sz="0" w:space="0" w:color="auto"/>
          </w:divBdr>
        </w:div>
        <w:div w:id="1981883226">
          <w:marLeft w:val="0"/>
          <w:marRight w:val="0"/>
          <w:marTop w:val="0"/>
          <w:marBottom w:val="0"/>
          <w:divBdr>
            <w:top w:val="none" w:sz="0" w:space="0" w:color="auto"/>
            <w:left w:val="none" w:sz="0" w:space="0" w:color="auto"/>
            <w:bottom w:val="none" w:sz="0" w:space="0" w:color="auto"/>
            <w:right w:val="none" w:sz="0" w:space="0" w:color="auto"/>
          </w:divBdr>
        </w:div>
        <w:div w:id="983893609">
          <w:marLeft w:val="0"/>
          <w:marRight w:val="0"/>
          <w:marTop w:val="0"/>
          <w:marBottom w:val="0"/>
          <w:divBdr>
            <w:top w:val="none" w:sz="0" w:space="0" w:color="auto"/>
            <w:left w:val="none" w:sz="0" w:space="0" w:color="auto"/>
            <w:bottom w:val="none" w:sz="0" w:space="0" w:color="auto"/>
            <w:right w:val="none" w:sz="0" w:space="0" w:color="auto"/>
          </w:divBdr>
        </w:div>
        <w:div w:id="36442427">
          <w:marLeft w:val="0"/>
          <w:marRight w:val="0"/>
          <w:marTop w:val="0"/>
          <w:marBottom w:val="0"/>
          <w:divBdr>
            <w:top w:val="none" w:sz="0" w:space="0" w:color="auto"/>
            <w:left w:val="none" w:sz="0" w:space="0" w:color="auto"/>
            <w:bottom w:val="none" w:sz="0" w:space="0" w:color="auto"/>
            <w:right w:val="none" w:sz="0" w:space="0" w:color="auto"/>
          </w:divBdr>
        </w:div>
        <w:div w:id="145171528">
          <w:marLeft w:val="0"/>
          <w:marRight w:val="0"/>
          <w:marTop w:val="0"/>
          <w:marBottom w:val="0"/>
          <w:divBdr>
            <w:top w:val="none" w:sz="0" w:space="0" w:color="auto"/>
            <w:left w:val="none" w:sz="0" w:space="0" w:color="auto"/>
            <w:bottom w:val="none" w:sz="0" w:space="0" w:color="auto"/>
            <w:right w:val="none" w:sz="0" w:space="0" w:color="auto"/>
          </w:divBdr>
        </w:div>
        <w:div w:id="14894552">
          <w:marLeft w:val="0"/>
          <w:marRight w:val="0"/>
          <w:marTop w:val="0"/>
          <w:marBottom w:val="0"/>
          <w:divBdr>
            <w:top w:val="none" w:sz="0" w:space="0" w:color="auto"/>
            <w:left w:val="none" w:sz="0" w:space="0" w:color="auto"/>
            <w:bottom w:val="none" w:sz="0" w:space="0" w:color="auto"/>
            <w:right w:val="none" w:sz="0" w:space="0" w:color="auto"/>
          </w:divBdr>
        </w:div>
        <w:div w:id="2135101798">
          <w:marLeft w:val="0"/>
          <w:marRight w:val="0"/>
          <w:marTop w:val="0"/>
          <w:marBottom w:val="0"/>
          <w:divBdr>
            <w:top w:val="none" w:sz="0" w:space="0" w:color="auto"/>
            <w:left w:val="none" w:sz="0" w:space="0" w:color="auto"/>
            <w:bottom w:val="none" w:sz="0" w:space="0" w:color="auto"/>
            <w:right w:val="none" w:sz="0" w:space="0" w:color="auto"/>
          </w:divBdr>
        </w:div>
      </w:divsChild>
    </w:div>
    <w:div w:id="148206162">
      <w:bodyDiv w:val="1"/>
      <w:marLeft w:val="0"/>
      <w:marRight w:val="0"/>
      <w:marTop w:val="0"/>
      <w:marBottom w:val="0"/>
      <w:divBdr>
        <w:top w:val="none" w:sz="0" w:space="0" w:color="auto"/>
        <w:left w:val="none" w:sz="0" w:space="0" w:color="auto"/>
        <w:bottom w:val="none" w:sz="0" w:space="0" w:color="auto"/>
        <w:right w:val="none" w:sz="0" w:space="0" w:color="auto"/>
      </w:divBdr>
      <w:divsChild>
        <w:div w:id="1019544306">
          <w:marLeft w:val="0"/>
          <w:marRight w:val="0"/>
          <w:marTop w:val="0"/>
          <w:marBottom w:val="0"/>
          <w:divBdr>
            <w:top w:val="none" w:sz="0" w:space="0" w:color="auto"/>
            <w:left w:val="none" w:sz="0" w:space="0" w:color="auto"/>
            <w:bottom w:val="none" w:sz="0" w:space="0" w:color="auto"/>
            <w:right w:val="none" w:sz="0" w:space="0" w:color="auto"/>
          </w:divBdr>
        </w:div>
        <w:div w:id="35088414">
          <w:marLeft w:val="0"/>
          <w:marRight w:val="0"/>
          <w:marTop w:val="0"/>
          <w:marBottom w:val="0"/>
          <w:divBdr>
            <w:top w:val="none" w:sz="0" w:space="0" w:color="auto"/>
            <w:left w:val="none" w:sz="0" w:space="0" w:color="auto"/>
            <w:bottom w:val="none" w:sz="0" w:space="0" w:color="auto"/>
            <w:right w:val="none" w:sz="0" w:space="0" w:color="auto"/>
          </w:divBdr>
        </w:div>
        <w:div w:id="1768579369">
          <w:marLeft w:val="0"/>
          <w:marRight w:val="0"/>
          <w:marTop w:val="0"/>
          <w:marBottom w:val="0"/>
          <w:divBdr>
            <w:top w:val="none" w:sz="0" w:space="0" w:color="auto"/>
            <w:left w:val="none" w:sz="0" w:space="0" w:color="auto"/>
            <w:bottom w:val="none" w:sz="0" w:space="0" w:color="auto"/>
            <w:right w:val="none" w:sz="0" w:space="0" w:color="auto"/>
          </w:divBdr>
        </w:div>
        <w:div w:id="102924051">
          <w:marLeft w:val="0"/>
          <w:marRight w:val="0"/>
          <w:marTop w:val="0"/>
          <w:marBottom w:val="0"/>
          <w:divBdr>
            <w:top w:val="none" w:sz="0" w:space="0" w:color="auto"/>
            <w:left w:val="none" w:sz="0" w:space="0" w:color="auto"/>
            <w:bottom w:val="none" w:sz="0" w:space="0" w:color="auto"/>
            <w:right w:val="none" w:sz="0" w:space="0" w:color="auto"/>
          </w:divBdr>
        </w:div>
        <w:div w:id="537547861">
          <w:marLeft w:val="0"/>
          <w:marRight w:val="0"/>
          <w:marTop w:val="0"/>
          <w:marBottom w:val="0"/>
          <w:divBdr>
            <w:top w:val="none" w:sz="0" w:space="0" w:color="auto"/>
            <w:left w:val="none" w:sz="0" w:space="0" w:color="auto"/>
            <w:bottom w:val="none" w:sz="0" w:space="0" w:color="auto"/>
            <w:right w:val="none" w:sz="0" w:space="0" w:color="auto"/>
          </w:divBdr>
        </w:div>
        <w:div w:id="1570654007">
          <w:marLeft w:val="0"/>
          <w:marRight w:val="0"/>
          <w:marTop w:val="0"/>
          <w:marBottom w:val="0"/>
          <w:divBdr>
            <w:top w:val="none" w:sz="0" w:space="0" w:color="auto"/>
            <w:left w:val="none" w:sz="0" w:space="0" w:color="auto"/>
            <w:bottom w:val="none" w:sz="0" w:space="0" w:color="auto"/>
            <w:right w:val="none" w:sz="0" w:space="0" w:color="auto"/>
          </w:divBdr>
        </w:div>
        <w:div w:id="565186490">
          <w:marLeft w:val="0"/>
          <w:marRight w:val="0"/>
          <w:marTop w:val="0"/>
          <w:marBottom w:val="0"/>
          <w:divBdr>
            <w:top w:val="none" w:sz="0" w:space="0" w:color="auto"/>
            <w:left w:val="none" w:sz="0" w:space="0" w:color="auto"/>
            <w:bottom w:val="none" w:sz="0" w:space="0" w:color="auto"/>
            <w:right w:val="none" w:sz="0" w:space="0" w:color="auto"/>
          </w:divBdr>
        </w:div>
        <w:div w:id="1367411975">
          <w:marLeft w:val="0"/>
          <w:marRight w:val="0"/>
          <w:marTop w:val="0"/>
          <w:marBottom w:val="0"/>
          <w:divBdr>
            <w:top w:val="none" w:sz="0" w:space="0" w:color="auto"/>
            <w:left w:val="none" w:sz="0" w:space="0" w:color="auto"/>
            <w:bottom w:val="none" w:sz="0" w:space="0" w:color="auto"/>
            <w:right w:val="none" w:sz="0" w:space="0" w:color="auto"/>
          </w:divBdr>
        </w:div>
        <w:div w:id="1644657088">
          <w:marLeft w:val="0"/>
          <w:marRight w:val="0"/>
          <w:marTop w:val="0"/>
          <w:marBottom w:val="0"/>
          <w:divBdr>
            <w:top w:val="none" w:sz="0" w:space="0" w:color="auto"/>
            <w:left w:val="none" w:sz="0" w:space="0" w:color="auto"/>
            <w:bottom w:val="none" w:sz="0" w:space="0" w:color="auto"/>
            <w:right w:val="none" w:sz="0" w:space="0" w:color="auto"/>
          </w:divBdr>
        </w:div>
        <w:div w:id="1613897487">
          <w:marLeft w:val="0"/>
          <w:marRight w:val="0"/>
          <w:marTop w:val="0"/>
          <w:marBottom w:val="0"/>
          <w:divBdr>
            <w:top w:val="none" w:sz="0" w:space="0" w:color="auto"/>
            <w:left w:val="none" w:sz="0" w:space="0" w:color="auto"/>
            <w:bottom w:val="none" w:sz="0" w:space="0" w:color="auto"/>
            <w:right w:val="none" w:sz="0" w:space="0" w:color="auto"/>
          </w:divBdr>
        </w:div>
        <w:div w:id="116339756">
          <w:marLeft w:val="0"/>
          <w:marRight w:val="0"/>
          <w:marTop w:val="0"/>
          <w:marBottom w:val="0"/>
          <w:divBdr>
            <w:top w:val="none" w:sz="0" w:space="0" w:color="auto"/>
            <w:left w:val="none" w:sz="0" w:space="0" w:color="auto"/>
            <w:bottom w:val="none" w:sz="0" w:space="0" w:color="auto"/>
            <w:right w:val="none" w:sz="0" w:space="0" w:color="auto"/>
          </w:divBdr>
        </w:div>
      </w:divsChild>
    </w:div>
    <w:div w:id="266474579">
      <w:bodyDiv w:val="1"/>
      <w:marLeft w:val="0"/>
      <w:marRight w:val="0"/>
      <w:marTop w:val="0"/>
      <w:marBottom w:val="0"/>
      <w:divBdr>
        <w:top w:val="none" w:sz="0" w:space="0" w:color="auto"/>
        <w:left w:val="none" w:sz="0" w:space="0" w:color="auto"/>
        <w:bottom w:val="none" w:sz="0" w:space="0" w:color="auto"/>
        <w:right w:val="none" w:sz="0" w:space="0" w:color="auto"/>
      </w:divBdr>
      <w:divsChild>
        <w:div w:id="1400784124">
          <w:marLeft w:val="0"/>
          <w:marRight w:val="0"/>
          <w:marTop w:val="0"/>
          <w:marBottom w:val="0"/>
          <w:divBdr>
            <w:top w:val="none" w:sz="0" w:space="0" w:color="auto"/>
            <w:left w:val="none" w:sz="0" w:space="0" w:color="auto"/>
            <w:bottom w:val="none" w:sz="0" w:space="0" w:color="auto"/>
            <w:right w:val="none" w:sz="0" w:space="0" w:color="auto"/>
          </w:divBdr>
        </w:div>
        <w:div w:id="652098353">
          <w:marLeft w:val="0"/>
          <w:marRight w:val="0"/>
          <w:marTop w:val="0"/>
          <w:marBottom w:val="0"/>
          <w:divBdr>
            <w:top w:val="none" w:sz="0" w:space="0" w:color="auto"/>
            <w:left w:val="none" w:sz="0" w:space="0" w:color="auto"/>
            <w:bottom w:val="none" w:sz="0" w:space="0" w:color="auto"/>
            <w:right w:val="none" w:sz="0" w:space="0" w:color="auto"/>
          </w:divBdr>
        </w:div>
        <w:div w:id="1362437472">
          <w:marLeft w:val="0"/>
          <w:marRight w:val="0"/>
          <w:marTop w:val="0"/>
          <w:marBottom w:val="0"/>
          <w:divBdr>
            <w:top w:val="none" w:sz="0" w:space="0" w:color="auto"/>
            <w:left w:val="none" w:sz="0" w:space="0" w:color="auto"/>
            <w:bottom w:val="none" w:sz="0" w:space="0" w:color="auto"/>
            <w:right w:val="none" w:sz="0" w:space="0" w:color="auto"/>
          </w:divBdr>
        </w:div>
        <w:div w:id="1601133917">
          <w:marLeft w:val="0"/>
          <w:marRight w:val="0"/>
          <w:marTop w:val="0"/>
          <w:marBottom w:val="0"/>
          <w:divBdr>
            <w:top w:val="none" w:sz="0" w:space="0" w:color="auto"/>
            <w:left w:val="none" w:sz="0" w:space="0" w:color="auto"/>
            <w:bottom w:val="none" w:sz="0" w:space="0" w:color="auto"/>
            <w:right w:val="none" w:sz="0" w:space="0" w:color="auto"/>
          </w:divBdr>
        </w:div>
        <w:div w:id="1313872198">
          <w:marLeft w:val="0"/>
          <w:marRight w:val="0"/>
          <w:marTop w:val="0"/>
          <w:marBottom w:val="0"/>
          <w:divBdr>
            <w:top w:val="none" w:sz="0" w:space="0" w:color="auto"/>
            <w:left w:val="none" w:sz="0" w:space="0" w:color="auto"/>
            <w:bottom w:val="none" w:sz="0" w:space="0" w:color="auto"/>
            <w:right w:val="none" w:sz="0" w:space="0" w:color="auto"/>
          </w:divBdr>
        </w:div>
      </w:divsChild>
    </w:div>
    <w:div w:id="603925067">
      <w:bodyDiv w:val="1"/>
      <w:marLeft w:val="0"/>
      <w:marRight w:val="0"/>
      <w:marTop w:val="0"/>
      <w:marBottom w:val="0"/>
      <w:divBdr>
        <w:top w:val="none" w:sz="0" w:space="0" w:color="auto"/>
        <w:left w:val="none" w:sz="0" w:space="0" w:color="auto"/>
        <w:bottom w:val="none" w:sz="0" w:space="0" w:color="auto"/>
        <w:right w:val="none" w:sz="0" w:space="0" w:color="auto"/>
      </w:divBdr>
      <w:divsChild>
        <w:div w:id="2010525140">
          <w:marLeft w:val="0"/>
          <w:marRight w:val="0"/>
          <w:marTop w:val="0"/>
          <w:marBottom w:val="0"/>
          <w:divBdr>
            <w:top w:val="none" w:sz="0" w:space="0" w:color="auto"/>
            <w:left w:val="none" w:sz="0" w:space="0" w:color="auto"/>
            <w:bottom w:val="none" w:sz="0" w:space="0" w:color="auto"/>
            <w:right w:val="none" w:sz="0" w:space="0" w:color="auto"/>
          </w:divBdr>
        </w:div>
        <w:div w:id="863909970">
          <w:marLeft w:val="0"/>
          <w:marRight w:val="0"/>
          <w:marTop w:val="0"/>
          <w:marBottom w:val="0"/>
          <w:divBdr>
            <w:top w:val="none" w:sz="0" w:space="0" w:color="auto"/>
            <w:left w:val="none" w:sz="0" w:space="0" w:color="auto"/>
            <w:bottom w:val="none" w:sz="0" w:space="0" w:color="auto"/>
            <w:right w:val="none" w:sz="0" w:space="0" w:color="auto"/>
          </w:divBdr>
        </w:div>
        <w:div w:id="1179199011">
          <w:marLeft w:val="0"/>
          <w:marRight w:val="0"/>
          <w:marTop w:val="0"/>
          <w:marBottom w:val="0"/>
          <w:divBdr>
            <w:top w:val="none" w:sz="0" w:space="0" w:color="auto"/>
            <w:left w:val="none" w:sz="0" w:space="0" w:color="auto"/>
            <w:bottom w:val="none" w:sz="0" w:space="0" w:color="auto"/>
            <w:right w:val="none" w:sz="0" w:space="0" w:color="auto"/>
          </w:divBdr>
        </w:div>
        <w:div w:id="603467052">
          <w:marLeft w:val="0"/>
          <w:marRight w:val="0"/>
          <w:marTop w:val="0"/>
          <w:marBottom w:val="0"/>
          <w:divBdr>
            <w:top w:val="none" w:sz="0" w:space="0" w:color="auto"/>
            <w:left w:val="none" w:sz="0" w:space="0" w:color="auto"/>
            <w:bottom w:val="none" w:sz="0" w:space="0" w:color="auto"/>
            <w:right w:val="none" w:sz="0" w:space="0" w:color="auto"/>
          </w:divBdr>
        </w:div>
        <w:div w:id="2075544038">
          <w:marLeft w:val="0"/>
          <w:marRight w:val="0"/>
          <w:marTop w:val="0"/>
          <w:marBottom w:val="0"/>
          <w:divBdr>
            <w:top w:val="none" w:sz="0" w:space="0" w:color="auto"/>
            <w:left w:val="none" w:sz="0" w:space="0" w:color="auto"/>
            <w:bottom w:val="none" w:sz="0" w:space="0" w:color="auto"/>
            <w:right w:val="none" w:sz="0" w:space="0" w:color="auto"/>
          </w:divBdr>
        </w:div>
        <w:div w:id="524711097">
          <w:marLeft w:val="0"/>
          <w:marRight w:val="0"/>
          <w:marTop w:val="0"/>
          <w:marBottom w:val="0"/>
          <w:divBdr>
            <w:top w:val="none" w:sz="0" w:space="0" w:color="auto"/>
            <w:left w:val="none" w:sz="0" w:space="0" w:color="auto"/>
            <w:bottom w:val="none" w:sz="0" w:space="0" w:color="auto"/>
            <w:right w:val="none" w:sz="0" w:space="0" w:color="auto"/>
          </w:divBdr>
        </w:div>
        <w:div w:id="94325143">
          <w:marLeft w:val="0"/>
          <w:marRight w:val="0"/>
          <w:marTop w:val="0"/>
          <w:marBottom w:val="0"/>
          <w:divBdr>
            <w:top w:val="none" w:sz="0" w:space="0" w:color="auto"/>
            <w:left w:val="none" w:sz="0" w:space="0" w:color="auto"/>
            <w:bottom w:val="none" w:sz="0" w:space="0" w:color="auto"/>
            <w:right w:val="none" w:sz="0" w:space="0" w:color="auto"/>
          </w:divBdr>
        </w:div>
        <w:div w:id="1277639907">
          <w:marLeft w:val="0"/>
          <w:marRight w:val="0"/>
          <w:marTop w:val="0"/>
          <w:marBottom w:val="0"/>
          <w:divBdr>
            <w:top w:val="none" w:sz="0" w:space="0" w:color="auto"/>
            <w:left w:val="none" w:sz="0" w:space="0" w:color="auto"/>
            <w:bottom w:val="none" w:sz="0" w:space="0" w:color="auto"/>
            <w:right w:val="none" w:sz="0" w:space="0" w:color="auto"/>
          </w:divBdr>
        </w:div>
        <w:div w:id="1992099103">
          <w:marLeft w:val="0"/>
          <w:marRight w:val="0"/>
          <w:marTop w:val="0"/>
          <w:marBottom w:val="0"/>
          <w:divBdr>
            <w:top w:val="none" w:sz="0" w:space="0" w:color="auto"/>
            <w:left w:val="none" w:sz="0" w:space="0" w:color="auto"/>
            <w:bottom w:val="none" w:sz="0" w:space="0" w:color="auto"/>
            <w:right w:val="none" w:sz="0" w:space="0" w:color="auto"/>
          </w:divBdr>
        </w:div>
        <w:div w:id="207034615">
          <w:marLeft w:val="0"/>
          <w:marRight w:val="0"/>
          <w:marTop w:val="0"/>
          <w:marBottom w:val="0"/>
          <w:divBdr>
            <w:top w:val="none" w:sz="0" w:space="0" w:color="auto"/>
            <w:left w:val="none" w:sz="0" w:space="0" w:color="auto"/>
            <w:bottom w:val="none" w:sz="0" w:space="0" w:color="auto"/>
            <w:right w:val="none" w:sz="0" w:space="0" w:color="auto"/>
          </w:divBdr>
        </w:div>
        <w:div w:id="1430999964">
          <w:marLeft w:val="0"/>
          <w:marRight w:val="0"/>
          <w:marTop w:val="0"/>
          <w:marBottom w:val="0"/>
          <w:divBdr>
            <w:top w:val="none" w:sz="0" w:space="0" w:color="auto"/>
            <w:left w:val="none" w:sz="0" w:space="0" w:color="auto"/>
            <w:bottom w:val="none" w:sz="0" w:space="0" w:color="auto"/>
            <w:right w:val="none" w:sz="0" w:space="0" w:color="auto"/>
          </w:divBdr>
        </w:div>
      </w:divsChild>
    </w:div>
    <w:div w:id="986671224">
      <w:bodyDiv w:val="1"/>
      <w:marLeft w:val="0"/>
      <w:marRight w:val="0"/>
      <w:marTop w:val="0"/>
      <w:marBottom w:val="0"/>
      <w:divBdr>
        <w:top w:val="none" w:sz="0" w:space="0" w:color="auto"/>
        <w:left w:val="none" w:sz="0" w:space="0" w:color="auto"/>
        <w:bottom w:val="none" w:sz="0" w:space="0" w:color="auto"/>
        <w:right w:val="none" w:sz="0" w:space="0" w:color="auto"/>
      </w:divBdr>
      <w:divsChild>
        <w:div w:id="229580632">
          <w:marLeft w:val="0"/>
          <w:marRight w:val="0"/>
          <w:marTop w:val="0"/>
          <w:marBottom w:val="0"/>
          <w:divBdr>
            <w:top w:val="none" w:sz="0" w:space="0" w:color="auto"/>
            <w:left w:val="none" w:sz="0" w:space="0" w:color="auto"/>
            <w:bottom w:val="none" w:sz="0" w:space="0" w:color="auto"/>
            <w:right w:val="none" w:sz="0" w:space="0" w:color="auto"/>
          </w:divBdr>
        </w:div>
        <w:div w:id="100415641">
          <w:marLeft w:val="0"/>
          <w:marRight w:val="0"/>
          <w:marTop w:val="0"/>
          <w:marBottom w:val="0"/>
          <w:divBdr>
            <w:top w:val="none" w:sz="0" w:space="0" w:color="auto"/>
            <w:left w:val="none" w:sz="0" w:space="0" w:color="auto"/>
            <w:bottom w:val="none" w:sz="0" w:space="0" w:color="auto"/>
            <w:right w:val="none" w:sz="0" w:space="0" w:color="auto"/>
          </w:divBdr>
        </w:div>
        <w:div w:id="1672903405">
          <w:marLeft w:val="0"/>
          <w:marRight w:val="0"/>
          <w:marTop w:val="0"/>
          <w:marBottom w:val="0"/>
          <w:divBdr>
            <w:top w:val="none" w:sz="0" w:space="0" w:color="auto"/>
            <w:left w:val="none" w:sz="0" w:space="0" w:color="auto"/>
            <w:bottom w:val="none" w:sz="0" w:space="0" w:color="auto"/>
            <w:right w:val="none" w:sz="0" w:space="0" w:color="auto"/>
          </w:divBdr>
        </w:div>
        <w:div w:id="2036493851">
          <w:marLeft w:val="0"/>
          <w:marRight w:val="0"/>
          <w:marTop w:val="0"/>
          <w:marBottom w:val="0"/>
          <w:divBdr>
            <w:top w:val="none" w:sz="0" w:space="0" w:color="auto"/>
            <w:left w:val="none" w:sz="0" w:space="0" w:color="auto"/>
            <w:bottom w:val="none" w:sz="0" w:space="0" w:color="auto"/>
            <w:right w:val="none" w:sz="0" w:space="0" w:color="auto"/>
          </w:divBdr>
        </w:div>
        <w:div w:id="564679406">
          <w:marLeft w:val="0"/>
          <w:marRight w:val="0"/>
          <w:marTop w:val="0"/>
          <w:marBottom w:val="0"/>
          <w:divBdr>
            <w:top w:val="none" w:sz="0" w:space="0" w:color="auto"/>
            <w:left w:val="none" w:sz="0" w:space="0" w:color="auto"/>
            <w:bottom w:val="none" w:sz="0" w:space="0" w:color="auto"/>
            <w:right w:val="none" w:sz="0" w:space="0" w:color="auto"/>
          </w:divBdr>
        </w:div>
        <w:div w:id="561330577">
          <w:marLeft w:val="0"/>
          <w:marRight w:val="0"/>
          <w:marTop w:val="0"/>
          <w:marBottom w:val="0"/>
          <w:divBdr>
            <w:top w:val="none" w:sz="0" w:space="0" w:color="auto"/>
            <w:left w:val="none" w:sz="0" w:space="0" w:color="auto"/>
            <w:bottom w:val="none" w:sz="0" w:space="0" w:color="auto"/>
            <w:right w:val="none" w:sz="0" w:space="0" w:color="auto"/>
          </w:divBdr>
        </w:div>
        <w:div w:id="430975131">
          <w:marLeft w:val="0"/>
          <w:marRight w:val="0"/>
          <w:marTop w:val="0"/>
          <w:marBottom w:val="0"/>
          <w:divBdr>
            <w:top w:val="none" w:sz="0" w:space="0" w:color="auto"/>
            <w:left w:val="none" w:sz="0" w:space="0" w:color="auto"/>
            <w:bottom w:val="none" w:sz="0" w:space="0" w:color="auto"/>
            <w:right w:val="none" w:sz="0" w:space="0" w:color="auto"/>
          </w:divBdr>
        </w:div>
        <w:div w:id="1449347590">
          <w:marLeft w:val="0"/>
          <w:marRight w:val="0"/>
          <w:marTop w:val="0"/>
          <w:marBottom w:val="0"/>
          <w:divBdr>
            <w:top w:val="none" w:sz="0" w:space="0" w:color="auto"/>
            <w:left w:val="none" w:sz="0" w:space="0" w:color="auto"/>
            <w:bottom w:val="none" w:sz="0" w:space="0" w:color="auto"/>
            <w:right w:val="none" w:sz="0" w:space="0" w:color="auto"/>
          </w:divBdr>
        </w:div>
        <w:div w:id="1616131702">
          <w:marLeft w:val="0"/>
          <w:marRight w:val="0"/>
          <w:marTop w:val="0"/>
          <w:marBottom w:val="0"/>
          <w:divBdr>
            <w:top w:val="none" w:sz="0" w:space="0" w:color="auto"/>
            <w:left w:val="none" w:sz="0" w:space="0" w:color="auto"/>
            <w:bottom w:val="none" w:sz="0" w:space="0" w:color="auto"/>
            <w:right w:val="none" w:sz="0" w:space="0" w:color="auto"/>
          </w:divBdr>
        </w:div>
        <w:div w:id="1577669907">
          <w:marLeft w:val="0"/>
          <w:marRight w:val="0"/>
          <w:marTop w:val="0"/>
          <w:marBottom w:val="0"/>
          <w:divBdr>
            <w:top w:val="none" w:sz="0" w:space="0" w:color="auto"/>
            <w:left w:val="none" w:sz="0" w:space="0" w:color="auto"/>
            <w:bottom w:val="none" w:sz="0" w:space="0" w:color="auto"/>
            <w:right w:val="none" w:sz="0" w:space="0" w:color="auto"/>
          </w:divBdr>
        </w:div>
        <w:div w:id="1336809251">
          <w:marLeft w:val="0"/>
          <w:marRight w:val="0"/>
          <w:marTop w:val="0"/>
          <w:marBottom w:val="0"/>
          <w:divBdr>
            <w:top w:val="none" w:sz="0" w:space="0" w:color="auto"/>
            <w:left w:val="none" w:sz="0" w:space="0" w:color="auto"/>
            <w:bottom w:val="none" w:sz="0" w:space="0" w:color="auto"/>
            <w:right w:val="none" w:sz="0" w:space="0" w:color="auto"/>
          </w:divBdr>
        </w:div>
      </w:divsChild>
    </w:div>
    <w:div w:id="210949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ndy.roberts@ag.n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phanie.Kreiser@ag.nj.gov" TargetMode="External"/><Relationship Id="rId5" Type="http://schemas.openxmlformats.org/officeDocument/2006/relationships/hyperlink" Target="http://www.drought.gov/data-maps-tools/condition-monitoring-observer-reports-drought-cmor-drough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 Jeffrey [AG]</dc:creator>
  <cp:keywords/>
  <dc:description/>
  <cp:lastModifiedBy>Walker, Linda [AG]</cp:lastModifiedBy>
  <cp:revision>2</cp:revision>
  <cp:lastPrinted>2025-11-17T16:19:00Z</cp:lastPrinted>
  <dcterms:created xsi:type="dcterms:W3CDTF">2025-11-17T16:32:00Z</dcterms:created>
  <dcterms:modified xsi:type="dcterms:W3CDTF">2025-11-17T16:32:00Z</dcterms:modified>
</cp:coreProperties>
</file>