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6F55" w14:textId="77777777" w:rsidR="00246DC7" w:rsidRDefault="00246DC7" w:rsidP="00246DC7">
      <w:pPr>
        <w:pStyle w:val="Heading3"/>
        <w:spacing w:before="80"/>
        <w:ind w:left="721" w:right="722"/>
        <w:jc w:val="center"/>
      </w:pPr>
      <w:r>
        <w:t>Exhibit</w:t>
      </w:r>
      <w:r>
        <w:rPr>
          <w:spacing w:val="-12"/>
        </w:rPr>
        <w:t xml:space="preserve"> </w:t>
      </w:r>
      <w:r>
        <w:t>C-</w:t>
      </w:r>
      <w:r>
        <w:rPr>
          <w:spacing w:val="-10"/>
        </w:rPr>
        <w:t>2</w:t>
      </w:r>
    </w:p>
    <w:p w14:paraId="2B3ADA5C" w14:textId="77777777" w:rsidR="00246DC7" w:rsidRDefault="00246DC7" w:rsidP="00246DC7">
      <w:pPr>
        <w:spacing w:before="39"/>
        <w:ind w:left="721" w:right="721"/>
        <w:jc w:val="center"/>
        <w:rPr>
          <w:b/>
        </w:rPr>
      </w:pPr>
      <w:r>
        <w:rPr>
          <w:b/>
        </w:rPr>
        <w:t>LEO</w:t>
      </w:r>
      <w:r>
        <w:rPr>
          <w:b/>
          <w:spacing w:val="-10"/>
        </w:rPr>
        <w:t xml:space="preserve"> </w:t>
      </w:r>
      <w:r>
        <w:rPr>
          <w:b/>
        </w:rPr>
        <w:t>Grantee</w:t>
      </w:r>
      <w:r>
        <w:rPr>
          <w:b/>
          <w:spacing w:val="-9"/>
        </w:rPr>
        <w:t xml:space="preserve"> </w:t>
      </w:r>
      <w:r>
        <w:rPr>
          <w:b/>
        </w:rPr>
        <w:t>BEAD</w:t>
      </w:r>
      <w:r>
        <w:rPr>
          <w:b/>
          <w:spacing w:val="-8"/>
        </w:rPr>
        <w:t xml:space="preserve"> </w:t>
      </w:r>
      <w:r>
        <w:rPr>
          <w:b/>
        </w:rPr>
        <w:t>Program</w:t>
      </w:r>
      <w:r>
        <w:rPr>
          <w:b/>
          <w:spacing w:val="-8"/>
        </w:rPr>
        <w:t xml:space="preserve"> </w:t>
      </w:r>
      <w:r>
        <w:rPr>
          <w:b/>
        </w:rPr>
        <w:t>Specific</w:t>
      </w:r>
      <w:r>
        <w:rPr>
          <w:b/>
          <w:spacing w:val="-9"/>
        </w:rPr>
        <w:t xml:space="preserve"> </w:t>
      </w:r>
      <w:r>
        <w:rPr>
          <w:b/>
          <w:spacing w:val="-2"/>
        </w:rPr>
        <w:t>Conditions</w:t>
      </w:r>
    </w:p>
    <w:p w14:paraId="0BD7C408" w14:textId="77777777" w:rsidR="00246DC7" w:rsidRDefault="00246DC7" w:rsidP="00246DC7">
      <w:pPr>
        <w:pStyle w:val="BodyText"/>
        <w:spacing w:before="108"/>
        <w:rPr>
          <w:b/>
        </w:rPr>
      </w:pPr>
    </w:p>
    <w:p w14:paraId="6F881AC1" w14:textId="77777777" w:rsidR="00246DC7" w:rsidRDefault="00246DC7" w:rsidP="00246DC7">
      <w:pPr>
        <w:pStyle w:val="BodyText"/>
        <w:ind w:left="360"/>
      </w:pPr>
      <w:r>
        <w:t>The</w:t>
      </w:r>
      <w:r>
        <w:rPr>
          <w:spacing w:val="-7"/>
        </w:rPr>
        <w:t xml:space="preserve"> </w:t>
      </w:r>
      <w:r>
        <w:t>following</w:t>
      </w:r>
      <w:r>
        <w:rPr>
          <w:spacing w:val="-6"/>
        </w:rPr>
        <w:t xml:space="preserve"> </w:t>
      </w:r>
      <w:r>
        <w:t>specific</w:t>
      </w:r>
      <w:r>
        <w:rPr>
          <w:spacing w:val="-6"/>
        </w:rPr>
        <w:t xml:space="preserve"> </w:t>
      </w:r>
      <w:r>
        <w:t>conditions</w:t>
      </w:r>
      <w:r>
        <w:rPr>
          <w:spacing w:val="-7"/>
        </w:rPr>
        <w:t xml:space="preserve"> </w:t>
      </w:r>
      <w:r>
        <w:t>apply</w:t>
      </w:r>
      <w:r>
        <w:rPr>
          <w:spacing w:val="-6"/>
        </w:rPr>
        <w:t xml:space="preserve"> </w:t>
      </w:r>
      <w:r>
        <w:t>to</w:t>
      </w:r>
      <w:r>
        <w:rPr>
          <w:spacing w:val="-6"/>
        </w:rPr>
        <w:t xml:space="preserve"> </w:t>
      </w:r>
      <w:r>
        <w:t>a</w:t>
      </w:r>
      <w:r>
        <w:rPr>
          <w:spacing w:val="-6"/>
        </w:rPr>
        <w:t xml:space="preserve"> </w:t>
      </w:r>
      <w:r>
        <w:t>Low</w:t>
      </w:r>
      <w:r>
        <w:rPr>
          <w:spacing w:val="-8"/>
        </w:rPr>
        <w:t xml:space="preserve"> </w:t>
      </w:r>
      <w:r>
        <w:t>Earth</w:t>
      </w:r>
      <w:r>
        <w:rPr>
          <w:spacing w:val="-7"/>
        </w:rPr>
        <w:t xml:space="preserve"> </w:t>
      </w:r>
      <w:r>
        <w:t>Orbit</w:t>
      </w:r>
      <w:r>
        <w:rPr>
          <w:spacing w:val="-6"/>
        </w:rPr>
        <w:t xml:space="preserve"> </w:t>
      </w:r>
      <w:r>
        <w:t>(LEO)</w:t>
      </w:r>
      <w:r>
        <w:rPr>
          <w:spacing w:val="-6"/>
        </w:rPr>
        <w:t xml:space="preserve"> </w:t>
      </w:r>
      <w:r>
        <w:t>capacity</w:t>
      </w:r>
      <w:r>
        <w:rPr>
          <w:spacing w:val="-6"/>
        </w:rPr>
        <w:t xml:space="preserve"> </w:t>
      </w:r>
      <w:r>
        <w:rPr>
          <w:spacing w:val="-2"/>
        </w:rPr>
        <w:t>grant:</w:t>
      </w:r>
    </w:p>
    <w:p w14:paraId="537752A0" w14:textId="77777777" w:rsidR="00246DC7" w:rsidRDefault="00246DC7" w:rsidP="00246DC7">
      <w:pPr>
        <w:pStyle w:val="BodyText"/>
        <w:spacing w:before="79"/>
      </w:pPr>
    </w:p>
    <w:p w14:paraId="23A9AF59" w14:textId="77777777" w:rsidR="00246DC7" w:rsidRDefault="00246DC7" w:rsidP="00246DC7">
      <w:pPr>
        <w:pStyle w:val="Heading2"/>
        <w:numPr>
          <w:ilvl w:val="0"/>
          <w:numId w:val="1"/>
        </w:numPr>
        <w:tabs>
          <w:tab w:val="num" w:pos="360"/>
          <w:tab w:val="left" w:pos="1079"/>
        </w:tabs>
        <w:ind w:left="0" w:hanging="543"/>
      </w:pPr>
      <w:r>
        <w:rPr>
          <w:spacing w:val="-2"/>
        </w:rPr>
        <w:t>LEO</w:t>
      </w:r>
      <w:r>
        <w:rPr>
          <w:spacing w:val="-7"/>
        </w:rPr>
        <w:t xml:space="preserve"> </w:t>
      </w:r>
      <w:r>
        <w:rPr>
          <w:spacing w:val="-2"/>
        </w:rPr>
        <w:t>CAPACITY</w:t>
      </w:r>
      <w:r>
        <w:rPr>
          <w:spacing w:val="-9"/>
        </w:rPr>
        <w:t xml:space="preserve"> </w:t>
      </w:r>
      <w:r>
        <w:rPr>
          <w:spacing w:val="-2"/>
        </w:rPr>
        <w:t>SUBGRANTS</w:t>
      </w:r>
    </w:p>
    <w:p w14:paraId="3FB8C066" w14:textId="77777777" w:rsidR="00246DC7" w:rsidRDefault="00246DC7" w:rsidP="00246DC7">
      <w:pPr>
        <w:pStyle w:val="BodyText"/>
        <w:spacing w:before="40" w:line="278" w:lineRule="auto"/>
        <w:ind w:left="1079" w:right="372"/>
      </w:pPr>
      <w:r>
        <w:t>LEO capacity subgrants involve the reservation of sufficient capacity from a low-earth orbit satellite</w:t>
      </w:r>
      <w:r>
        <w:rPr>
          <w:spacing w:val="-5"/>
        </w:rPr>
        <w:t xml:space="preserve"> </w:t>
      </w:r>
      <w:r>
        <w:t>provider</w:t>
      </w:r>
      <w:r>
        <w:rPr>
          <w:spacing w:val="-4"/>
        </w:rPr>
        <w:t xml:space="preserve"> </w:t>
      </w:r>
      <w:r>
        <w:t>to</w:t>
      </w:r>
      <w:r>
        <w:rPr>
          <w:spacing w:val="-4"/>
        </w:rPr>
        <w:t xml:space="preserve"> </w:t>
      </w:r>
      <w:r>
        <w:t>deliver</w:t>
      </w:r>
      <w:r>
        <w:rPr>
          <w:spacing w:val="-4"/>
        </w:rPr>
        <w:t xml:space="preserve"> </w:t>
      </w:r>
      <w:r>
        <w:t>broadband</w:t>
      </w:r>
      <w:r>
        <w:rPr>
          <w:spacing w:val="-4"/>
        </w:rPr>
        <w:t xml:space="preserve"> </w:t>
      </w:r>
      <w:r>
        <w:t>service</w:t>
      </w:r>
      <w:r>
        <w:rPr>
          <w:spacing w:val="-5"/>
        </w:rPr>
        <w:t xml:space="preserve"> </w:t>
      </w:r>
      <w:r>
        <w:t>that</w:t>
      </w:r>
      <w:r>
        <w:rPr>
          <w:spacing w:val="-4"/>
        </w:rPr>
        <w:t xml:space="preserve"> </w:t>
      </w:r>
      <w:r>
        <w:t>meets</w:t>
      </w:r>
      <w:r>
        <w:rPr>
          <w:spacing w:val="-4"/>
        </w:rPr>
        <w:t xml:space="preserve"> </w:t>
      </w:r>
      <w:r>
        <w:t>the</w:t>
      </w:r>
      <w:r>
        <w:rPr>
          <w:spacing w:val="-4"/>
        </w:rPr>
        <w:t xml:space="preserve"> </w:t>
      </w:r>
      <w:r>
        <w:t>BEAD</w:t>
      </w:r>
      <w:r>
        <w:rPr>
          <w:spacing w:val="-5"/>
        </w:rPr>
        <w:t xml:space="preserve"> </w:t>
      </w:r>
      <w:r>
        <w:t>performance</w:t>
      </w:r>
      <w:r>
        <w:rPr>
          <w:spacing w:val="-4"/>
        </w:rPr>
        <w:t xml:space="preserve"> </w:t>
      </w:r>
      <w:r>
        <w:t>and</w:t>
      </w:r>
      <w:r>
        <w:rPr>
          <w:spacing w:val="-4"/>
        </w:rPr>
        <w:t xml:space="preserve"> </w:t>
      </w:r>
      <w:r>
        <w:t>technical requirements to each Broadband Serviceable Location (BSL) in the Project</w:t>
      </w:r>
      <w:r>
        <w:rPr>
          <w:spacing w:val="-8"/>
        </w:rPr>
        <w:t xml:space="preserve"> </w:t>
      </w:r>
      <w:r>
        <w:t>Area. See, NTIA’s June 2025 Policy Notice, Appendix B.</w:t>
      </w:r>
    </w:p>
    <w:p w14:paraId="2DB9E571" w14:textId="77777777" w:rsidR="00246DC7" w:rsidRDefault="00246DC7" w:rsidP="00246DC7">
      <w:pPr>
        <w:pStyle w:val="BodyText"/>
        <w:spacing w:before="38"/>
      </w:pPr>
    </w:p>
    <w:p w14:paraId="4FA3F877" w14:textId="77777777" w:rsidR="00246DC7" w:rsidRDefault="00246DC7" w:rsidP="00246DC7">
      <w:pPr>
        <w:pStyle w:val="Heading2"/>
        <w:numPr>
          <w:ilvl w:val="0"/>
          <w:numId w:val="1"/>
        </w:numPr>
        <w:tabs>
          <w:tab w:val="num" w:pos="360"/>
          <w:tab w:val="left" w:pos="1079"/>
        </w:tabs>
        <w:ind w:left="0" w:hanging="543"/>
      </w:pPr>
      <w:r>
        <w:rPr>
          <w:spacing w:val="-2"/>
        </w:rPr>
        <w:t>CERTIFICATION</w:t>
      </w:r>
    </w:p>
    <w:p w14:paraId="607FD3F5" w14:textId="77777777" w:rsidR="00246DC7" w:rsidRDefault="00246DC7" w:rsidP="00246DC7">
      <w:pPr>
        <w:pStyle w:val="ListParagraph"/>
        <w:numPr>
          <w:ilvl w:val="1"/>
          <w:numId w:val="1"/>
        </w:numPr>
        <w:tabs>
          <w:tab w:val="left" w:pos="1799"/>
        </w:tabs>
        <w:spacing w:before="41" w:line="278" w:lineRule="auto"/>
        <w:ind w:right="844"/>
        <w:contextualSpacing w:val="0"/>
      </w:pPr>
      <w:r>
        <w:t>Grantee must begin providing broadband service to each customer that desires broadband</w:t>
      </w:r>
      <w:r>
        <w:rPr>
          <w:spacing w:val="-3"/>
        </w:rPr>
        <w:t xml:space="preserve"> </w:t>
      </w:r>
      <w:r>
        <w:t>service</w:t>
      </w:r>
      <w:r>
        <w:rPr>
          <w:spacing w:val="-3"/>
        </w:rPr>
        <w:t xml:space="preserve"> </w:t>
      </w:r>
      <w:r>
        <w:t>not</w:t>
      </w:r>
      <w:r>
        <w:rPr>
          <w:spacing w:val="-4"/>
        </w:rPr>
        <w:t xml:space="preserve"> </w:t>
      </w:r>
      <w:r>
        <w:t>later</w:t>
      </w:r>
      <w:r>
        <w:rPr>
          <w:spacing w:val="-3"/>
        </w:rPr>
        <w:t xml:space="preserve"> </w:t>
      </w:r>
      <w:r>
        <w:t>than</w:t>
      </w:r>
      <w:r>
        <w:rPr>
          <w:spacing w:val="-3"/>
        </w:rPr>
        <w:t xml:space="preserve"> </w:t>
      </w:r>
      <w:r>
        <w:t>four</w:t>
      </w:r>
      <w:r>
        <w:rPr>
          <w:spacing w:val="-3"/>
        </w:rPr>
        <w:t xml:space="preserve"> (4) </w:t>
      </w:r>
      <w:r>
        <w:t>years</w:t>
      </w:r>
      <w:r>
        <w:rPr>
          <w:spacing w:val="-3"/>
        </w:rPr>
        <w:t xml:space="preserve"> </w:t>
      </w:r>
      <w:r>
        <w:t>from</w:t>
      </w:r>
      <w:r>
        <w:rPr>
          <w:spacing w:val="-4"/>
        </w:rPr>
        <w:t xml:space="preserve"> </w:t>
      </w:r>
      <w:r>
        <w:t>the</w:t>
      </w:r>
      <w:r>
        <w:rPr>
          <w:spacing w:val="-3"/>
        </w:rPr>
        <w:t xml:space="preserve"> </w:t>
      </w:r>
      <w:r>
        <w:t>date</w:t>
      </w:r>
      <w:r>
        <w:rPr>
          <w:spacing w:val="-3"/>
        </w:rPr>
        <w:t xml:space="preserve"> </w:t>
      </w:r>
      <w:r>
        <w:t>of</w:t>
      </w:r>
      <w:r>
        <w:rPr>
          <w:spacing w:val="-3"/>
        </w:rPr>
        <w:t xml:space="preserve"> </w:t>
      </w:r>
      <w:r>
        <w:t>the</w:t>
      </w:r>
      <w:r>
        <w:rPr>
          <w:spacing w:val="-3"/>
        </w:rPr>
        <w:t xml:space="preserve"> </w:t>
      </w:r>
      <w:r>
        <w:t>subgrant.</w:t>
      </w:r>
      <w:r>
        <w:rPr>
          <w:spacing w:val="-4"/>
        </w:rPr>
        <w:t xml:space="preserve"> </w:t>
      </w:r>
      <w:r>
        <w:t>47</w:t>
      </w:r>
      <w:r>
        <w:rPr>
          <w:spacing w:val="-3"/>
        </w:rPr>
        <w:t xml:space="preserve"> </w:t>
      </w:r>
      <w:r>
        <w:t>U.S.C.</w:t>
      </w:r>
    </w:p>
    <w:p w14:paraId="22F338F8" w14:textId="77777777" w:rsidR="00246DC7" w:rsidRDefault="00246DC7" w:rsidP="00246DC7">
      <w:pPr>
        <w:pStyle w:val="BodyText"/>
        <w:spacing w:line="252" w:lineRule="exact"/>
        <w:ind w:left="1799"/>
      </w:pPr>
      <w:r>
        <w:t>§1702(h)(4)(C);</w:t>
      </w:r>
      <w:r>
        <w:rPr>
          <w:spacing w:val="-11"/>
        </w:rPr>
        <w:t xml:space="preserve"> </w:t>
      </w:r>
      <w:r>
        <w:t>see</w:t>
      </w:r>
      <w:r>
        <w:rPr>
          <w:spacing w:val="-10"/>
        </w:rPr>
        <w:t xml:space="preserve"> </w:t>
      </w:r>
      <w:r>
        <w:t>also,</w:t>
      </w:r>
      <w:r>
        <w:rPr>
          <w:spacing w:val="-10"/>
        </w:rPr>
        <w:t xml:space="preserve"> </w:t>
      </w:r>
      <w:r>
        <w:t>NOFO,</w:t>
      </w:r>
      <w:r>
        <w:rPr>
          <w:spacing w:val="-9"/>
        </w:rPr>
        <w:t xml:space="preserve"> </w:t>
      </w:r>
      <w:r>
        <w:t>Section</w:t>
      </w:r>
      <w:r>
        <w:rPr>
          <w:spacing w:val="-10"/>
        </w:rPr>
        <w:t xml:space="preserve"> </w:t>
      </w:r>
      <w:r>
        <w:t>IV.C.2.b.i,</w:t>
      </w:r>
      <w:r>
        <w:rPr>
          <w:spacing w:val="-10"/>
        </w:rPr>
        <w:t xml:space="preserve"> </w:t>
      </w:r>
      <w:r>
        <w:t>pg.</w:t>
      </w:r>
      <w:r>
        <w:rPr>
          <w:spacing w:val="-10"/>
        </w:rPr>
        <w:t xml:space="preserve"> </w:t>
      </w:r>
      <w:r>
        <w:t>65.</w:t>
      </w:r>
      <w:r>
        <w:rPr>
          <w:spacing w:val="-10"/>
        </w:rPr>
        <w:t xml:space="preserve"> </w:t>
      </w:r>
      <w:r>
        <w:rPr>
          <w:spacing w:val="-5"/>
        </w:rPr>
        <w:t>51.</w:t>
      </w:r>
    </w:p>
    <w:p w14:paraId="67DD4933" w14:textId="77777777" w:rsidR="00246DC7" w:rsidRDefault="00246DC7" w:rsidP="00246DC7">
      <w:pPr>
        <w:pStyle w:val="ListParagraph"/>
        <w:numPr>
          <w:ilvl w:val="1"/>
          <w:numId w:val="1"/>
        </w:numPr>
        <w:tabs>
          <w:tab w:val="left" w:pos="1799"/>
        </w:tabs>
        <w:spacing w:before="40" w:line="278" w:lineRule="auto"/>
        <w:ind w:right="456"/>
        <w:contextualSpacing w:val="0"/>
      </w:pPr>
      <w:r>
        <w:t>Grantee shall be deemed to have begun to provide service when Grantee certifies to BPU that it can initiate broadband service within ten (10) business days of a request to any</w:t>
      </w:r>
      <w:r>
        <w:rPr>
          <w:spacing w:val="-3"/>
        </w:rPr>
        <w:t xml:space="preserve"> </w:t>
      </w:r>
      <w:r>
        <w:t>covered</w:t>
      </w:r>
      <w:r>
        <w:rPr>
          <w:spacing w:val="-4"/>
        </w:rPr>
        <w:t xml:space="preserve"> </w:t>
      </w:r>
      <w:r>
        <w:t>BSL</w:t>
      </w:r>
      <w:r>
        <w:rPr>
          <w:spacing w:val="-11"/>
        </w:rPr>
        <w:t xml:space="preserve"> </w:t>
      </w:r>
      <w:r>
        <w:t>in</w:t>
      </w:r>
      <w:r>
        <w:rPr>
          <w:spacing w:val="-3"/>
        </w:rPr>
        <w:t xml:space="preserve"> </w:t>
      </w:r>
      <w:r>
        <w:t>the</w:t>
      </w:r>
      <w:r>
        <w:rPr>
          <w:spacing w:val="-3"/>
        </w:rPr>
        <w:t xml:space="preserve"> </w:t>
      </w:r>
      <w:r>
        <w:t>Project</w:t>
      </w:r>
      <w:r>
        <w:rPr>
          <w:spacing w:val="-15"/>
        </w:rPr>
        <w:t xml:space="preserve"> </w:t>
      </w:r>
      <w:r>
        <w:t>Area,</w:t>
      </w:r>
      <w:r>
        <w:rPr>
          <w:spacing w:val="-3"/>
        </w:rPr>
        <w:t xml:space="preserve"> </w:t>
      </w:r>
      <w:r>
        <w:t>with</w:t>
      </w:r>
      <w:r>
        <w:rPr>
          <w:spacing w:val="-3"/>
        </w:rPr>
        <w:t xml:space="preserve"> </w:t>
      </w:r>
      <w:r>
        <w:t>no</w:t>
      </w:r>
      <w:r>
        <w:rPr>
          <w:spacing w:val="-3"/>
        </w:rPr>
        <w:t xml:space="preserve"> </w:t>
      </w:r>
      <w:r>
        <w:t>charges</w:t>
      </w:r>
      <w:r>
        <w:rPr>
          <w:spacing w:val="-3"/>
        </w:rPr>
        <w:t xml:space="preserve"> </w:t>
      </w:r>
      <w:r>
        <w:t>or</w:t>
      </w:r>
      <w:r>
        <w:rPr>
          <w:spacing w:val="-3"/>
        </w:rPr>
        <w:t xml:space="preserve"> </w:t>
      </w:r>
      <w:r>
        <w:t>delays</w:t>
      </w:r>
      <w:r>
        <w:rPr>
          <w:spacing w:val="-3"/>
        </w:rPr>
        <w:t xml:space="preserve"> </w:t>
      </w:r>
      <w:r>
        <w:t>attributable</w:t>
      </w:r>
      <w:r>
        <w:rPr>
          <w:spacing w:val="-3"/>
        </w:rPr>
        <w:t xml:space="preserve"> </w:t>
      </w:r>
      <w:r>
        <w:t>to</w:t>
      </w:r>
      <w:r>
        <w:rPr>
          <w:spacing w:val="-3"/>
        </w:rPr>
        <w:t xml:space="preserve"> </w:t>
      </w:r>
      <w:r>
        <w:t>extension of the service.</w:t>
      </w:r>
    </w:p>
    <w:p w14:paraId="2F4E11D4" w14:textId="77777777" w:rsidR="00246DC7" w:rsidRDefault="00246DC7" w:rsidP="00246DC7">
      <w:pPr>
        <w:pStyle w:val="BodyText"/>
        <w:spacing w:before="38"/>
      </w:pPr>
    </w:p>
    <w:p w14:paraId="610EC5DC" w14:textId="77777777" w:rsidR="00246DC7" w:rsidRDefault="00246DC7" w:rsidP="00246DC7">
      <w:pPr>
        <w:pStyle w:val="Heading2"/>
        <w:numPr>
          <w:ilvl w:val="0"/>
          <w:numId w:val="1"/>
        </w:numPr>
        <w:tabs>
          <w:tab w:val="num" w:pos="360"/>
          <w:tab w:val="left" w:pos="1079"/>
        </w:tabs>
        <w:ind w:left="0" w:hanging="543"/>
      </w:pPr>
      <w:r>
        <w:t>EXTENDED</w:t>
      </w:r>
      <w:r>
        <w:rPr>
          <w:spacing w:val="-9"/>
        </w:rPr>
        <w:t xml:space="preserve"> </w:t>
      </w:r>
      <w:r>
        <w:t>PERIOD</w:t>
      </w:r>
      <w:r>
        <w:rPr>
          <w:spacing w:val="-10"/>
        </w:rPr>
        <w:t xml:space="preserve"> </w:t>
      </w:r>
      <w:r>
        <w:t>OF</w:t>
      </w:r>
      <w:r>
        <w:rPr>
          <w:spacing w:val="-10"/>
        </w:rPr>
        <w:t xml:space="preserve"> </w:t>
      </w:r>
      <w:r>
        <w:rPr>
          <w:spacing w:val="-2"/>
        </w:rPr>
        <w:t>PERFORMANCE</w:t>
      </w:r>
    </w:p>
    <w:p w14:paraId="0EC96C94" w14:textId="77777777" w:rsidR="00246DC7" w:rsidRDefault="00246DC7" w:rsidP="00246DC7">
      <w:pPr>
        <w:pStyle w:val="ListParagraph"/>
        <w:numPr>
          <w:ilvl w:val="1"/>
          <w:numId w:val="1"/>
        </w:numPr>
        <w:tabs>
          <w:tab w:val="left" w:pos="1799"/>
        </w:tabs>
        <w:spacing w:before="40" w:line="278" w:lineRule="auto"/>
        <w:ind w:right="439"/>
        <w:contextualSpacing w:val="0"/>
      </w:pPr>
      <w:r>
        <w:t>Grantee</w:t>
      </w:r>
      <w:r>
        <w:rPr>
          <w:spacing w:val="-3"/>
        </w:rPr>
        <w:t xml:space="preserve"> </w:t>
      </w:r>
      <w:r>
        <w:t>shall</w:t>
      </w:r>
      <w:r>
        <w:rPr>
          <w:spacing w:val="-3"/>
        </w:rPr>
        <w:t xml:space="preserve"> </w:t>
      </w:r>
      <w:r>
        <w:t>be</w:t>
      </w:r>
      <w:r>
        <w:rPr>
          <w:spacing w:val="-3"/>
        </w:rPr>
        <w:t xml:space="preserve"> </w:t>
      </w:r>
      <w:r>
        <w:t>subject</w:t>
      </w:r>
      <w:r>
        <w:rPr>
          <w:spacing w:val="-4"/>
        </w:rPr>
        <w:t xml:space="preserve"> </w:t>
      </w:r>
      <w:r>
        <w:t>to</w:t>
      </w:r>
      <w:r>
        <w:rPr>
          <w:spacing w:val="-3"/>
        </w:rPr>
        <w:t xml:space="preserve"> </w:t>
      </w:r>
      <w:r>
        <w:t>an</w:t>
      </w:r>
      <w:r>
        <w:rPr>
          <w:spacing w:val="-3"/>
        </w:rPr>
        <w:t xml:space="preserve"> </w:t>
      </w:r>
      <w:r>
        <w:t>Extended</w:t>
      </w:r>
      <w:r>
        <w:rPr>
          <w:spacing w:val="-3"/>
        </w:rPr>
        <w:t xml:space="preserve"> </w:t>
      </w:r>
      <w:r>
        <w:t>Period</w:t>
      </w:r>
      <w:r>
        <w:rPr>
          <w:spacing w:val="-3"/>
        </w:rPr>
        <w:t xml:space="preserve"> </w:t>
      </w:r>
      <w:r>
        <w:t>of</w:t>
      </w:r>
      <w:r>
        <w:rPr>
          <w:spacing w:val="-3"/>
        </w:rPr>
        <w:t xml:space="preserve"> </w:t>
      </w:r>
      <w:r>
        <w:t>Performance</w:t>
      </w:r>
      <w:r>
        <w:rPr>
          <w:spacing w:val="-3"/>
        </w:rPr>
        <w:t xml:space="preserve"> </w:t>
      </w:r>
      <w:r>
        <w:t>that</w:t>
      </w:r>
      <w:r>
        <w:rPr>
          <w:spacing w:val="-3"/>
        </w:rPr>
        <w:t xml:space="preserve"> </w:t>
      </w:r>
      <w:r>
        <w:t>concludes</w:t>
      </w:r>
      <w:r>
        <w:rPr>
          <w:spacing w:val="-3"/>
        </w:rPr>
        <w:t xml:space="preserve"> ten (</w:t>
      </w:r>
      <w:r>
        <w:t>10)</w:t>
      </w:r>
      <w:r>
        <w:rPr>
          <w:spacing w:val="-4"/>
        </w:rPr>
        <w:t xml:space="preserve"> </w:t>
      </w:r>
      <w:r>
        <w:t>years from the date upon which the Grantee certifies to BPU that broadband is available to every location covered by the Project. See, NTIA</w:t>
      </w:r>
      <w:r>
        <w:rPr>
          <w:spacing w:val="-9"/>
        </w:rPr>
        <w:t xml:space="preserve"> </w:t>
      </w:r>
      <w:r>
        <w:t>June 2025 Policy Notice,</w:t>
      </w:r>
      <w:r>
        <w:rPr>
          <w:spacing w:val="-9"/>
        </w:rPr>
        <w:t xml:space="preserve"> </w:t>
      </w:r>
      <w:r>
        <w:t>Appendix C.</w:t>
      </w:r>
    </w:p>
    <w:p w14:paraId="60573391" w14:textId="77777777" w:rsidR="00246DC7" w:rsidRDefault="00246DC7" w:rsidP="00246DC7">
      <w:pPr>
        <w:pStyle w:val="ListParagraph"/>
        <w:numPr>
          <w:ilvl w:val="1"/>
          <w:numId w:val="1"/>
        </w:numPr>
        <w:tabs>
          <w:tab w:val="left" w:pos="1799"/>
        </w:tabs>
        <w:spacing w:line="278" w:lineRule="auto"/>
        <w:ind w:right="492"/>
        <w:contextualSpacing w:val="0"/>
      </w:pPr>
      <w:r>
        <w:t>Grantee must continue to offer access to broadband service</w:t>
      </w:r>
      <w:r>
        <w:rPr>
          <w:spacing w:val="-1"/>
        </w:rPr>
        <w:t xml:space="preserve"> </w:t>
      </w:r>
      <w:r>
        <w:t>to each BSL</w:t>
      </w:r>
      <w:r>
        <w:rPr>
          <w:spacing w:val="-8"/>
        </w:rPr>
        <w:t xml:space="preserve"> </w:t>
      </w:r>
      <w:r>
        <w:t>served by the Project</w:t>
      </w:r>
      <w:r>
        <w:rPr>
          <w:spacing w:val="-4"/>
        </w:rPr>
        <w:t xml:space="preserve"> </w:t>
      </w:r>
      <w:r>
        <w:t>throughout</w:t>
      </w:r>
      <w:r>
        <w:rPr>
          <w:spacing w:val="-4"/>
        </w:rPr>
        <w:t xml:space="preserve"> </w:t>
      </w:r>
      <w:r>
        <w:t>the</w:t>
      </w:r>
      <w:r>
        <w:rPr>
          <w:spacing w:val="-4"/>
        </w:rPr>
        <w:t xml:space="preserve"> ten (</w:t>
      </w:r>
      <w:r>
        <w:t>10)-year</w:t>
      </w:r>
      <w:r>
        <w:rPr>
          <w:spacing w:val="-4"/>
        </w:rPr>
        <w:t xml:space="preserve"> </w:t>
      </w:r>
      <w:r>
        <w:t>Extended</w:t>
      </w:r>
      <w:r>
        <w:rPr>
          <w:spacing w:val="-4"/>
        </w:rPr>
        <w:t xml:space="preserve"> </w:t>
      </w:r>
      <w:r>
        <w:t>Period</w:t>
      </w:r>
      <w:r>
        <w:rPr>
          <w:spacing w:val="-4"/>
        </w:rPr>
        <w:t xml:space="preserve"> </w:t>
      </w:r>
      <w:r>
        <w:t>of</w:t>
      </w:r>
      <w:r>
        <w:rPr>
          <w:spacing w:val="-4"/>
        </w:rPr>
        <w:t xml:space="preserve"> </w:t>
      </w:r>
      <w:r>
        <w:t>Performance.</w:t>
      </w:r>
      <w:r>
        <w:rPr>
          <w:spacing w:val="-4"/>
        </w:rPr>
        <w:t xml:space="preserve"> </w:t>
      </w:r>
      <w:r>
        <w:t>In</w:t>
      </w:r>
      <w:r>
        <w:rPr>
          <w:spacing w:val="-4"/>
        </w:rPr>
        <w:t xml:space="preserve"> </w:t>
      </w:r>
      <w:r>
        <w:t>the</w:t>
      </w:r>
      <w:r>
        <w:rPr>
          <w:spacing w:val="-4"/>
        </w:rPr>
        <w:t xml:space="preserve"> </w:t>
      </w:r>
      <w:r>
        <w:t>event</w:t>
      </w:r>
      <w:r>
        <w:rPr>
          <w:spacing w:val="-4"/>
        </w:rPr>
        <w:t xml:space="preserve"> </w:t>
      </w:r>
      <w:r>
        <w:t>Grantee’s customer receiving service at a BSL</w:t>
      </w:r>
      <w:r>
        <w:rPr>
          <w:spacing w:val="-5"/>
        </w:rPr>
        <w:t xml:space="preserve"> </w:t>
      </w:r>
      <w:r>
        <w:t>moves, Grantee must continue to offer broadband service to the BSL</w:t>
      </w:r>
      <w:r>
        <w:rPr>
          <w:spacing w:val="-2"/>
        </w:rPr>
        <w:t xml:space="preserve"> </w:t>
      </w:r>
      <w:r>
        <w:t>under the terms of this</w:t>
      </w:r>
      <w:r>
        <w:rPr>
          <w:spacing w:val="-7"/>
        </w:rPr>
        <w:t xml:space="preserve"> </w:t>
      </w:r>
      <w:r>
        <w:t>Agreement if subsequent occupants request broadband service.</w:t>
      </w:r>
    </w:p>
    <w:p w14:paraId="0C623EA9" w14:textId="77777777" w:rsidR="00246DC7" w:rsidRDefault="00246DC7" w:rsidP="00246DC7">
      <w:pPr>
        <w:pStyle w:val="BodyText"/>
        <w:spacing w:line="278" w:lineRule="auto"/>
        <w:ind w:left="1799" w:right="385"/>
      </w:pPr>
      <w:r>
        <w:t>Consumer</w:t>
      </w:r>
      <w:r>
        <w:rPr>
          <w:spacing w:val="-5"/>
        </w:rPr>
        <w:t xml:space="preserve"> </w:t>
      </w:r>
      <w:r>
        <w:t>and</w:t>
      </w:r>
      <w:r>
        <w:rPr>
          <w:spacing w:val="-5"/>
        </w:rPr>
        <w:t xml:space="preserve"> </w:t>
      </w:r>
      <w:r>
        <w:t>taxpayer</w:t>
      </w:r>
      <w:r>
        <w:rPr>
          <w:spacing w:val="-6"/>
        </w:rPr>
        <w:t xml:space="preserve"> </w:t>
      </w:r>
      <w:r>
        <w:t>protections</w:t>
      </w:r>
      <w:r>
        <w:rPr>
          <w:spacing w:val="-5"/>
        </w:rPr>
        <w:t xml:space="preserve"> </w:t>
      </w:r>
      <w:r>
        <w:t>as</w:t>
      </w:r>
      <w:r>
        <w:rPr>
          <w:spacing w:val="-5"/>
        </w:rPr>
        <w:t xml:space="preserve"> </w:t>
      </w:r>
      <w:r>
        <w:t>set</w:t>
      </w:r>
      <w:r>
        <w:rPr>
          <w:spacing w:val="-5"/>
        </w:rPr>
        <w:t xml:space="preserve"> </w:t>
      </w:r>
      <w:r>
        <w:t>forth</w:t>
      </w:r>
      <w:r>
        <w:rPr>
          <w:spacing w:val="-5"/>
        </w:rPr>
        <w:t xml:space="preserve"> </w:t>
      </w:r>
      <w:r>
        <w:t>in</w:t>
      </w:r>
      <w:r>
        <w:rPr>
          <w:spacing w:val="-5"/>
        </w:rPr>
        <w:t xml:space="preserve"> </w:t>
      </w:r>
      <w:r>
        <w:t>NTIA’s</w:t>
      </w:r>
      <w:r>
        <w:rPr>
          <w:spacing w:val="-5"/>
        </w:rPr>
        <w:t xml:space="preserve"> </w:t>
      </w:r>
      <w:r>
        <w:t>BEAD</w:t>
      </w:r>
      <w:r>
        <w:rPr>
          <w:spacing w:val="-5"/>
        </w:rPr>
        <w:t xml:space="preserve"> </w:t>
      </w:r>
      <w:r>
        <w:t>NOFO</w:t>
      </w:r>
      <w:r>
        <w:rPr>
          <w:spacing w:val="-5"/>
        </w:rPr>
        <w:t xml:space="preserve"> </w:t>
      </w:r>
      <w:r>
        <w:t>apply</w:t>
      </w:r>
      <w:r>
        <w:rPr>
          <w:spacing w:val="-5"/>
        </w:rPr>
        <w:t xml:space="preserve"> </w:t>
      </w:r>
      <w:r>
        <w:t>to</w:t>
      </w:r>
      <w:r>
        <w:rPr>
          <w:spacing w:val="-5"/>
        </w:rPr>
        <w:t xml:space="preserve"> </w:t>
      </w:r>
      <w:r>
        <w:t xml:space="preserve">Grantee for the duration of the ten (10)-year Extended Period of Performance. See, BEAD NOFO at </w:t>
      </w:r>
      <w:r>
        <w:rPr>
          <w:spacing w:val="-2"/>
        </w:rPr>
        <w:t>64-71.</w:t>
      </w:r>
    </w:p>
    <w:p w14:paraId="300A8BF9" w14:textId="77777777" w:rsidR="00246DC7" w:rsidRDefault="00246DC7" w:rsidP="00246DC7">
      <w:pPr>
        <w:pStyle w:val="BodyText"/>
        <w:spacing w:before="35"/>
      </w:pPr>
    </w:p>
    <w:p w14:paraId="1FA89A3D" w14:textId="77777777" w:rsidR="00246DC7" w:rsidRDefault="00246DC7" w:rsidP="00246DC7">
      <w:pPr>
        <w:pStyle w:val="Heading2"/>
        <w:numPr>
          <w:ilvl w:val="0"/>
          <w:numId w:val="1"/>
        </w:numPr>
        <w:tabs>
          <w:tab w:val="num" w:pos="360"/>
          <w:tab w:val="left" w:pos="1079"/>
        </w:tabs>
        <w:spacing w:before="1"/>
        <w:ind w:left="0" w:hanging="543"/>
      </w:pPr>
      <w:r>
        <w:rPr>
          <w:spacing w:val="-2"/>
        </w:rPr>
        <w:t>MILESTONES</w:t>
      </w:r>
      <w:r>
        <w:rPr>
          <w:spacing w:val="-9"/>
        </w:rPr>
        <w:t xml:space="preserve"> </w:t>
      </w:r>
      <w:r>
        <w:rPr>
          <w:spacing w:val="-2"/>
        </w:rPr>
        <w:t>AND</w:t>
      </w:r>
      <w:r>
        <w:rPr>
          <w:spacing w:val="-1"/>
        </w:rPr>
        <w:t xml:space="preserve"> </w:t>
      </w:r>
      <w:r>
        <w:rPr>
          <w:spacing w:val="-2"/>
        </w:rPr>
        <w:t>REIMBURSEMENT</w:t>
      </w:r>
    </w:p>
    <w:p w14:paraId="2231D447" w14:textId="77777777" w:rsidR="00246DC7" w:rsidRDefault="00246DC7" w:rsidP="00246DC7">
      <w:pPr>
        <w:pStyle w:val="ListParagraph"/>
        <w:numPr>
          <w:ilvl w:val="1"/>
          <w:numId w:val="1"/>
        </w:numPr>
        <w:tabs>
          <w:tab w:val="left" w:pos="1798"/>
        </w:tabs>
        <w:spacing w:before="39"/>
        <w:ind w:left="1798" w:hanging="359"/>
        <w:contextualSpacing w:val="0"/>
      </w:pPr>
      <w:r>
        <w:t>BPU</w:t>
      </w:r>
      <w:r>
        <w:rPr>
          <w:spacing w:val="-10"/>
        </w:rPr>
        <w:t xml:space="preserve"> </w:t>
      </w:r>
      <w:r>
        <w:t>determines</w:t>
      </w:r>
      <w:r>
        <w:rPr>
          <w:spacing w:val="-9"/>
        </w:rPr>
        <w:t xml:space="preserve"> </w:t>
      </w:r>
      <w:r>
        <w:t>reimbursements</w:t>
      </w:r>
      <w:r>
        <w:rPr>
          <w:spacing w:val="-8"/>
        </w:rPr>
        <w:t xml:space="preserve"> </w:t>
      </w:r>
      <w:r>
        <w:t>for</w:t>
      </w:r>
      <w:r>
        <w:rPr>
          <w:spacing w:val="-9"/>
        </w:rPr>
        <w:t xml:space="preserve"> </w:t>
      </w:r>
      <w:r>
        <w:t>LEO</w:t>
      </w:r>
      <w:r>
        <w:rPr>
          <w:spacing w:val="-9"/>
        </w:rPr>
        <w:t xml:space="preserve"> </w:t>
      </w:r>
      <w:r>
        <w:t>capacity</w:t>
      </w:r>
      <w:r>
        <w:rPr>
          <w:spacing w:val="-9"/>
        </w:rPr>
        <w:t xml:space="preserve"> </w:t>
      </w:r>
      <w:r>
        <w:rPr>
          <w:spacing w:val="-2"/>
        </w:rPr>
        <w:t>grants.</w:t>
      </w:r>
    </w:p>
    <w:p w14:paraId="6CA97185" w14:textId="77777777" w:rsidR="00246DC7" w:rsidRDefault="00246DC7" w:rsidP="00246DC7">
      <w:pPr>
        <w:pStyle w:val="ListParagraph"/>
        <w:numPr>
          <w:ilvl w:val="1"/>
          <w:numId w:val="1"/>
        </w:numPr>
        <w:tabs>
          <w:tab w:val="left" w:pos="1799"/>
        </w:tabs>
        <w:spacing w:before="40" w:line="278" w:lineRule="auto"/>
        <w:ind w:right="514"/>
        <w:contextualSpacing w:val="0"/>
      </w:pPr>
      <w:r>
        <w:t>[To be determined based upon applications received and BEAD grants awarded by BPU.] For example, BPU will advance up to 50% of the total cost of the LEO capacity subgrant: (1) at the time Grantee certifies the availability of service throughout the Project</w:t>
      </w:r>
      <w:r>
        <w:rPr>
          <w:spacing w:val="-15"/>
        </w:rPr>
        <w:t xml:space="preserve"> </w:t>
      </w:r>
      <w:r>
        <w:t>Area;</w:t>
      </w:r>
      <w:r>
        <w:rPr>
          <w:spacing w:val="-4"/>
        </w:rPr>
        <w:t xml:space="preserve"> </w:t>
      </w:r>
      <w:r>
        <w:t>(2)</w:t>
      </w:r>
      <w:r>
        <w:rPr>
          <w:spacing w:val="-4"/>
        </w:rPr>
        <w:t xml:space="preserve"> </w:t>
      </w:r>
      <w:r>
        <w:t>upon</w:t>
      </w:r>
      <w:r>
        <w:rPr>
          <w:spacing w:val="-4"/>
        </w:rPr>
        <w:t xml:space="preserve"> </w:t>
      </w:r>
      <w:r>
        <w:t>Grantee</w:t>
      </w:r>
      <w:r>
        <w:rPr>
          <w:spacing w:val="-4"/>
        </w:rPr>
        <w:t xml:space="preserve"> </w:t>
      </w:r>
      <w:r>
        <w:t>meeting</w:t>
      </w:r>
      <w:r>
        <w:rPr>
          <w:spacing w:val="-4"/>
        </w:rPr>
        <w:t xml:space="preserve"> </w:t>
      </w:r>
      <w:r>
        <w:t>subscription</w:t>
      </w:r>
      <w:r>
        <w:rPr>
          <w:spacing w:val="-4"/>
        </w:rPr>
        <w:t xml:space="preserve"> </w:t>
      </w:r>
      <w:r>
        <w:t>milestones</w:t>
      </w:r>
      <w:r>
        <w:rPr>
          <w:spacing w:val="-4"/>
        </w:rPr>
        <w:t xml:space="preserve"> </w:t>
      </w:r>
      <w:r>
        <w:t>established</w:t>
      </w:r>
      <w:r>
        <w:rPr>
          <w:spacing w:val="-4"/>
        </w:rPr>
        <w:t xml:space="preserve"> </w:t>
      </w:r>
      <w:r>
        <w:t>by</w:t>
      </w:r>
      <w:r>
        <w:rPr>
          <w:spacing w:val="-4"/>
        </w:rPr>
        <w:t xml:space="preserve"> </w:t>
      </w:r>
      <w:r>
        <w:t>BPU;</w:t>
      </w:r>
      <w:r>
        <w:rPr>
          <w:spacing w:val="-4"/>
        </w:rPr>
        <w:t xml:space="preserve"> </w:t>
      </w:r>
      <w:r>
        <w:t>or</w:t>
      </w:r>
    </w:p>
    <w:p w14:paraId="3B74F154" w14:textId="77777777" w:rsidR="00246DC7" w:rsidRDefault="00246DC7" w:rsidP="00246DC7">
      <w:pPr>
        <w:pStyle w:val="BodyText"/>
        <w:spacing w:line="251" w:lineRule="exact"/>
        <w:ind w:left="1799"/>
      </w:pPr>
      <w:r>
        <w:t>(3)</w:t>
      </w:r>
      <w:r>
        <w:rPr>
          <w:spacing w:val="-6"/>
        </w:rPr>
        <w:t xml:space="preserve"> </w:t>
      </w:r>
      <w:r>
        <w:t>a</w:t>
      </w:r>
      <w:r>
        <w:rPr>
          <w:spacing w:val="-6"/>
        </w:rPr>
        <w:t xml:space="preserve"> </w:t>
      </w:r>
      <w:r>
        <w:t>combination</w:t>
      </w:r>
      <w:r>
        <w:rPr>
          <w:spacing w:val="-5"/>
        </w:rPr>
        <w:t xml:space="preserve"> </w:t>
      </w:r>
      <w:r>
        <w:rPr>
          <w:spacing w:val="-2"/>
        </w:rPr>
        <w:t>thereof.</w:t>
      </w:r>
    </w:p>
    <w:p w14:paraId="105B00A8" w14:textId="77777777" w:rsidR="00246DC7" w:rsidRDefault="00246DC7" w:rsidP="00246DC7">
      <w:pPr>
        <w:pStyle w:val="ListParagraph"/>
        <w:numPr>
          <w:ilvl w:val="1"/>
          <w:numId w:val="1"/>
        </w:numPr>
        <w:tabs>
          <w:tab w:val="left" w:pos="1799"/>
        </w:tabs>
        <w:spacing w:before="40" w:line="278" w:lineRule="auto"/>
        <w:ind w:right="550"/>
        <w:contextualSpacing w:val="0"/>
      </w:pPr>
      <w:r>
        <w:t xml:space="preserve">The type, quality, and sufficiency of documentation provided by Grantee for </w:t>
      </w:r>
      <w:proofErr w:type="gramStart"/>
      <w:r>
        <w:lastRenderedPageBreak/>
        <w:t>reimbursement</w:t>
      </w:r>
      <w:proofErr w:type="gramEnd"/>
      <w:r>
        <w:rPr>
          <w:spacing w:val="-3"/>
        </w:rPr>
        <w:t xml:space="preserve"> </w:t>
      </w:r>
      <w:r>
        <w:t>requests</w:t>
      </w:r>
      <w:r>
        <w:rPr>
          <w:spacing w:val="-4"/>
        </w:rPr>
        <w:t xml:space="preserve"> </w:t>
      </w:r>
      <w:r>
        <w:t>shall</w:t>
      </w:r>
      <w:r>
        <w:rPr>
          <w:spacing w:val="-3"/>
        </w:rPr>
        <w:t xml:space="preserve"> </w:t>
      </w:r>
      <w:r>
        <w:t>be</w:t>
      </w:r>
      <w:r>
        <w:rPr>
          <w:spacing w:val="-4"/>
        </w:rPr>
        <w:t xml:space="preserve"> </w:t>
      </w:r>
      <w:r>
        <w:t>solely</w:t>
      </w:r>
      <w:r>
        <w:rPr>
          <w:spacing w:val="-3"/>
        </w:rPr>
        <w:t xml:space="preserve"> </w:t>
      </w:r>
      <w:r>
        <w:t>determined</w:t>
      </w:r>
      <w:r>
        <w:rPr>
          <w:spacing w:val="-3"/>
        </w:rPr>
        <w:t xml:space="preserve"> </w:t>
      </w:r>
      <w:r>
        <w:t>by</w:t>
      </w:r>
      <w:r>
        <w:rPr>
          <w:spacing w:val="-3"/>
        </w:rPr>
        <w:t xml:space="preserve"> </w:t>
      </w:r>
      <w:r>
        <w:t>BPU.</w:t>
      </w:r>
      <w:r>
        <w:rPr>
          <w:spacing w:val="-3"/>
        </w:rPr>
        <w:t xml:space="preserve"> </w:t>
      </w:r>
      <w:r>
        <w:t>BPU</w:t>
      </w:r>
      <w:r>
        <w:rPr>
          <w:spacing w:val="-4"/>
        </w:rPr>
        <w:t xml:space="preserve"> </w:t>
      </w:r>
      <w:r>
        <w:t>will</w:t>
      </w:r>
      <w:r>
        <w:rPr>
          <w:spacing w:val="-3"/>
        </w:rPr>
        <w:t xml:space="preserve"> </w:t>
      </w:r>
      <w:r>
        <w:t>not</w:t>
      </w:r>
      <w:r>
        <w:rPr>
          <w:spacing w:val="-3"/>
        </w:rPr>
        <w:t xml:space="preserve"> </w:t>
      </w:r>
      <w:r>
        <w:t>reimburse</w:t>
      </w:r>
      <w:r>
        <w:rPr>
          <w:spacing w:val="-3"/>
        </w:rPr>
        <w:t xml:space="preserve"> </w:t>
      </w:r>
      <w:r>
        <w:t>for unreasonable expenses or insufficient documentation, questionable support, or data disputed by BPU.</w:t>
      </w:r>
    </w:p>
    <w:p w14:paraId="0E34D80B" w14:textId="77777777" w:rsidR="00246DC7" w:rsidRDefault="00246DC7" w:rsidP="00246DC7">
      <w:pPr>
        <w:pStyle w:val="ListParagraph"/>
        <w:spacing w:line="278" w:lineRule="auto"/>
        <w:sectPr w:rsidR="00246DC7" w:rsidSect="00246DC7">
          <w:pgSz w:w="12240" w:h="15840"/>
          <w:pgMar w:top="1360" w:right="720" w:bottom="280" w:left="720" w:header="720" w:footer="720" w:gutter="0"/>
          <w:cols w:space="720"/>
        </w:sectPr>
      </w:pPr>
    </w:p>
    <w:p w14:paraId="1C50DB84" w14:textId="77777777" w:rsidR="00246DC7" w:rsidRDefault="00246DC7" w:rsidP="00246DC7">
      <w:pPr>
        <w:pStyle w:val="ListParagraph"/>
        <w:numPr>
          <w:ilvl w:val="1"/>
          <w:numId w:val="1"/>
        </w:numPr>
        <w:tabs>
          <w:tab w:val="left" w:pos="1799"/>
        </w:tabs>
        <w:spacing w:before="80" w:line="278" w:lineRule="auto"/>
        <w:ind w:right="1134"/>
        <w:contextualSpacing w:val="0"/>
      </w:pPr>
      <w:r>
        <w:lastRenderedPageBreak/>
        <w:t>If</w:t>
      </w:r>
      <w:r>
        <w:rPr>
          <w:spacing w:val="-3"/>
        </w:rPr>
        <w:t xml:space="preserve"> </w:t>
      </w:r>
      <w:r>
        <w:t>BPU</w:t>
      </w:r>
      <w:r>
        <w:rPr>
          <w:spacing w:val="-4"/>
        </w:rPr>
        <w:t xml:space="preserve"> </w:t>
      </w:r>
      <w:r>
        <w:t>elects</w:t>
      </w:r>
      <w:r>
        <w:rPr>
          <w:spacing w:val="-3"/>
        </w:rPr>
        <w:t xml:space="preserve"> </w:t>
      </w:r>
      <w:r>
        <w:t>to</w:t>
      </w:r>
      <w:r>
        <w:rPr>
          <w:spacing w:val="-3"/>
        </w:rPr>
        <w:t xml:space="preserve"> </w:t>
      </w:r>
      <w:r>
        <w:t>advance</w:t>
      </w:r>
      <w:r>
        <w:rPr>
          <w:spacing w:val="-3"/>
        </w:rPr>
        <w:t xml:space="preserve"> </w:t>
      </w:r>
      <w:r>
        <w:t>a</w:t>
      </w:r>
      <w:r>
        <w:rPr>
          <w:spacing w:val="-3"/>
        </w:rPr>
        <w:t xml:space="preserve"> </w:t>
      </w:r>
      <w:r>
        <w:t>portion</w:t>
      </w:r>
      <w:r>
        <w:rPr>
          <w:spacing w:val="-3"/>
        </w:rPr>
        <w:t xml:space="preserve"> </w:t>
      </w:r>
      <w:r>
        <w:t>of</w:t>
      </w:r>
      <w:r>
        <w:rPr>
          <w:spacing w:val="-3"/>
        </w:rPr>
        <w:t xml:space="preserve"> </w:t>
      </w:r>
      <w:r>
        <w:t>the</w:t>
      </w:r>
      <w:r>
        <w:rPr>
          <w:spacing w:val="-3"/>
        </w:rPr>
        <w:t xml:space="preserve"> </w:t>
      </w:r>
      <w:r>
        <w:t>subgrant,</w:t>
      </w:r>
      <w:r>
        <w:rPr>
          <w:spacing w:val="-3"/>
        </w:rPr>
        <w:t xml:space="preserve"> </w:t>
      </w:r>
      <w:r>
        <w:t>the</w:t>
      </w:r>
      <w:r>
        <w:rPr>
          <w:spacing w:val="-3"/>
        </w:rPr>
        <w:t xml:space="preserve"> </w:t>
      </w:r>
      <w:r>
        <w:t>remaining</w:t>
      </w:r>
      <w:r>
        <w:rPr>
          <w:spacing w:val="-3"/>
        </w:rPr>
        <w:t xml:space="preserve"> </w:t>
      </w:r>
      <w:r>
        <w:t>portion</w:t>
      </w:r>
      <w:r>
        <w:rPr>
          <w:spacing w:val="-4"/>
        </w:rPr>
        <w:t xml:space="preserve"> </w:t>
      </w:r>
      <w:r>
        <w:t>shall</w:t>
      </w:r>
      <w:r>
        <w:rPr>
          <w:spacing w:val="-3"/>
        </w:rPr>
        <w:t xml:space="preserve"> </w:t>
      </w:r>
      <w:r>
        <w:t>be distributed in equal installments across the remainder of the Extended Period of Performance. See, NTIA</w:t>
      </w:r>
      <w:r>
        <w:rPr>
          <w:spacing w:val="-4"/>
        </w:rPr>
        <w:t xml:space="preserve"> </w:t>
      </w:r>
      <w:r>
        <w:t>June 2025 Policy Notice,</w:t>
      </w:r>
      <w:r>
        <w:rPr>
          <w:spacing w:val="-4"/>
        </w:rPr>
        <w:t xml:space="preserve"> </w:t>
      </w:r>
      <w:r>
        <w:t>Appendix B, at p. 20, fn. 59.</w:t>
      </w:r>
    </w:p>
    <w:p w14:paraId="65020F4C" w14:textId="77777777" w:rsidR="00246DC7" w:rsidRDefault="00246DC7" w:rsidP="00246DC7">
      <w:pPr>
        <w:pStyle w:val="ListParagraph"/>
        <w:numPr>
          <w:ilvl w:val="1"/>
          <w:numId w:val="1"/>
        </w:numPr>
        <w:tabs>
          <w:tab w:val="left" w:pos="1799"/>
        </w:tabs>
        <w:spacing w:line="252" w:lineRule="exact"/>
        <w:ind w:hanging="359"/>
        <w:contextualSpacing w:val="0"/>
      </w:pPr>
      <w:r>
        <w:t>Grantee</w:t>
      </w:r>
      <w:r>
        <w:rPr>
          <w:spacing w:val="-7"/>
        </w:rPr>
        <w:t xml:space="preserve"> </w:t>
      </w:r>
      <w:r>
        <w:t>shall</w:t>
      </w:r>
      <w:r>
        <w:rPr>
          <w:spacing w:val="-6"/>
        </w:rPr>
        <w:t xml:space="preserve"> </w:t>
      </w:r>
      <w:r>
        <w:t>comply</w:t>
      </w:r>
      <w:r>
        <w:rPr>
          <w:spacing w:val="-6"/>
        </w:rPr>
        <w:t xml:space="preserve"> </w:t>
      </w:r>
      <w:r>
        <w:t>with</w:t>
      </w:r>
      <w:r>
        <w:rPr>
          <w:spacing w:val="-6"/>
        </w:rPr>
        <w:t xml:space="preserve"> </w:t>
      </w:r>
      <w:r>
        <w:t>Exhibit</w:t>
      </w:r>
      <w:r>
        <w:rPr>
          <w:spacing w:val="-6"/>
        </w:rPr>
        <w:t xml:space="preserve"> </w:t>
      </w:r>
      <w:r>
        <w:t>H</w:t>
      </w:r>
      <w:r>
        <w:rPr>
          <w:spacing w:val="-7"/>
        </w:rPr>
        <w:t xml:space="preserve"> </w:t>
      </w:r>
      <w:r>
        <w:t>for</w:t>
      </w:r>
      <w:r>
        <w:rPr>
          <w:spacing w:val="-6"/>
        </w:rPr>
        <w:t xml:space="preserve"> </w:t>
      </w:r>
      <w:r>
        <w:t>payment</w:t>
      </w:r>
      <w:r>
        <w:rPr>
          <w:spacing w:val="-6"/>
        </w:rPr>
        <w:t xml:space="preserve"> </w:t>
      </w:r>
      <w:r>
        <w:t>and</w:t>
      </w:r>
      <w:r>
        <w:rPr>
          <w:spacing w:val="-7"/>
        </w:rPr>
        <w:t xml:space="preserve"> </w:t>
      </w:r>
      <w:r>
        <w:t>fiscal</w:t>
      </w:r>
      <w:r>
        <w:rPr>
          <w:spacing w:val="-6"/>
        </w:rPr>
        <w:t xml:space="preserve"> </w:t>
      </w:r>
      <w:r>
        <w:rPr>
          <w:spacing w:val="-2"/>
        </w:rPr>
        <w:t>responsibilities.</w:t>
      </w:r>
    </w:p>
    <w:p w14:paraId="1B11C73B" w14:textId="77777777" w:rsidR="00246DC7" w:rsidRDefault="00246DC7" w:rsidP="00246DC7">
      <w:pPr>
        <w:pStyle w:val="BodyText"/>
        <w:spacing w:before="79"/>
      </w:pPr>
    </w:p>
    <w:p w14:paraId="1414D623" w14:textId="77777777" w:rsidR="00246DC7" w:rsidRDefault="00246DC7" w:rsidP="00246DC7">
      <w:pPr>
        <w:pStyle w:val="Heading2"/>
        <w:numPr>
          <w:ilvl w:val="0"/>
          <w:numId w:val="1"/>
        </w:numPr>
        <w:tabs>
          <w:tab w:val="num" w:pos="360"/>
          <w:tab w:val="left" w:pos="1079"/>
        </w:tabs>
        <w:ind w:left="0" w:hanging="543"/>
      </w:pPr>
      <w:r>
        <w:t>LETTER</w:t>
      </w:r>
      <w:r>
        <w:rPr>
          <w:spacing w:val="-12"/>
        </w:rPr>
        <w:t xml:space="preserve"> </w:t>
      </w:r>
      <w:r>
        <w:t>OF</w:t>
      </w:r>
      <w:r>
        <w:rPr>
          <w:spacing w:val="-9"/>
        </w:rPr>
        <w:t xml:space="preserve"> </w:t>
      </w:r>
      <w:r>
        <w:t>CREDIT</w:t>
      </w:r>
      <w:r>
        <w:rPr>
          <w:spacing w:val="-9"/>
        </w:rPr>
        <w:t xml:space="preserve"> </w:t>
      </w:r>
      <w:r>
        <w:t>OR</w:t>
      </w:r>
      <w:r>
        <w:rPr>
          <w:spacing w:val="-12"/>
        </w:rPr>
        <w:t xml:space="preserve"> </w:t>
      </w:r>
      <w:r>
        <w:t>PERFORMANCE</w:t>
      </w:r>
      <w:r>
        <w:rPr>
          <w:spacing w:val="-10"/>
        </w:rPr>
        <w:t xml:space="preserve"> </w:t>
      </w:r>
      <w:r>
        <w:rPr>
          <w:spacing w:val="-4"/>
        </w:rPr>
        <w:t>BOND</w:t>
      </w:r>
    </w:p>
    <w:p w14:paraId="7E67BCED" w14:textId="77777777" w:rsidR="00246DC7" w:rsidRDefault="00246DC7" w:rsidP="00246DC7">
      <w:pPr>
        <w:pStyle w:val="ListParagraph"/>
        <w:numPr>
          <w:ilvl w:val="1"/>
          <w:numId w:val="1"/>
        </w:numPr>
        <w:tabs>
          <w:tab w:val="left" w:pos="1799"/>
        </w:tabs>
        <w:spacing w:before="40" w:line="278" w:lineRule="auto"/>
        <w:ind w:right="768"/>
        <w:contextualSpacing w:val="0"/>
      </w:pPr>
      <w:r>
        <w:t>Grantee</w:t>
      </w:r>
      <w:r>
        <w:rPr>
          <w:spacing w:val="-3"/>
        </w:rPr>
        <w:t xml:space="preserve"> </w:t>
      </w:r>
      <w:r>
        <w:t>shall</w:t>
      </w:r>
      <w:r>
        <w:rPr>
          <w:spacing w:val="-3"/>
        </w:rPr>
        <w:t xml:space="preserve"> </w:t>
      </w:r>
      <w:r>
        <w:t>obtain</w:t>
      </w:r>
      <w:r>
        <w:rPr>
          <w:spacing w:val="-3"/>
        </w:rPr>
        <w:t xml:space="preserve"> </w:t>
      </w:r>
      <w:r>
        <w:t>and</w:t>
      </w:r>
      <w:r>
        <w:rPr>
          <w:spacing w:val="-4"/>
        </w:rPr>
        <w:t xml:space="preserve"> </w:t>
      </w:r>
      <w:r>
        <w:t>maintain</w:t>
      </w:r>
      <w:r>
        <w:rPr>
          <w:spacing w:val="-3"/>
        </w:rPr>
        <w:t xml:space="preserve"> </w:t>
      </w:r>
      <w:r>
        <w:t>a</w:t>
      </w:r>
      <w:r>
        <w:rPr>
          <w:spacing w:val="-3"/>
        </w:rPr>
        <w:t xml:space="preserve"> </w:t>
      </w:r>
      <w:r>
        <w:t>Letter</w:t>
      </w:r>
      <w:r>
        <w:rPr>
          <w:spacing w:val="-3"/>
        </w:rPr>
        <w:t xml:space="preserve"> </w:t>
      </w:r>
      <w:r>
        <w:t>of</w:t>
      </w:r>
      <w:r>
        <w:rPr>
          <w:spacing w:val="-3"/>
        </w:rPr>
        <w:t xml:space="preserve"> </w:t>
      </w:r>
      <w:r>
        <w:t>Credit</w:t>
      </w:r>
      <w:r>
        <w:rPr>
          <w:spacing w:val="-3"/>
        </w:rPr>
        <w:t xml:space="preserve"> </w:t>
      </w:r>
      <w:r>
        <w:t>(LOC)</w:t>
      </w:r>
      <w:r>
        <w:rPr>
          <w:spacing w:val="-3"/>
        </w:rPr>
        <w:t xml:space="preserve"> </w:t>
      </w:r>
      <w:r>
        <w:t>or</w:t>
      </w:r>
      <w:r>
        <w:rPr>
          <w:spacing w:val="-3"/>
        </w:rPr>
        <w:t xml:space="preserve"> </w:t>
      </w:r>
      <w:r>
        <w:t>performance</w:t>
      </w:r>
      <w:r>
        <w:rPr>
          <w:spacing w:val="-3"/>
        </w:rPr>
        <w:t xml:space="preserve"> </w:t>
      </w:r>
      <w:r>
        <w:t>bond</w:t>
      </w:r>
      <w:r>
        <w:rPr>
          <w:spacing w:val="-3"/>
        </w:rPr>
        <w:t xml:space="preserve"> </w:t>
      </w:r>
      <w:r>
        <w:t>as</w:t>
      </w:r>
      <w:r>
        <w:rPr>
          <w:spacing w:val="-3"/>
        </w:rPr>
        <w:t xml:space="preserve"> </w:t>
      </w:r>
      <w:r>
        <w:t>a condition of its receipt of BEAD funds.</w:t>
      </w:r>
    </w:p>
    <w:p w14:paraId="6CC7C37C" w14:textId="77777777" w:rsidR="00246DC7" w:rsidRDefault="00246DC7" w:rsidP="00246DC7">
      <w:pPr>
        <w:pStyle w:val="ListParagraph"/>
        <w:numPr>
          <w:ilvl w:val="1"/>
          <w:numId w:val="1"/>
        </w:numPr>
        <w:tabs>
          <w:tab w:val="left" w:pos="1799"/>
        </w:tabs>
        <w:spacing w:line="278" w:lineRule="auto"/>
        <w:ind w:right="1201"/>
        <w:contextualSpacing w:val="0"/>
      </w:pPr>
      <w:r>
        <w:t>The LOC or performance bond shall comply with all federal BEAD program requirements,</w:t>
      </w:r>
      <w:r>
        <w:rPr>
          <w:spacing w:val="-7"/>
        </w:rPr>
        <w:t xml:space="preserve"> </w:t>
      </w:r>
      <w:r>
        <w:t>including</w:t>
      </w:r>
      <w:r>
        <w:rPr>
          <w:spacing w:val="-8"/>
        </w:rPr>
        <w:t xml:space="preserve"> </w:t>
      </w:r>
      <w:r>
        <w:t>NTIA’s</w:t>
      </w:r>
      <w:r>
        <w:rPr>
          <w:spacing w:val="-7"/>
        </w:rPr>
        <w:t xml:space="preserve"> </w:t>
      </w:r>
      <w:r>
        <w:t>Policy</w:t>
      </w:r>
      <w:r>
        <w:rPr>
          <w:spacing w:val="-7"/>
        </w:rPr>
        <w:t xml:space="preserve"> </w:t>
      </w:r>
      <w:r>
        <w:t>Notice</w:t>
      </w:r>
      <w:r>
        <w:rPr>
          <w:spacing w:val="-7"/>
        </w:rPr>
        <w:t xml:space="preserve"> </w:t>
      </w:r>
      <w:r>
        <w:t>and</w:t>
      </w:r>
      <w:r>
        <w:rPr>
          <w:spacing w:val="-8"/>
        </w:rPr>
        <w:t xml:space="preserve"> </w:t>
      </w:r>
      <w:r>
        <w:t>NTIA’s</w:t>
      </w:r>
      <w:r>
        <w:rPr>
          <w:spacing w:val="-7"/>
        </w:rPr>
        <w:t xml:space="preserve"> </w:t>
      </w:r>
      <w:r>
        <w:t>July</w:t>
      </w:r>
      <w:r>
        <w:rPr>
          <w:spacing w:val="-7"/>
        </w:rPr>
        <w:t xml:space="preserve"> </w:t>
      </w:r>
      <w:r>
        <w:t>30,</w:t>
      </w:r>
      <w:r>
        <w:rPr>
          <w:spacing w:val="-7"/>
        </w:rPr>
        <w:t xml:space="preserve"> </w:t>
      </w:r>
      <w:r>
        <w:t>2025,</w:t>
      </w:r>
      <w:r>
        <w:rPr>
          <w:spacing w:val="-7"/>
        </w:rPr>
        <w:t xml:space="preserve"> </w:t>
      </w:r>
      <w:r>
        <w:t>Notice</w:t>
      </w:r>
      <w:r>
        <w:rPr>
          <w:spacing w:val="-7"/>
        </w:rPr>
        <w:t xml:space="preserve"> </w:t>
      </w:r>
      <w:r>
        <w:t>of Programmatic Waiver.</w:t>
      </w:r>
    </w:p>
    <w:p w14:paraId="46A361C2" w14:textId="77777777" w:rsidR="00246DC7" w:rsidRDefault="00246DC7" w:rsidP="00246DC7">
      <w:pPr>
        <w:pStyle w:val="ListParagraph"/>
        <w:numPr>
          <w:ilvl w:val="1"/>
          <w:numId w:val="1"/>
        </w:numPr>
        <w:tabs>
          <w:tab w:val="left" w:pos="1799"/>
        </w:tabs>
        <w:spacing w:line="278" w:lineRule="auto"/>
        <w:ind w:right="1092"/>
        <w:contextualSpacing w:val="0"/>
      </w:pPr>
      <w:r>
        <w:t>Grantee’s</w:t>
      </w:r>
      <w:r>
        <w:rPr>
          <w:spacing w:val="-4"/>
        </w:rPr>
        <w:t xml:space="preserve"> </w:t>
      </w:r>
      <w:r>
        <w:t>LOC</w:t>
      </w:r>
      <w:r>
        <w:rPr>
          <w:spacing w:val="-5"/>
        </w:rPr>
        <w:t xml:space="preserve"> </w:t>
      </w:r>
      <w:r>
        <w:t>or</w:t>
      </w:r>
      <w:r>
        <w:rPr>
          <w:spacing w:val="-4"/>
        </w:rPr>
        <w:t xml:space="preserve"> </w:t>
      </w:r>
      <w:r>
        <w:t>performance</w:t>
      </w:r>
      <w:r>
        <w:rPr>
          <w:spacing w:val="-4"/>
        </w:rPr>
        <w:t xml:space="preserve"> </w:t>
      </w:r>
      <w:r>
        <w:t>bond</w:t>
      </w:r>
      <w:r>
        <w:rPr>
          <w:spacing w:val="-4"/>
        </w:rPr>
        <w:t xml:space="preserve"> </w:t>
      </w:r>
      <w:r>
        <w:t>and</w:t>
      </w:r>
      <w:r>
        <w:rPr>
          <w:spacing w:val="-4"/>
        </w:rPr>
        <w:t xml:space="preserve"> </w:t>
      </w:r>
      <w:r>
        <w:t>the</w:t>
      </w:r>
      <w:r>
        <w:rPr>
          <w:spacing w:val="-4"/>
        </w:rPr>
        <w:t xml:space="preserve"> </w:t>
      </w:r>
      <w:r>
        <w:t>opinion</w:t>
      </w:r>
      <w:r>
        <w:rPr>
          <w:spacing w:val="-4"/>
        </w:rPr>
        <w:t xml:space="preserve"> </w:t>
      </w:r>
      <w:r>
        <w:t>letter</w:t>
      </w:r>
      <w:r>
        <w:rPr>
          <w:spacing w:val="-4"/>
        </w:rPr>
        <w:t xml:space="preserve"> </w:t>
      </w:r>
      <w:r>
        <w:t>from</w:t>
      </w:r>
      <w:r>
        <w:rPr>
          <w:spacing w:val="-5"/>
        </w:rPr>
        <w:t xml:space="preserve"> </w:t>
      </w:r>
      <w:r>
        <w:t>legal</w:t>
      </w:r>
      <w:r>
        <w:rPr>
          <w:spacing w:val="-4"/>
        </w:rPr>
        <w:t xml:space="preserve"> </w:t>
      </w:r>
      <w:r>
        <w:t>counsel</w:t>
      </w:r>
      <w:r>
        <w:rPr>
          <w:spacing w:val="-4"/>
        </w:rPr>
        <w:t xml:space="preserve"> </w:t>
      </w:r>
      <w:r>
        <w:t xml:space="preserve">are attached hereto and incorporated herein at Exhibit </w:t>
      </w:r>
      <w:proofErr w:type="gramStart"/>
      <w:r>
        <w:rPr>
          <w:spacing w:val="40"/>
          <w:u w:val="single"/>
        </w:rPr>
        <w:t xml:space="preserve">  </w:t>
      </w:r>
      <w:r>
        <w:t>.</w:t>
      </w:r>
      <w:proofErr w:type="gramEnd"/>
    </w:p>
    <w:p w14:paraId="04EA371B" w14:textId="77777777" w:rsidR="00246DC7" w:rsidRDefault="00246DC7" w:rsidP="00246DC7">
      <w:pPr>
        <w:pStyle w:val="ListParagraph"/>
        <w:numPr>
          <w:ilvl w:val="1"/>
          <w:numId w:val="1"/>
        </w:numPr>
        <w:tabs>
          <w:tab w:val="left" w:pos="1799"/>
        </w:tabs>
        <w:spacing w:line="278" w:lineRule="auto"/>
        <w:ind w:right="472"/>
        <w:contextualSpacing w:val="0"/>
      </w:pPr>
      <w:r>
        <w:t>Grantee’s</w:t>
      </w:r>
      <w:r>
        <w:rPr>
          <w:spacing w:val="-5"/>
        </w:rPr>
        <w:t xml:space="preserve"> </w:t>
      </w:r>
      <w:r>
        <w:t>LOC</w:t>
      </w:r>
      <w:r>
        <w:rPr>
          <w:spacing w:val="-6"/>
        </w:rPr>
        <w:t xml:space="preserve"> </w:t>
      </w:r>
      <w:r>
        <w:t>or</w:t>
      </w:r>
      <w:r>
        <w:rPr>
          <w:spacing w:val="-5"/>
        </w:rPr>
        <w:t xml:space="preserve"> </w:t>
      </w:r>
      <w:r>
        <w:t>performance</w:t>
      </w:r>
      <w:r>
        <w:rPr>
          <w:spacing w:val="-5"/>
        </w:rPr>
        <w:t xml:space="preserve"> </w:t>
      </w:r>
      <w:r>
        <w:t>bond</w:t>
      </w:r>
      <w:r>
        <w:rPr>
          <w:spacing w:val="-5"/>
        </w:rPr>
        <w:t xml:space="preserve"> </w:t>
      </w:r>
      <w:r>
        <w:t>may</w:t>
      </w:r>
      <w:r>
        <w:rPr>
          <w:spacing w:val="-5"/>
        </w:rPr>
        <w:t xml:space="preserve"> </w:t>
      </w:r>
      <w:r>
        <w:t>be</w:t>
      </w:r>
      <w:r>
        <w:rPr>
          <w:spacing w:val="-5"/>
        </w:rPr>
        <w:t xml:space="preserve"> </w:t>
      </w:r>
      <w:r>
        <w:t>reduced</w:t>
      </w:r>
      <w:r>
        <w:rPr>
          <w:spacing w:val="-5"/>
        </w:rPr>
        <w:t xml:space="preserve"> </w:t>
      </w:r>
      <w:r>
        <w:t>upon</w:t>
      </w:r>
      <w:r>
        <w:rPr>
          <w:spacing w:val="-6"/>
        </w:rPr>
        <w:t xml:space="preserve"> </w:t>
      </w:r>
      <w:r>
        <w:t>Grantee’s</w:t>
      </w:r>
      <w:r>
        <w:rPr>
          <w:spacing w:val="-5"/>
        </w:rPr>
        <w:t xml:space="preserve"> </w:t>
      </w:r>
      <w:r>
        <w:t>demonstration,</w:t>
      </w:r>
      <w:r>
        <w:rPr>
          <w:spacing w:val="-5"/>
        </w:rPr>
        <w:t xml:space="preserve"> </w:t>
      </w:r>
      <w:r>
        <w:t>to BPU’s satisfaction, as follows:</w:t>
      </w:r>
    </w:p>
    <w:p w14:paraId="2850C24E" w14:textId="77777777" w:rsidR="00246DC7" w:rsidRDefault="00246DC7" w:rsidP="00246DC7">
      <w:pPr>
        <w:pStyle w:val="ListParagraph"/>
        <w:numPr>
          <w:ilvl w:val="2"/>
          <w:numId w:val="1"/>
        </w:numPr>
        <w:tabs>
          <w:tab w:val="left" w:pos="2517"/>
          <w:tab w:val="left" w:pos="2519"/>
        </w:tabs>
        <w:spacing w:line="278" w:lineRule="auto"/>
        <w:ind w:right="1106"/>
        <w:contextualSpacing w:val="0"/>
        <w:jc w:val="left"/>
      </w:pPr>
      <w:r>
        <w:t>By</w:t>
      </w:r>
      <w:r>
        <w:rPr>
          <w:spacing w:val="-4"/>
        </w:rPr>
        <w:t xml:space="preserve"> </w:t>
      </w:r>
      <w:r>
        <w:t>50%</w:t>
      </w:r>
      <w:r>
        <w:rPr>
          <w:spacing w:val="-4"/>
        </w:rPr>
        <w:t xml:space="preserve"> </w:t>
      </w:r>
      <w:r>
        <w:t>at</w:t>
      </w:r>
      <w:r>
        <w:rPr>
          <w:spacing w:val="-4"/>
        </w:rPr>
        <w:t xml:space="preserve"> </w:t>
      </w:r>
      <w:r>
        <w:t>the</w:t>
      </w:r>
      <w:r>
        <w:rPr>
          <w:spacing w:val="-4"/>
        </w:rPr>
        <w:t xml:space="preserve"> </w:t>
      </w:r>
      <w:r>
        <w:t>point</w:t>
      </w:r>
      <w:r>
        <w:rPr>
          <w:spacing w:val="-4"/>
        </w:rPr>
        <w:t xml:space="preserve"> </w:t>
      </w:r>
      <w:r>
        <w:t>of</w:t>
      </w:r>
      <w:r>
        <w:rPr>
          <w:spacing w:val="-5"/>
        </w:rPr>
        <w:t xml:space="preserve"> </w:t>
      </w:r>
      <w:r>
        <w:t>Grantee’s</w:t>
      </w:r>
      <w:r>
        <w:rPr>
          <w:spacing w:val="-4"/>
        </w:rPr>
        <w:t xml:space="preserve"> </w:t>
      </w:r>
      <w:r>
        <w:t>certification</w:t>
      </w:r>
      <w:r>
        <w:rPr>
          <w:spacing w:val="-5"/>
        </w:rPr>
        <w:t xml:space="preserve"> </w:t>
      </w:r>
      <w:r>
        <w:t>to</w:t>
      </w:r>
      <w:r>
        <w:rPr>
          <w:spacing w:val="-4"/>
        </w:rPr>
        <w:t xml:space="preserve"> </w:t>
      </w:r>
      <w:r>
        <w:t>BPU</w:t>
      </w:r>
      <w:r>
        <w:rPr>
          <w:spacing w:val="-5"/>
        </w:rPr>
        <w:t xml:space="preserve"> </w:t>
      </w:r>
      <w:r>
        <w:t>that</w:t>
      </w:r>
      <w:r>
        <w:rPr>
          <w:spacing w:val="-4"/>
        </w:rPr>
        <w:t xml:space="preserve"> </w:t>
      </w:r>
      <w:r>
        <w:t>BEAD</w:t>
      </w:r>
      <w:r>
        <w:rPr>
          <w:spacing w:val="-5"/>
        </w:rPr>
        <w:t xml:space="preserve"> </w:t>
      </w:r>
      <w:r>
        <w:t>qualifying broadband services are available to each location in the Project</w:t>
      </w:r>
      <w:r>
        <w:rPr>
          <w:spacing w:val="-1"/>
        </w:rPr>
        <w:t xml:space="preserve"> </w:t>
      </w:r>
      <w:r>
        <w:t>Area.</w:t>
      </w:r>
    </w:p>
    <w:p w14:paraId="3D3AE65B" w14:textId="77777777" w:rsidR="00246DC7" w:rsidRDefault="00246DC7" w:rsidP="00246DC7">
      <w:pPr>
        <w:pStyle w:val="ListParagraph"/>
        <w:numPr>
          <w:ilvl w:val="2"/>
          <w:numId w:val="1"/>
        </w:numPr>
        <w:tabs>
          <w:tab w:val="left" w:pos="2516"/>
          <w:tab w:val="left" w:pos="2519"/>
        </w:tabs>
        <w:spacing w:line="278" w:lineRule="auto"/>
        <w:ind w:right="377" w:hanging="339"/>
        <w:contextualSpacing w:val="0"/>
        <w:jc w:val="left"/>
      </w:pPr>
      <w:r>
        <w:t xml:space="preserve">By an additional 25% of the original LOC or performance </w:t>
      </w:r>
      <w:proofErr w:type="gramStart"/>
      <w:r>
        <w:t>bond at</w:t>
      </w:r>
      <w:proofErr w:type="gramEnd"/>
      <w:r>
        <w:t xml:space="preserve"> the point that the subscription rate for BEAD qualifying broadband services reached at least 25% of all locations in the </w:t>
      </w:r>
      <w:proofErr w:type="gramStart"/>
      <w:r>
        <w:t>Project</w:t>
      </w:r>
      <w:r>
        <w:rPr>
          <w:spacing w:val="-4"/>
        </w:rPr>
        <w:t xml:space="preserve"> </w:t>
      </w:r>
      <w:r>
        <w:t>Area, and</w:t>
      </w:r>
      <w:proofErr w:type="gramEnd"/>
      <w:r>
        <w:t xml:space="preserve"> thereafter may be closed out once the subscription rate reaches 50% of all locations in the Project</w:t>
      </w:r>
      <w:r>
        <w:rPr>
          <w:spacing w:val="-5"/>
        </w:rPr>
        <w:t xml:space="preserve"> </w:t>
      </w:r>
      <w:r>
        <w:t>Area. (To illustrate,</w:t>
      </w:r>
      <w:r>
        <w:rPr>
          <w:spacing w:val="-4"/>
        </w:rPr>
        <w:t xml:space="preserve"> </w:t>
      </w:r>
      <w:r>
        <w:t>if</w:t>
      </w:r>
      <w:r>
        <w:rPr>
          <w:spacing w:val="-3"/>
        </w:rPr>
        <w:t xml:space="preserve"> </w:t>
      </w:r>
      <w:r>
        <w:t>the</w:t>
      </w:r>
      <w:r>
        <w:rPr>
          <w:spacing w:val="-3"/>
        </w:rPr>
        <w:t xml:space="preserve"> </w:t>
      </w:r>
      <w:r>
        <w:t>original</w:t>
      </w:r>
      <w:r>
        <w:rPr>
          <w:spacing w:val="-3"/>
        </w:rPr>
        <w:t xml:space="preserve"> </w:t>
      </w:r>
      <w:r>
        <w:t>LOC</w:t>
      </w:r>
      <w:r>
        <w:rPr>
          <w:spacing w:val="-4"/>
        </w:rPr>
        <w:t xml:space="preserve"> </w:t>
      </w:r>
      <w:r>
        <w:t>would</w:t>
      </w:r>
      <w:r>
        <w:rPr>
          <w:spacing w:val="-3"/>
        </w:rPr>
        <w:t xml:space="preserve"> </w:t>
      </w:r>
      <w:r>
        <w:t>have</w:t>
      </w:r>
      <w:r>
        <w:rPr>
          <w:spacing w:val="-3"/>
        </w:rPr>
        <w:t xml:space="preserve"> </w:t>
      </w:r>
      <w:r>
        <w:t>been</w:t>
      </w:r>
      <w:r>
        <w:rPr>
          <w:spacing w:val="-3"/>
        </w:rPr>
        <w:t xml:space="preserve"> </w:t>
      </w:r>
      <w:r>
        <w:t>valued</w:t>
      </w:r>
      <w:r>
        <w:rPr>
          <w:spacing w:val="-3"/>
        </w:rPr>
        <w:t xml:space="preserve"> </w:t>
      </w:r>
      <w:r>
        <w:t>at</w:t>
      </w:r>
      <w:r>
        <w:rPr>
          <w:spacing w:val="-3"/>
        </w:rPr>
        <w:t xml:space="preserve"> </w:t>
      </w:r>
      <w:r>
        <w:t>$2,500,</w:t>
      </w:r>
      <w:r>
        <w:rPr>
          <w:spacing w:val="-3"/>
        </w:rPr>
        <w:t xml:space="preserve"> </w:t>
      </w:r>
      <w:r>
        <w:t>upon</w:t>
      </w:r>
      <w:r>
        <w:rPr>
          <w:spacing w:val="-3"/>
        </w:rPr>
        <w:t xml:space="preserve"> </w:t>
      </w:r>
      <w:r>
        <w:t>certification of service availability, the LOC could be reduced to $1,250.</w:t>
      </w:r>
      <w:r>
        <w:rPr>
          <w:spacing w:val="-4"/>
        </w:rPr>
        <w:t xml:space="preserve"> </w:t>
      </w:r>
      <w:r>
        <w:t>After achieving a 25% “take rate” in the project area, the LOC could be further reduced to $625</w:t>
      </w:r>
      <w:r>
        <w:rPr>
          <w:spacing w:val="40"/>
        </w:rPr>
        <w:t xml:space="preserve"> </w:t>
      </w:r>
      <w:r>
        <w:t>and eliminated after reaching a 50% “take rate.”)</w:t>
      </w:r>
    </w:p>
    <w:p w14:paraId="17A3F77E" w14:textId="77777777" w:rsidR="00246DC7" w:rsidRDefault="00246DC7" w:rsidP="00246DC7">
      <w:pPr>
        <w:pStyle w:val="ListParagraph"/>
        <w:numPr>
          <w:ilvl w:val="2"/>
          <w:numId w:val="1"/>
        </w:numPr>
        <w:tabs>
          <w:tab w:val="left" w:pos="2516"/>
          <w:tab w:val="left" w:pos="2519"/>
        </w:tabs>
        <w:spacing w:line="278" w:lineRule="auto"/>
        <w:ind w:right="550" w:hanging="388"/>
        <w:contextualSpacing w:val="0"/>
        <w:jc w:val="left"/>
      </w:pPr>
      <w:r>
        <w:t xml:space="preserve">As part of the certification, Grantee shall demonstrate to BPU that subscription rates have increased for qualifying broadband services. Qualifying broadband services shall mean the broadband services satisfy BEAD speed and latency requirements as a Priority Broadband Project or a non-Priority Broadband Project. See, Exhibit C. BPU reserves the right to </w:t>
      </w:r>
      <w:proofErr w:type="gramStart"/>
      <w:r>
        <w:t>require</w:t>
      </w:r>
      <w:proofErr w:type="gramEnd"/>
      <w:r>
        <w:t xml:space="preserve"> Grantee to provide additional</w:t>
      </w:r>
      <w:r>
        <w:rPr>
          <w:spacing w:val="-5"/>
        </w:rPr>
        <w:t xml:space="preserve"> </w:t>
      </w:r>
      <w:r>
        <w:t>information</w:t>
      </w:r>
      <w:r>
        <w:rPr>
          <w:spacing w:val="-5"/>
        </w:rPr>
        <w:t xml:space="preserve"> </w:t>
      </w:r>
      <w:r>
        <w:t>or</w:t>
      </w:r>
      <w:r>
        <w:rPr>
          <w:spacing w:val="-5"/>
        </w:rPr>
        <w:t xml:space="preserve"> </w:t>
      </w:r>
      <w:r>
        <w:t>to</w:t>
      </w:r>
      <w:r>
        <w:rPr>
          <w:spacing w:val="-5"/>
        </w:rPr>
        <w:t xml:space="preserve"> </w:t>
      </w:r>
      <w:r>
        <w:t>undertake</w:t>
      </w:r>
      <w:r>
        <w:rPr>
          <w:spacing w:val="-5"/>
        </w:rPr>
        <w:t xml:space="preserve"> </w:t>
      </w:r>
      <w:r>
        <w:t>additional</w:t>
      </w:r>
      <w:r>
        <w:rPr>
          <w:spacing w:val="-5"/>
        </w:rPr>
        <w:t xml:space="preserve"> </w:t>
      </w:r>
      <w:r>
        <w:t>follow-up</w:t>
      </w:r>
      <w:r>
        <w:rPr>
          <w:spacing w:val="-5"/>
        </w:rPr>
        <w:t xml:space="preserve"> </w:t>
      </w:r>
      <w:r>
        <w:t>to</w:t>
      </w:r>
      <w:r>
        <w:rPr>
          <w:spacing w:val="-5"/>
        </w:rPr>
        <w:t xml:space="preserve"> </w:t>
      </w:r>
      <w:r>
        <w:t>ensure</w:t>
      </w:r>
      <w:r>
        <w:rPr>
          <w:spacing w:val="-5"/>
        </w:rPr>
        <w:t xml:space="preserve"> </w:t>
      </w:r>
      <w:r>
        <w:t>compliance with BEAD program requirements. Grantee shall promptly provide information and undertake the follow up as requested by BPU.</w:t>
      </w:r>
    </w:p>
    <w:p w14:paraId="085A6CBA" w14:textId="77777777" w:rsidR="00246DC7" w:rsidRDefault="00246DC7" w:rsidP="00246DC7">
      <w:pPr>
        <w:pStyle w:val="ListParagraph"/>
        <w:numPr>
          <w:ilvl w:val="2"/>
          <w:numId w:val="1"/>
        </w:numPr>
        <w:tabs>
          <w:tab w:val="left" w:pos="2516"/>
          <w:tab w:val="left" w:pos="2519"/>
        </w:tabs>
        <w:spacing w:line="278" w:lineRule="auto"/>
        <w:ind w:right="1210" w:hanging="400"/>
        <w:contextualSpacing w:val="0"/>
        <w:jc w:val="left"/>
      </w:pPr>
      <w:r>
        <w:t>The</w:t>
      </w:r>
      <w:r>
        <w:rPr>
          <w:spacing w:val="-3"/>
        </w:rPr>
        <w:t xml:space="preserve"> </w:t>
      </w:r>
      <w:r>
        <w:t>reduction</w:t>
      </w:r>
      <w:r>
        <w:rPr>
          <w:spacing w:val="-3"/>
        </w:rPr>
        <w:t xml:space="preserve"> </w:t>
      </w:r>
      <w:r>
        <w:t>in</w:t>
      </w:r>
      <w:r>
        <w:rPr>
          <w:spacing w:val="-3"/>
        </w:rPr>
        <w:t xml:space="preserve"> </w:t>
      </w:r>
      <w:r>
        <w:t>LOC</w:t>
      </w:r>
      <w:r>
        <w:rPr>
          <w:spacing w:val="-4"/>
        </w:rPr>
        <w:t xml:space="preserve"> </w:t>
      </w:r>
      <w:r>
        <w:t>obligations</w:t>
      </w:r>
      <w:r>
        <w:rPr>
          <w:spacing w:val="-3"/>
        </w:rPr>
        <w:t xml:space="preserve"> </w:t>
      </w:r>
      <w:r>
        <w:t>will</w:t>
      </w:r>
      <w:r>
        <w:rPr>
          <w:spacing w:val="-4"/>
        </w:rPr>
        <w:t xml:space="preserve"> </w:t>
      </w:r>
      <w:r>
        <w:t>continue</w:t>
      </w:r>
      <w:r>
        <w:rPr>
          <w:spacing w:val="-3"/>
        </w:rPr>
        <w:t xml:space="preserve"> </w:t>
      </w:r>
      <w:r>
        <w:t>to</w:t>
      </w:r>
      <w:r>
        <w:rPr>
          <w:spacing w:val="-4"/>
        </w:rPr>
        <w:t xml:space="preserve"> </w:t>
      </w:r>
      <w:r>
        <w:t>be</w:t>
      </w:r>
      <w:r>
        <w:rPr>
          <w:spacing w:val="-3"/>
        </w:rPr>
        <w:t xml:space="preserve"> </w:t>
      </w:r>
      <w:r>
        <w:t>allowable</w:t>
      </w:r>
      <w:r>
        <w:rPr>
          <w:spacing w:val="-4"/>
        </w:rPr>
        <w:t xml:space="preserve"> </w:t>
      </w:r>
      <w:r>
        <w:t>even</w:t>
      </w:r>
      <w:r>
        <w:rPr>
          <w:spacing w:val="-3"/>
        </w:rPr>
        <w:t xml:space="preserve"> </w:t>
      </w:r>
      <w:r>
        <w:t>if</w:t>
      </w:r>
      <w:r>
        <w:rPr>
          <w:spacing w:val="-3"/>
        </w:rPr>
        <w:t xml:space="preserve"> </w:t>
      </w:r>
      <w:r>
        <w:t>the subscription rate later drops.</w:t>
      </w:r>
    </w:p>
    <w:p w14:paraId="1009C7C8" w14:textId="77777777" w:rsidR="00246DC7" w:rsidRDefault="00246DC7" w:rsidP="00246DC7">
      <w:pPr>
        <w:pStyle w:val="ListParagraph"/>
        <w:numPr>
          <w:ilvl w:val="1"/>
          <w:numId w:val="1"/>
        </w:numPr>
        <w:tabs>
          <w:tab w:val="left" w:pos="1799"/>
        </w:tabs>
        <w:spacing w:line="278" w:lineRule="auto"/>
        <w:ind w:right="636"/>
        <w:contextualSpacing w:val="0"/>
      </w:pPr>
      <w:r>
        <w:t>Regardless</w:t>
      </w:r>
      <w:r>
        <w:rPr>
          <w:spacing w:val="-5"/>
        </w:rPr>
        <w:t xml:space="preserve"> </w:t>
      </w:r>
      <w:r>
        <w:t>of</w:t>
      </w:r>
      <w:r>
        <w:rPr>
          <w:spacing w:val="-4"/>
        </w:rPr>
        <w:t xml:space="preserve"> </w:t>
      </w:r>
      <w:r>
        <w:t>subscription</w:t>
      </w:r>
      <w:r>
        <w:rPr>
          <w:spacing w:val="-4"/>
        </w:rPr>
        <w:t xml:space="preserve"> </w:t>
      </w:r>
      <w:r>
        <w:t>rates,</w:t>
      </w:r>
      <w:r>
        <w:rPr>
          <w:spacing w:val="-4"/>
        </w:rPr>
        <w:t xml:space="preserve"> </w:t>
      </w:r>
      <w:r>
        <w:t>the</w:t>
      </w:r>
      <w:r>
        <w:rPr>
          <w:spacing w:val="-5"/>
        </w:rPr>
        <w:t xml:space="preserve"> </w:t>
      </w:r>
      <w:r>
        <w:t>LOC</w:t>
      </w:r>
      <w:r>
        <w:rPr>
          <w:spacing w:val="-3"/>
        </w:rPr>
        <w:t xml:space="preserve"> </w:t>
      </w:r>
      <w:r>
        <w:t>may</w:t>
      </w:r>
      <w:r>
        <w:rPr>
          <w:spacing w:val="-4"/>
        </w:rPr>
        <w:t xml:space="preserve"> </w:t>
      </w:r>
      <w:r>
        <w:t>be</w:t>
      </w:r>
      <w:r>
        <w:rPr>
          <w:spacing w:val="-4"/>
        </w:rPr>
        <w:t xml:space="preserve"> </w:t>
      </w:r>
      <w:r>
        <w:t>terminated</w:t>
      </w:r>
      <w:r>
        <w:rPr>
          <w:spacing w:val="-4"/>
        </w:rPr>
        <w:t xml:space="preserve"> </w:t>
      </w:r>
      <w:r>
        <w:t>four</w:t>
      </w:r>
      <w:r>
        <w:rPr>
          <w:spacing w:val="-4"/>
        </w:rPr>
        <w:t xml:space="preserve"> </w:t>
      </w:r>
      <w:r>
        <w:t>years</w:t>
      </w:r>
      <w:r>
        <w:rPr>
          <w:spacing w:val="-4"/>
        </w:rPr>
        <w:t xml:space="preserve"> </w:t>
      </w:r>
      <w:r>
        <w:t>after</w:t>
      </w:r>
      <w:r>
        <w:rPr>
          <w:spacing w:val="-4"/>
        </w:rPr>
        <w:t xml:space="preserve"> </w:t>
      </w:r>
      <w:r>
        <w:t>Grantee certifies to BPU that it can initiate broadband service within ten (10) business days of a request to any covered BSL in the Project Area.</w:t>
      </w:r>
    </w:p>
    <w:p w14:paraId="6241FD93" w14:textId="77777777" w:rsidR="00246DC7" w:rsidRDefault="00246DC7" w:rsidP="00246DC7">
      <w:pPr>
        <w:pStyle w:val="BodyText"/>
        <w:spacing w:before="25"/>
      </w:pPr>
    </w:p>
    <w:p w14:paraId="18A9D9E7" w14:textId="77777777" w:rsidR="00246DC7" w:rsidRDefault="00246DC7" w:rsidP="00246DC7">
      <w:pPr>
        <w:pStyle w:val="Heading3"/>
        <w:numPr>
          <w:ilvl w:val="0"/>
          <w:numId w:val="1"/>
        </w:numPr>
        <w:tabs>
          <w:tab w:val="num" w:pos="360"/>
          <w:tab w:val="left" w:pos="1079"/>
        </w:tabs>
        <w:spacing w:before="1"/>
        <w:ind w:left="0" w:hanging="543"/>
      </w:pPr>
      <w:r>
        <w:rPr>
          <w:spacing w:val="-2"/>
        </w:rPr>
        <w:t>LEO FINANCIAL</w:t>
      </w:r>
      <w:r>
        <w:rPr>
          <w:spacing w:val="-4"/>
        </w:rPr>
        <w:t xml:space="preserve"> </w:t>
      </w:r>
      <w:r>
        <w:rPr>
          <w:spacing w:val="-2"/>
        </w:rPr>
        <w:t>CERTIFICATION</w:t>
      </w:r>
      <w:r>
        <w:rPr>
          <w:spacing w:val="-1"/>
        </w:rPr>
        <w:t xml:space="preserve"> </w:t>
      </w:r>
      <w:r>
        <w:rPr>
          <w:spacing w:val="-2"/>
        </w:rPr>
        <w:t>[if</w:t>
      </w:r>
      <w:r>
        <w:t xml:space="preserve"> </w:t>
      </w:r>
      <w:r>
        <w:rPr>
          <w:spacing w:val="-2"/>
        </w:rPr>
        <w:t>applicable]</w:t>
      </w:r>
    </w:p>
    <w:p w14:paraId="4719432B" w14:textId="77777777" w:rsidR="00246DC7" w:rsidRDefault="00246DC7" w:rsidP="00246DC7">
      <w:pPr>
        <w:pStyle w:val="ListParagraph"/>
        <w:numPr>
          <w:ilvl w:val="1"/>
          <w:numId w:val="1"/>
        </w:numPr>
        <w:tabs>
          <w:tab w:val="left" w:pos="1799"/>
        </w:tabs>
        <w:spacing w:before="39" w:line="278" w:lineRule="auto"/>
        <w:ind w:right="566"/>
        <w:contextualSpacing w:val="0"/>
      </w:pPr>
      <w:r>
        <w:t>Prior to execution of the</w:t>
      </w:r>
      <w:r>
        <w:rPr>
          <w:spacing w:val="-4"/>
        </w:rPr>
        <w:t xml:space="preserve"> </w:t>
      </w:r>
      <w:r>
        <w:t>Agreement, Grantee shall submit a fully executed Parental Guarantee</w:t>
      </w:r>
      <w:r>
        <w:rPr>
          <w:spacing w:val="-15"/>
        </w:rPr>
        <w:t xml:space="preserve"> </w:t>
      </w:r>
      <w:r>
        <w:t>Agreement</w:t>
      </w:r>
      <w:r>
        <w:rPr>
          <w:spacing w:val="-4"/>
        </w:rPr>
        <w:t xml:space="preserve"> </w:t>
      </w:r>
      <w:r>
        <w:t>to</w:t>
      </w:r>
      <w:r>
        <w:rPr>
          <w:spacing w:val="-4"/>
        </w:rPr>
        <w:t xml:space="preserve"> </w:t>
      </w:r>
      <w:r>
        <w:t>BPU,</w:t>
      </w:r>
      <w:r>
        <w:rPr>
          <w:spacing w:val="-4"/>
        </w:rPr>
        <w:t xml:space="preserve"> </w:t>
      </w:r>
      <w:r>
        <w:t>signed</w:t>
      </w:r>
      <w:r>
        <w:rPr>
          <w:spacing w:val="-4"/>
        </w:rPr>
        <w:t xml:space="preserve"> </w:t>
      </w:r>
      <w:r>
        <w:t>by</w:t>
      </w:r>
      <w:r>
        <w:rPr>
          <w:spacing w:val="-4"/>
        </w:rPr>
        <w:t xml:space="preserve"> </w:t>
      </w:r>
      <w:r>
        <w:t>an</w:t>
      </w:r>
      <w:r>
        <w:rPr>
          <w:spacing w:val="-4"/>
        </w:rPr>
        <w:t xml:space="preserve"> </w:t>
      </w:r>
      <w:r>
        <w:t>official</w:t>
      </w:r>
      <w:r>
        <w:rPr>
          <w:spacing w:val="-4"/>
        </w:rPr>
        <w:t xml:space="preserve"> </w:t>
      </w:r>
      <w:r>
        <w:t>authorized</w:t>
      </w:r>
      <w:r>
        <w:rPr>
          <w:spacing w:val="-4"/>
        </w:rPr>
        <w:t xml:space="preserve"> </w:t>
      </w:r>
      <w:r>
        <w:t>to</w:t>
      </w:r>
      <w:r>
        <w:rPr>
          <w:spacing w:val="-4"/>
        </w:rPr>
        <w:t xml:space="preserve"> </w:t>
      </w:r>
      <w:r>
        <w:t>bind</w:t>
      </w:r>
      <w:r>
        <w:rPr>
          <w:spacing w:val="-4"/>
        </w:rPr>
        <w:t xml:space="preserve"> </w:t>
      </w:r>
      <w:r>
        <w:t>Grantee</w:t>
      </w:r>
      <w:r>
        <w:rPr>
          <w:spacing w:val="-4"/>
        </w:rPr>
        <w:t xml:space="preserve"> </w:t>
      </w:r>
      <w:r>
        <w:t>and</w:t>
      </w:r>
      <w:r>
        <w:rPr>
          <w:spacing w:val="-4"/>
        </w:rPr>
        <w:t xml:space="preserve"> </w:t>
      </w:r>
      <w:r>
        <w:t>the proposed Parental Guarantor.</w:t>
      </w:r>
    </w:p>
    <w:p w14:paraId="2F3290B4" w14:textId="77777777" w:rsidR="00246DC7" w:rsidRDefault="00246DC7" w:rsidP="00246DC7">
      <w:pPr>
        <w:pStyle w:val="ListParagraph"/>
        <w:spacing w:line="278" w:lineRule="auto"/>
        <w:sectPr w:rsidR="00246DC7" w:rsidSect="00246DC7">
          <w:pgSz w:w="12240" w:h="15840"/>
          <w:pgMar w:top="1360" w:right="720" w:bottom="280" w:left="720" w:header="720" w:footer="720" w:gutter="0"/>
          <w:cols w:space="720"/>
        </w:sectPr>
      </w:pPr>
    </w:p>
    <w:p w14:paraId="41E61931" w14:textId="77777777" w:rsidR="00246DC7" w:rsidRDefault="00246DC7" w:rsidP="00246DC7">
      <w:pPr>
        <w:pStyle w:val="BodyText"/>
        <w:spacing w:before="80" w:line="278" w:lineRule="auto"/>
        <w:ind w:left="1800" w:right="372"/>
      </w:pPr>
      <w:r>
        <w:lastRenderedPageBreak/>
        <w:t>The template for the Parental Guarantee</w:t>
      </w:r>
      <w:r>
        <w:rPr>
          <w:spacing w:val="-4"/>
        </w:rPr>
        <w:t xml:space="preserve"> </w:t>
      </w:r>
      <w:r>
        <w:t>Agreement shall conform to the form provided by</w:t>
      </w:r>
      <w:r>
        <w:rPr>
          <w:spacing w:val="-4"/>
        </w:rPr>
        <w:t xml:space="preserve"> </w:t>
      </w:r>
      <w:r>
        <w:t>NTIA</w:t>
      </w:r>
      <w:r>
        <w:rPr>
          <w:spacing w:val="-16"/>
        </w:rPr>
        <w:t xml:space="preserve"> </w:t>
      </w:r>
      <w:r>
        <w:t>at</w:t>
      </w:r>
      <w:r>
        <w:rPr>
          <w:spacing w:val="-15"/>
        </w:rPr>
        <w:t xml:space="preserve"> </w:t>
      </w:r>
      <w:r>
        <w:t>Appendix</w:t>
      </w:r>
      <w:r>
        <w:rPr>
          <w:spacing w:val="-15"/>
        </w:rPr>
        <w:t xml:space="preserve"> </w:t>
      </w:r>
      <w:r>
        <w:t>A</w:t>
      </w:r>
      <w:r>
        <w:rPr>
          <w:spacing w:val="-16"/>
        </w:rPr>
        <w:t xml:space="preserve"> </w:t>
      </w:r>
      <w:r>
        <w:t>of</w:t>
      </w:r>
      <w:r>
        <w:rPr>
          <w:spacing w:val="-5"/>
        </w:rPr>
        <w:t xml:space="preserve"> </w:t>
      </w:r>
      <w:r>
        <w:t>NTIA’s</w:t>
      </w:r>
      <w:r>
        <w:rPr>
          <w:spacing w:val="-4"/>
        </w:rPr>
        <w:t xml:space="preserve"> </w:t>
      </w:r>
      <w:r>
        <w:t>July</w:t>
      </w:r>
      <w:r>
        <w:rPr>
          <w:spacing w:val="-4"/>
        </w:rPr>
        <w:t xml:space="preserve"> </w:t>
      </w:r>
      <w:r>
        <w:t>18,</w:t>
      </w:r>
      <w:r>
        <w:rPr>
          <w:spacing w:val="-4"/>
        </w:rPr>
        <w:t xml:space="preserve"> </w:t>
      </w:r>
      <w:r>
        <w:t>2025,</w:t>
      </w:r>
      <w:r>
        <w:rPr>
          <w:spacing w:val="-4"/>
        </w:rPr>
        <w:t xml:space="preserve"> </w:t>
      </w:r>
      <w:r>
        <w:t>BEAD</w:t>
      </w:r>
      <w:r>
        <w:rPr>
          <w:spacing w:val="-5"/>
        </w:rPr>
        <w:t xml:space="preserve"> </w:t>
      </w:r>
      <w:r>
        <w:t>Low</w:t>
      </w:r>
      <w:r>
        <w:rPr>
          <w:spacing w:val="-5"/>
        </w:rPr>
        <w:t xml:space="preserve"> </w:t>
      </w:r>
      <w:r>
        <w:t>Earth</w:t>
      </w:r>
      <w:r>
        <w:rPr>
          <w:spacing w:val="-4"/>
        </w:rPr>
        <w:t xml:space="preserve"> </w:t>
      </w:r>
      <w:r>
        <w:t>Orbit</w:t>
      </w:r>
      <w:r>
        <w:rPr>
          <w:spacing w:val="-4"/>
        </w:rPr>
        <w:t xml:space="preserve"> </w:t>
      </w:r>
      <w:r>
        <w:t>Provider</w:t>
      </w:r>
      <w:r>
        <w:rPr>
          <w:spacing w:val="-4"/>
        </w:rPr>
        <w:t xml:space="preserve"> </w:t>
      </w:r>
      <w:r>
        <w:t xml:space="preserve">Financial </w:t>
      </w:r>
      <w:r>
        <w:rPr>
          <w:spacing w:val="-2"/>
        </w:rPr>
        <w:t>Certification.</w:t>
      </w:r>
    </w:p>
    <w:p w14:paraId="33613170" w14:textId="77777777" w:rsidR="00246DC7" w:rsidRDefault="00246DC7" w:rsidP="00246DC7">
      <w:pPr>
        <w:pStyle w:val="BodyText"/>
        <w:spacing w:before="38"/>
      </w:pPr>
    </w:p>
    <w:p w14:paraId="32B257DA" w14:textId="77777777" w:rsidR="00246DC7" w:rsidRDefault="00246DC7" w:rsidP="00246DC7">
      <w:pPr>
        <w:pStyle w:val="Heading2"/>
        <w:numPr>
          <w:ilvl w:val="0"/>
          <w:numId w:val="1"/>
        </w:numPr>
        <w:tabs>
          <w:tab w:val="num" w:pos="360"/>
          <w:tab w:val="left" w:pos="1079"/>
        </w:tabs>
        <w:spacing w:before="1"/>
        <w:ind w:left="0" w:hanging="543"/>
      </w:pPr>
      <w:r>
        <w:rPr>
          <w:spacing w:val="-2"/>
        </w:rPr>
        <w:t>CUSTOMER</w:t>
      </w:r>
      <w:r>
        <w:rPr>
          <w:spacing w:val="-1"/>
        </w:rPr>
        <w:t xml:space="preserve"> </w:t>
      </w:r>
      <w:r>
        <w:rPr>
          <w:spacing w:val="-2"/>
        </w:rPr>
        <w:t>PREMISES</w:t>
      </w:r>
      <w:r>
        <w:t xml:space="preserve"> </w:t>
      </w:r>
      <w:r>
        <w:rPr>
          <w:spacing w:val="-2"/>
        </w:rPr>
        <w:t>EQUIPMENT</w:t>
      </w:r>
    </w:p>
    <w:p w14:paraId="7EE10894" w14:textId="77777777" w:rsidR="00246DC7" w:rsidRDefault="00246DC7" w:rsidP="00246DC7">
      <w:pPr>
        <w:pStyle w:val="ListParagraph"/>
        <w:numPr>
          <w:ilvl w:val="1"/>
          <w:numId w:val="1"/>
        </w:numPr>
        <w:tabs>
          <w:tab w:val="left" w:pos="1799"/>
        </w:tabs>
        <w:spacing w:before="39" w:line="278" w:lineRule="auto"/>
        <w:ind w:right="599"/>
        <w:contextualSpacing w:val="0"/>
      </w:pPr>
      <w:r>
        <w:t>Grantee</w:t>
      </w:r>
      <w:r>
        <w:rPr>
          <w:spacing w:val="-4"/>
        </w:rPr>
        <w:t xml:space="preserve"> </w:t>
      </w:r>
      <w:r>
        <w:t>is</w:t>
      </w:r>
      <w:r>
        <w:rPr>
          <w:spacing w:val="-4"/>
        </w:rPr>
        <w:t xml:space="preserve"> </w:t>
      </w:r>
      <w:r>
        <w:t>responsible</w:t>
      </w:r>
      <w:r>
        <w:rPr>
          <w:spacing w:val="-5"/>
        </w:rPr>
        <w:t xml:space="preserve"> </w:t>
      </w:r>
      <w:r>
        <w:t>for</w:t>
      </w:r>
      <w:r>
        <w:rPr>
          <w:spacing w:val="-4"/>
        </w:rPr>
        <w:t xml:space="preserve"> </w:t>
      </w:r>
      <w:r>
        <w:t>providing</w:t>
      </w:r>
      <w:r>
        <w:rPr>
          <w:spacing w:val="-5"/>
        </w:rPr>
        <w:t xml:space="preserve"> </w:t>
      </w:r>
      <w:r>
        <w:t>customer</w:t>
      </w:r>
      <w:r>
        <w:rPr>
          <w:spacing w:val="-4"/>
        </w:rPr>
        <w:t xml:space="preserve"> </w:t>
      </w:r>
      <w:r>
        <w:t>premises</w:t>
      </w:r>
      <w:r>
        <w:rPr>
          <w:spacing w:val="-4"/>
        </w:rPr>
        <w:t xml:space="preserve"> </w:t>
      </w:r>
      <w:r>
        <w:t>equipment</w:t>
      </w:r>
      <w:r>
        <w:rPr>
          <w:spacing w:val="-4"/>
        </w:rPr>
        <w:t xml:space="preserve"> </w:t>
      </w:r>
      <w:r>
        <w:t>(CPE)</w:t>
      </w:r>
      <w:r>
        <w:rPr>
          <w:spacing w:val="-4"/>
        </w:rPr>
        <w:t xml:space="preserve"> </w:t>
      </w:r>
      <w:r>
        <w:t>at</w:t>
      </w:r>
      <w:r>
        <w:rPr>
          <w:spacing w:val="-4"/>
        </w:rPr>
        <w:t xml:space="preserve"> </w:t>
      </w:r>
      <w:r>
        <w:t>no</w:t>
      </w:r>
      <w:r>
        <w:rPr>
          <w:spacing w:val="-4"/>
        </w:rPr>
        <w:t xml:space="preserve"> </w:t>
      </w:r>
      <w:r>
        <w:t>cost</w:t>
      </w:r>
      <w:r>
        <w:rPr>
          <w:spacing w:val="-4"/>
        </w:rPr>
        <w:t xml:space="preserve"> </w:t>
      </w:r>
      <w:r>
        <w:t xml:space="preserve">to the customer. CPE costs to Grantee are not reimbursable expenses under the BEAD </w:t>
      </w:r>
      <w:r>
        <w:rPr>
          <w:spacing w:val="-2"/>
        </w:rPr>
        <w:t>program.</w:t>
      </w:r>
    </w:p>
    <w:p w14:paraId="1A13136C" w14:textId="77777777" w:rsidR="00246DC7" w:rsidRDefault="00246DC7" w:rsidP="00246DC7">
      <w:pPr>
        <w:pStyle w:val="ListParagraph"/>
        <w:numPr>
          <w:ilvl w:val="1"/>
          <w:numId w:val="1"/>
        </w:numPr>
        <w:tabs>
          <w:tab w:val="left" w:pos="1799"/>
        </w:tabs>
        <w:spacing w:line="278" w:lineRule="auto"/>
        <w:ind w:right="489"/>
        <w:contextualSpacing w:val="0"/>
      </w:pPr>
      <w:r>
        <w:t>Grantee</w:t>
      </w:r>
      <w:r>
        <w:rPr>
          <w:spacing w:val="-3"/>
        </w:rPr>
        <w:t xml:space="preserve"> </w:t>
      </w:r>
      <w:r>
        <w:t>must</w:t>
      </w:r>
      <w:r>
        <w:rPr>
          <w:spacing w:val="-3"/>
        </w:rPr>
        <w:t xml:space="preserve"> </w:t>
      </w:r>
      <w:r>
        <w:t>provide</w:t>
      </w:r>
      <w:r>
        <w:rPr>
          <w:spacing w:val="-3"/>
        </w:rPr>
        <w:t xml:space="preserve"> </w:t>
      </w:r>
      <w:r>
        <w:t>all</w:t>
      </w:r>
      <w:r>
        <w:rPr>
          <w:spacing w:val="-3"/>
        </w:rPr>
        <w:t xml:space="preserve"> </w:t>
      </w:r>
      <w:r>
        <w:t>necessary</w:t>
      </w:r>
      <w:r>
        <w:rPr>
          <w:spacing w:val="-4"/>
        </w:rPr>
        <w:t xml:space="preserve"> </w:t>
      </w:r>
      <w:r>
        <w:t>customer</w:t>
      </w:r>
      <w:r>
        <w:rPr>
          <w:spacing w:val="-3"/>
        </w:rPr>
        <w:t xml:space="preserve"> </w:t>
      </w:r>
      <w:r>
        <w:t>CPE</w:t>
      </w:r>
      <w:r>
        <w:rPr>
          <w:spacing w:val="-3"/>
        </w:rPr>
        <w:t xml:space="preserve"> </w:t>
      </w:r>
      <w:r>
        <w:t>at</w:t>
      </w:r>
      <w:r>
        <w:rPr>
          <w:spacing w:val="-3"/>
        </w:rPr>
        <w:t xml:space="preserve"> </w:t>
      </w:r>
      <w:r>
        <w:t>no</w:t>
      </w:r>
      <w:r>
        <w:rPr>
          <w:spacing w:val="-3"/>
        </w:rPr>
        <w:t xml:space="preserve"> </w:t>
      </w:r>
      <w:r>
        <w:t>cost</w:t>
      </w:r>
      <w:r>
        <w:rPr>
          <w:spacing w:val="-3"/>
        </w:rPr>
        <w:t xml:space="preserve"> </w:t>
      </w:r>
      <w:r>
        <w:t>to</w:t>
      </w:r>
      <w:r>
        <w:rPr>
          <w:spacing w:val="-3"/>
        </w:rPr>
        <w:t xml:space="preserve"> </w:t>
      </w:r>
      <w:r>
        <w:t>the</w:t>
      </w:r>
      <w:r>
        <w:rPr>
          <w:spacing w:val="-3"/>
        </w:rPr>
        <w:t xml:space="preserve"> </w:t>
      </w:r>
      <w:r>
        <w:t>customer</w:t>
      </w:r>
      <w:r>
        <w:rPr>
          <w:spacing w:val="-3"/>
        </w:rPr>
        <w:t xml:space="preserve"> </w:t>
      </w:r>
      <w:r>
        <w:t>as</w:t>
      </w:r>
      <w:r>
        <w:rPr>
          <w:spacing w:val="-3"/>
        </w:rPr>
        <w:t xml:space="preserve"> </w:t>
      </w:r>
      <w:r>
        <w:t>part</w:t>
      </w:r>
      <w:r>
        <w:rPr>
          <w:spacing w:val="-3"/>
        </w:rPr>
        <w:t xml:space="preserve"> </w:t>
      </w:r>
      <w:r>
        <w:t>of the standard installation for each new subscriber (i.e. for each new resident or group of residents) at BEAD-funded locations throughout the Extended Period of Performance.</w:t>
      </w:r>
    </w:p>
    <w:p w14:paraId="68DCE13C" w14:textId="77777777" w:rsidR="00246DC7" w:rsidRDefault="00246DC7" w:rsidP="00246DC7">
      <w:pPr>
        <w:pStyle w:val="ListParagraph"/>
        <w:numPr>
          <w:ilvl w:val="1"/>
          <w:numId w:val="1"/>
        </w:numPr>
        <w:tabs>
          <w:tab w:val="left" w:pos="1799"/>
        </w:tabs>
        <w:spacing w:line="278" w:lineRule="auto"/>
        <w:ind w:right="1049"/>
        <w:contextualSpacing w:val="0"/>
      </w:pPr>
      <w:r>
        <w:t>The</w:t>
      </w:r>
      <w:r>
        <w:rPr>
          <w:spacing w:val="-3"/>
        </w:rPr>
        <w:t xml:space="preserve"> </w:t>
      </w:r>
      <w:r>
        <w:t>CPE</w:t>
      </w:r>
      <w:r>
        <w:rPr>
          <w:spacing w:val="-3"/>
        </w:rPr>
        <w:t xml:space="preserve"> </w:t>
      </w:r>
      <w:r>
        <w:t>obligation</w:t>
      </w:r>
      <w:r>
        <w:rPr>
          <w:spacing w:val="-3"/>
        </w:rPr>
        <w:t xml:space="preserve"> </w:t>
      </w:r>
      <w:r>
        <w:t>is</w:t>
      </w:r>
      <w:r>
        <w:rPr>
          <w:spacing w:val="-3"/>
        </w:rPr>
        <w:t xml:space="preserve"> </w:t>
      </w:r>
      <w:r>
        <w:t>limited</w:t>
      </w:r>
      <w:r>
        <w:rPr>
          <w:spacing w:val="-3"/>
        </w:rPr>
        <w:t xml:space="preserve"> </w:t>
      </w:r>
      <w:r>
        <w:t>to</w:t>
      </w:r>
      <w:r>
        <w:rPr>
          <w:spacing w:val="-3"/>
        </w:rPr>
        <w:t xml:space="preserve"> </w:t>
      </w:r>
      <w:r>
        <w:t>no</w:t>
      </w:r>
      <w:r>
        <w:rPr>
          <w:spacing w:val="-3"/>
        </w:rPr>
        <w:t xml:space="preserve"> </w:t>
      </w:r>
      <w:r>
        <w:t>more</w:t>
      </w:r>
      <w:r>
        <w:rPr>
          <w:spacing w:val="-3"/>
        </w:rPr>
        <w:t xml:space="preserve"> </w:t>
      </w:r>
      <w:r>
        <w:t>than</w:t>
      </w:r>
      <w:r>
        <w:rPr>
          <w:spacing w:val="-3"/>
        </w:rPr>
        <w:t xml:space="preserve"> </w:t>
      </w:r>
      <w:r>
        <w:t>three</w:t>
      </w:r>
      <w:r>
        <w:rPr>
          <w:spacing w:val="-3"/>
        </w:rPr>
        <w:t xml:space="preserve"> </w:t>
      </w:r>
      <w:r>
        <w:t>(3)</w:t>
      </w:r>
      <w:r>
        <w:rPr>
          <w:spacing w:val="-3"/>
        </w:rPr>
        <w:t xml:space="preserve"> </w:t>
      </w:r>
      <w:r>
        <w:t>CPEs</w:t>
      </w:r>
      <w:r>
        <w:rPr>
          <w:spacing w:val="-3"/>
        </w:rPr>
        <w:t xml:space="preserve"> </w:t>
      </w:r>
      <w:r>
        <w:t>at</w:t>
      </w:r>
      <w:r>
        <w:rPr>
          <w:spacing w:val="-3"/>
        </w:rPr>
        <w:t xml:space="preserve"> </w:t>
      </w:r>
      <w:r>
        <w:t>the</w:t>
      </w:r>
      <w:r>
        <w:rPr>
          <w:spacing w:val="-3"/>
        </w:rPr>
        <w:t xml:space="preserve"> </w:t>
      </w:r>
      <w:r>
        <w:t>BEAD-funded location during the Extended Period of Performance.</w:t>
      </w:r>
    </w:p>
    <w:p w14:paraId="7CB9B42D" w14:textId="77777777" w:rsidR="00246DC7" w:rsidRDefault="00246DC7" w:rsidP="00246DC7">
      <w:pPr>
        <w:pStyle w:val="ListParagraph"/>
        <w:numPr>
          <w:ilvl w:val="1"/>
          <w:numId w:val="1"/>
        </w:numPr>
        <w:tabs>
          <w:tab w:val="left" w:pos="1799"/>
        </w:tabs>
        <w:spacing w:line="278" w:lineRule="auto"/>
        <w:ind w:right="683"/>
        <w:contextualSpacing w:val="0"/>
        <w:jc w:val="both"/>
      </w:pPr>
      <w:r>
        <w:t>If</w:t>
      </w:r>
      <w:r>
        <w:rPr>
          <w:spacing w:val="-4"/>
        </w:rPr>
        <w:t xml:space="preserve"> </w:t>
      </w:r>
      <w:r>
        <w:t>the</w:t>
      </w:r>
      <w:r>
        <w:rPr>
          <w:spacing w:val="-4"/>
        </w:rPr>
        <w:t xml:space="preserve"> </w:t>
      </w:r>
      <w:r>
        <w:t>same</w:t>
      </w:r>
      <w:r>
        <w:rPr>
          <w:spacing w:val="-4"/>
        </w:rPr>
        <w:t xml:space="preserve"> </w:t>
      </w:r>
      <w:r>
        <w:t>subscriber</w:t>
      </w:r>
      <w:r>
        <w:rPr>
          <w:spacing w:val="-4"/>
        </w:rPr>
        <w:t xml:space="preserve"> </w:t>
      </w:r>
      <w:r>
        <w:t>requests</w:t>
      </w:r>
      <w:r>
        <w:rPr>
          <w:spacing w:val="-4"/>
        </w:rPr>
        <w:t xml:space="preserve"> </w:t>
      </w:r>
      <w:r>
        <w:t>additional</w:t>
      </w:r>
      <w:r>
        <w:rPr>
          <w:spacing w:val="-4"/>
        </w:rPr>
        <w:t xml:space="preserve"> </w:t>
      </w:r>
      <w:r>
        <w:t>CPE</w:t>
      </w:r>
      <w:r>
        <w:rPr>
          <w:spacing w:val="-4"/>
        </w:rPr>
        <w:t xml:space="preserve"> </w:t>
      </w:r>
      <w:r>
        <w:t>after</w:t>
      </w:r>
      <w:r>
        <w:rPr>
          <w:spacing w:val="-4"/>
        </w:rPr>
        <w:t xml:space="preserve"> </w:t>
      </w:r>
      <w:r>
        <w:t>installation,</w:t>
      </w:r>
      <w:r>
        <w:rPr>
          <w:spacing w:val="-4"/>
        </w:rPr>
        <w:t xml:space="preserve"> </w:t>
      </w:r>
      <w:r>
        <w:t>Grantee</w:t>
      </w:r>
      <w:r>
        <w:rPr>
          <w:spacing w:val="-4"/>
        </w:rPr>
        <w:t xml:space="preserve"> </w:t>
      </w:r>
      <w:r>
        <w:t>may</w:t>
      </w:r>
      <w:r>
        <w:rPr>
          <w:spacing w:val="-4"/>
        </w:rPr>
        <w:t xml:space="preserve"> </w:t>
      </w:r>
      <w:r>
        <w:t>charge customary</w:t>
      </w:r>
      <w:r>
        <w:rPr>
          <w:spacing w:val="-4"/>
        </w:rPr>
        <w:t xml:space="preserve"> </w:t>
      </w:r>
      <w:r>
        <w:t>rates</w:t>
      </w:r>
      <w:r>
        <w:rPr>
          <w:spacing w:val="-4"/>
        </w:rPr>
        <w:t xml:space="preserve"> </w:t>
      </w:r>
      <w:r>
        <w:t>unless</w:t>
      </w:r>
      <w:r>
        <w:rPr>
          <w:spacing w:val="-5"/>
        </w:rPr>
        <w:t xml:space="preserve"> </w:t>
      </w:r>
      <w:r>
        <w:t>the</w:t>
      </w:r>
      <w:r>
        <w:rPr>
          <w:spacing w:val="-4"/>
        </w:rPr>
        <w:t xml:space="preserve"> </w:t>
      </w:r>
      <w:r>
        <w:t>request</w:t>
      </w:r>
      <w:r>
        <w:rPr>
          <w:spacing w:val="-4"/>
        </w:rPr>
        <w:t xml:space="preserve"> </w:t>
      </w:r>
      <w:r>
        <w:t>is</w:t>
      </w:r>
      <w:r>
        <w:rPr>
          <w:spacing w:val="-4"/>
        </w:rPr>
        <w:t xml:space="preserve"> </w:t>
      </w:r>
      <w:r>
        <w:t>made</w:t>
      </w:r>
      <w:r>
        <w:rPr>
          <w:spacing w:val="-4"/>
        </w:rPr>
        <w:t xml:space="preserve"> </w:t>
      </w:r>
      <w:r>
        <w:t>due</w:t>
      </w:r>
      <w:r>
        <w:rPr>
          <w:spacing w:val="-4"/>
        </w:rPr>
        <w:t xml:space="preserve"> </w:t>
      </w:r>
      <w:r>
        <w:t>to</w:t>
      </w:r>
      <w:r>
        <w:rPr>
          <w:spacing w:val="-4"/>
        </w:rPr>
        <w:t xml:space="preserve"> </w:t>
      </w:r>
      <w:r>
        <w:t>equipment</w:t>
      </w:r>
      <w:r>
        <w:rPr>
          <w:spacing w:val="-4"/>
        </w:rPr>
        <w:t xml:space="preserve"> </w:t>
      </w:r>
      <w:r>
        <w:t>malfunction</w:t>
      </w:r>
      <w:r>
        <w:rPr>
          <w:spacing w:val="-4"/>
        </w:rPr>
        <w:t xml:space="preserve"> </w:t>
      </w:r>
      <w:r>
        <w:t>or</w:t>
      </w:r>
      <w:r>
        <w:rPr>
          <w:spacing w:val="-4"/>
        </w:rPr>
        <w:t xml:space="preserve"> </w:t>
      </w:r>
      <w:r>
        <w:t>damage caused by a weather event.</w:t>
      </w:r>
    </w:p>
    <w:p w14:paraId="7B422C70" w14:textId="77777777" w:rsidR="00246DC7" w:rsidRDefault="00246DC7" w:rsidP="00246DC7">
      <w:pPr>
        <w:pStyle w:val="BodyText"/>
        <w:spacing w:before="35"/>
      </w:pPr>
    </w:p>
    <w:p w14:paraId="34AFBBE6" w14:textId="77777777" w:rsidR="00246DC7" w:rsidRDefault="00246DC7" w:rsidP="00246DC7">
      <w:pPr>
        <w:pStyle w:val="Heading2"/>
        <w:numPr>
          <w:ilvl w:val="0"/>
          <w:numId w:val="1"/>
        </w:numPr>
        <w:tabs>
          <w:tab w:val="num" w:pos="360"/>
          <w:tab w:val="left" w:pos="1079"/>
        </w:tabs>
        <w:ind w:left="0" w:firstLine="0"/>
      </w:pPr>
      <w:r>
        <w:rPr>
          <w:spacing w:val="-2"/>
        </w:rPr>
        <w:t>REPORTING</w:t>
      </w:r>
      <w:r>
        <w:rPr>
          <w:spacing w:val="-8"/>
        </w:rPr>
        <w:t xml:space="preserve"> </w:t>
      </w:r>
      <w:r>
        <w:rPr>
          <w:spacing w:val="-2"/>
        </w:rPr>
        <w:t>ACKNOWLEDGEMENT</w:t>
      </w:r>
      <w:r>
        <w:rPr>
          <w:spacing w:val="-7"/>
        </w:rPr>
        <w:t xml:space="preserve"> </w:t>
      </w:r>
      <w:r>
        <w:rPr>
          <w:spacing w:val="-2"/>
        </w:rPr>
        <w:t>AND</w:t>
      </w:r>
      <w:r>
        <w:rPr>
          <w:spacing w:val="1"/>
        </w:rPr>
        <w:t xml:space="preserve"> </w:t>
      </w:r>
      <w:r>
        <w:rPr>
          <w:spacing w:val="-2"/>
        </w:rPr>
        <w:t>COMPLIANCE</w:t>
      </w:r>
    </w:p>
    <w:p w14:paraId="54C84018" w14:textId="77777777" w:rsidR="00246DC7" w:rsidRDefault="00246DC7" w:rsidP="00246DC7">
      <w:pPr>
        <w:pStyle w:val="ListParagraph"/>
        <w:numPr>
          <w:ilvl w:val="1"/>
          <w:numId w:val="1"/>
        </w:numPr>
        <w:tabs>
          <w:tab w:val="left" w:pos="1799"/>
        </w:tabs>
        <w:spacing w:before="39" w:line="278" w:lineRule="auto"/>
        <w:ind w:right="903"/>
        <w:contextualSpacing w:val="0"/>
      </w:pPr>
      <w:r>
        <w:t>Grantee</w:t>
      </w:r>
      <w:r>
        <w:rPr>
          <w:spacing w:val="-3"/>
        </w:rPr>
        <w:t xml:space="preserve"> </w:t>
      </w:r>
      <w:r>
        <w:t>acknowledges</w:t>
      </w:r>
      <w:r>
        <w:rPr>
          <w:spacing w:val="-3"/>
        </w:rPr>
        <w:t xml:space="preserve"> </w:t>
      </w:r>
      <w:r>
        <w:t>the</w:t>
      </w:r>
      <w:r>
        <w:rPr>
          <w:spacing w:val="-3"/>
        </w:rPr>
        <w:t xml:space="preserve"> </w:t>
      </w:r>
      <w:r>
        <w:t>reporting</w:t>
      </w:r>
      <w:r>
        <w:rPr>
          <w:spacing w:val="-4"/>
        </w:rPr>
        <w:t xml:space="preserve"> </w:t>
      </w:r>
      <w:r>
        <w:t>obligations</w:t>
      </w:r>
      <w:r>
        <w:rPr>
          <w:spacing w:val="-4"/>
        </w:rPr>
        <w:t xml:space="preserve"> </w:t>
      </w:r>
      <w:r>
        <w:t>set</w:t>
      </w:r>
      <w:r>
        <w:rPr>
          <w:spacing w:val="-3"/>
        </w:rPr>
        <w:t xml:space="preserve"> </w:t>
      </w:r>
      <w:r>
        <w:t>forth</w:t>
      </w:r>
      <w:r>
        <w:rPr>
          <w:spacing w:val="-3"/>
        </w:rPr>
        <w:t xml:space="preserve"> </w:t>
      </w:r>
      <w:r>
        <w:t>in</w:t>
      </w:r>
      <w:r>
        <w:rPr>
          <w:spacing w:val="-3"/>
        </w:rPr>
        <w:t xml:space="preserve"> </w:t>
      </w:r>
      <w:r>
        <w:t>Exhibit</w:t>
      </w:r>
      <w:r>
        <w:rPr>
          <w:spacing w:val="-3"/>
        </w:rPr>
        <w:t xml:space="preserve"> </w:t>
      </w:r>
      <w:r>
        <w:t>D</w:t>
      </w:r>
      <w:r>
        <w:rPr>
          <w:spacing w:val="-4"/>
        </w:rPr>
        <w:t xml:space="preserve"> </w:t>
      </w:r>
      <w:r>
        <w:t>and</w:t>
      </w:r>
      <w:r>
        <w:rPr>
          <w:spacing w:val="-3"/>
        </w:rPr>
        <w:t xml:space="preserve"> </w:t>
      </w:r>
      <w:r>
        <w:t>agrees</w:t>
      </w:r>
      <w:r>
        <w:rPr>
          <w:spacing w:val="-3"/>
        </w:rPr>
        <w:t xml:space="preserve"> </w:t>
      </w:r>
      <w:r>
        <w:t>to comply with the reporting requirements set forth in Exhibit D.</w:t>
      </w:r>
    </w:p>
    <w:p w14:paraId="214FB4E2" w14:textId="77777777" w:rsidR="00246DC7" w:rsidRDefault="00246DC7" w:rsidP="00246DC7">
      <w:pPr>
        <w:pStyle w:val="ListParagraph"/>
        <w:numPr>
          <w:ilvl w:val="1"/>
          <w:numId w:val="1"/>
        </w:numPr>
        <w:tabs>
          <w:tab w:val="left" w:pos="1799"/>
        </w:tabs>
        <w:spacing w:line="278" w:lineRule="auto"/>
        <w:ind w:right="536"/>
        <w:contextualSpacing w:val="0"/>
      </w:pPr>
      <w:r>
        <w:t xml:space="preserve">Delay of </w:t>
      </w:r>
      <w:proofErr w:type="gramStart"/>
      <w:r>
        <w:t>or to</w:t>
      </w:r>
      <w:proofErr w:type="gramEnd"/>
      <w:r>
        <w:t xml:space="preserve"> failure to comply fully with these conditions will result in holds on BEAD payments</w:t>
      </w:r>
      <w:r>
        <w:rPr>
          <w:spacing w:val="-4"/>
        </w:rPr>
        <w:t xml:space="preserve"> </w:t>
      </w:r>
      <w:r>
        <w:t>and</w:t>
      </w:r>
      <w:r>
        <w:rPr>
          <w:spacing w:val="-4"/>
        </w:rPr>
        <w:t xml:space="preserve"> </w:t>
      </w:r>
      <w:r>
        <w:t>reimbursements</w:t>
      </w:r>
      <w:r>
        <w:rPr>
          <w:spacing w:val="-4"/>
        </w:rPr>
        <w:t xml:space="preserve"> </w:t>
      </w:r>
      <w:r>
        <w:t>or</w:t>
      </w:r>
      <w:r>
        <w:rPr>
          <w:spacing w:val="-4"/>
        </w:rPr>
        <w:t xml:space="preserve"> </w:t>
      </w:r>
      <w:r>
        <w:t>suspension</w:t>
      </w:r>
      <w:r>
        <w:rPr>
          <w:spacing w:val="-4"/>
        </w:rPr>
        <w:t xml:space="preserve"> </w:t>
      </w:r>
      <w:r>
        <w:t>of</w:t>
      </w:r>
      <w:r>
        <w:rPr>
          <w:spacing w:val="-4"/>
        </w:rPr>
        <w:t xml:space="preserve"> </w:t>
      </w:r>
      <w:r>
        <w:t>BEAD</w:t>
      </w:r>
      <w:r>
        <w:rPr>
          <w:spacing w:val="-5"/>
        </w:rPr>
        <w:t xml:space="preserve"> </w:t>
      </w:r>
      <w:r>
        <w:t>grants,</w:t>
      </w:r>
      <w:r>
        <w:rPr>
          <w:spacing w:val="-4"/>
        </w:rPr>
        <w:t xml:space="preserve"> </w:t>
      </w:r>
      <w:r>
        <w:t>as</w:t>
      </w:r>
      <w:r>
        <w:rPr>
          <w:spacing w:val="-4"/>
        </w:rPr>
        <w:t xml:space="preserve"> </w:t>
      </w:r>
      <w:r>
        <w:t>solely</w:t>
      </w:r>
      <w:r>
        <w:rPr>
          <w:spacing w:val="-5"/>
        </w:rPr>
        <w:t xml:space="preserve"> </w:t>
      </w:r>
      <w:r>
        <w:t>determined</w:t>
      </w:r>
      <w:r>
        <w:rPr>
          <w:spacing w:val="-4"/>
        </w:rPr>
        <w:t xml:space="preserve"> </w:t>
      </w:r>
      <w:r>
        <w:t xml:space="preserve">by </w:t>
      </w:r>
      <w:r>
        <w:rPr>
          <w:spacing w:val="-4"/>
        </w:rPr>
        <w:t>BPU.</w:t>
      </w:r>
    </w:p>
    <w:p w14:paraId="09DB059E" w14:textId="77777777" w:rsidR="00246DC7" w:rsidRDefault="00246DC7" w:rsidP="00246DC7">
      <w:pPr>
        <w:pStyle w:val="ListParagraph"/>
        <w:numPr>
          <w:ilvl w:val="1"/>
          <w:numId w:val="1"/>
        </w:numPr>
        <w:tabs>
          <w:tab w:val="left" w:pos="1799"/>
        </w:tabs>
        <w:spacing w:line="278" w:lineRule="auto"/>
        <w:ind w:right="1099"/>
        <w:contextualSpacing w:val="0"/>
      </w:pPr>
      <w:r>
        <w:t>Grantee</w:t>
      </w:r>
      <w:r>
        <w:rPr>
          <w:spacing w:val="-4"/>
        </w:rPr>
        <w:t xml:space="preserve"> </w:t>
      </w:r>
      <w:r>
        <w:t>expressly</w:t>
      </w:r>
      <w:r>
        <w:rPr>
          <w:spacing w:val="-4"/>
        </w:rPr>
        <w:t xml:space="preserve"> </w:t>
      </w:r>
      <w:r>
        <w:t>agrees</w:t>
      </w:r>
      <w:r>
        <w:rPr>
          <w:spacing w:val="-4"/>
        </w:rPr>
        <w:t xml:space="preserve"> </w:t>
      </w:r>
      <w:r>
        <w:t>that</w:t>
      </w:r>
      <w:r>
        <w:rPr>
          <w:spacing w:val="-4"/>
        </w:rPr>
        <w:t xml:space="preserve"> </w:t>
      </w:r>
      <w:r>
        <w:t>the</w:t>
      </w:r>
      <w:r>
        <w:rPr>
          <w:spacing w:val="-4"/>
        </w:rPr>
        <w:t xml:space="preserve"> </w:t>
      </w:r>
      <w:r>
        <w:t>provisions</w:t>
      </w:r>
      <w:r>
        <w:rPr>
          <w:spacing w:val="-4"/>
        </w:rPr>
        <w:t xml:space="preserve"> </w:t>
      </w:r>
      <w:r>
        <w:t>set</w:t>
      </w:r>
      <w:r>
        <w:rPr>
          <w:spacing w:val="-5"/>
        </w:rPr>
        <w:t xml:space="preserve"> </w:t>
      </w:r>
      <w:r>
        <w:t>forth</w:t>
      </w:r>
      <w:r>
        <w:rPr>
          <w:spacing w:val="-4"/>
        </w:rPr>
        <w:t xml:space="preserve"> </w:t>
      </w:r>
      <w:r>
        <w:t>in</w:t>
      </w:r>
      <w:r>
        <w:rPr>
          <w:spacing w:val="-4"/>
        </w:rPr>
        <w:t xml:space="preserve"> </w:t>
      </w:r>
      <w:r>
        <w:t>paragraphs</w:t>
      </w:r>
      <w:r>
        <w:rPr>
          <w:spacing w:val="-4"/>
        </w:rPr>
        <w:t xml:space="preserve"> </w:t>
      </w:r>
      <w:r>
        <w:t>14-17</w:t>
      </w:r>
      <w:r>
        <w:rPr>
          <w:spacing w:val="-4"/>
        </w:rPr>
        <w:t xml:space="preserve"> </w:t>
      </w:r>
      <w:r>
        <w:t>of</w:t>
      </w:r>
      <w:r>
        <w:rPr>
          <w:spacing w:val="-4"/>
        </w:rPr>
        <w:t xml:space="preserve"> </w:t>
      </w:r>
      <w:r>
        <w:t>this Agreement are just and reasonable.</w:t>
      </w:r>
    </w:p>
    <w:p w14:paraId="327324C3" w14:textId="77777777" w:rsidR="00246DC7" w:rsidRDefault="00246DC7" w:rsidP="00246DC7">
      <w:pPr>
        <w:pStyle w:val="ListParagraph"/>
        <w:numPr>
          <w:ilvl w:val="1"/>
          <w:numId w:val="1"/>
        </w:numPr>
        <w:tabs>
          <w:tab w:val="left" w:pos="1799"/>
        </w:tabs>
        <w:spacing w:line="278" w:lineRule="auto"/>
        <w:ind w:right="427"/>
        <w:contextualSpacing w:val="0"/>
      </w:pPr>
      <w:r>
        <w:t>Grantee</w:t>
      </w:r>
      <w:r>
        <w:rPr>
          <w:spacing w:val="-4"/>
        </w:rPr>
        <w:t xml:space="preserve"> </w:t>
      </w:r>
      <w:r>
        <w:t>shall</w:t>
      </w:r>
      <w:r>
        <w:rPr>
          <w:spacing w:val="-4"/>
        </w:rPr>
        <w:t xml:space="preserve"> </w:t>
      </w:r>
      <w:r>
        <w:t>comply</w:t>
      </w:r>
      <w:r>
        <w:rPr>
          <w:spacing w:val="-4"/>
        </w:rPr>
        <w:t xml:space="preserve"> </w:t>
      </w:r>
      <w:r>
        <w:t>with</w:t>
      </w:r>
      <w:r>
        <w:rPr>
          <w:spacing w:val="-4"/>
        </w:rPr>
        <w:t xml:space="preserve"> </w:t>
      </w:r>
      <w:r>
        <w:t>any</w:t>
      </w:r>
      <w:r>
        <w:rPr>
          <w:spacing w:val="-4"/>
        </w:rPr>
        <w:t xml:space="preserve"> </w:t>
      </w:r>
      <w:r>
        <w:t>future</w:t>
      </w:r>
      <w:r>
        <w:rPr>
          <w:spacing w:val="-5"/>
        </w:rPr>
        <w:t xml:space="preserve"> </w:t>
      </w:r>
      <w:r>
        <w:t>statutes,</w:t>
      </w:r>
      <w:r>
        <w:rPr>
          <w:spacing w:val="-4"/>
        </w:rPr>
        <w:t xml:space="preserve"> </w:t>
      </w:r>
      <w:r>
        <w:t>regulations,</w:t>
      </w:r>
      <w:r>
        <w:rPr>
          <w:spacing w:val="-4"/>
        </w:rPr>
        <w:t xml:space="preserve"> </w:t>
      </w:r>
      <w:r>
        <w:t>policies,</w:t>
      </w:r>
      <w:r>
        <w:rPr>
          <w:spacing w:val="-4"/>
        </w:rPr>
        <w:t xml:space="preserve"> </w:t>
      </w:r>
      <w:r>
        <w:t>directives,</w:t>
      </w:r>
      <w:r>
        <w:rPr>
          <w:spacing w:val="-4"/>
        </w:rPr>
        <w:t xml:space="preserve"> </w:t>
      </w:r>
      <w:r>
        <w:t>guidance, and requirements applicable to or impacting the BEAD program and this</w:t>
      </w:r>
      <w:r>
        <w:rPr>
          <w:spacing w:val="-2"/>
        </w:rPr>
        <w:t xml:space="preserve"> </w:t>
      </w:r>
      <w:r>
        <w:t>Agreement.</w:t>
      </w:r>
    </w:p>
    <w:p w14:paraId="273F15F4"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333F" w14:textId="77777777" w:rsidR="000D06D2" w:rsidRDefault="000D06D2" w:rsidP="00FB51D0">
      <w:r>
        <w:separator/>
      </w:r>
    </w:p>
  </w:endnote>
  <w:endnote w:type="continuationSeparator" w:id="0">
    <w:p w14:paraId="51CFA06C" w14:textId="77777777" w:rsidR="000D06D2" w:rsidRDefault="000D06D2" w:rsidP="00FB5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D66F" w14:textId="77777777" w:rsidR="000D06D2" w:rsidRDefault="000D06D2" w:rsidP="00FB51D0">
      <w:r>
        <w:separator/>
      </w:r>
    </w:p>
  </w:footnote>
  <w:footnote w:type="continuationSeparator" w:id="0">
    <w:p w14:paraId="19250043" w14:textId="77777777" w:rsidR="000D06D2" w:rsidRDefault="000D06D2" w:rsidP="00FB5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6591C"/>
    <w:multiLevelType w:val="hybridMultilevel"/>
    <w:tmpl w:val="9EC2F200"/>
    <w:lvl w:ilvl="0" w:tplc="73BE9DC2">
      <w:start w:val="1"/>
      <w:numFmt w:val="decimal"/>
      <w:lvlText w:val="%1."/>
      <w:lvlJc w:val="left"/>
      <w:pPr>
        <w:ind w:left="1079" w:hanging="544"/>
      </w:pPr>
      <w:rPr>
        <w:rFonts w:ascii="Arial" w:eastAsia="Arial" w:hAnsi="Arial" w:cs="Arial" w:hint="default"/>
        <w:b/>
        <w:bCs/>
        <w:i w:val="0"/>
        <w:iCs w:val="0"/>
        <w:spacing w:val="0"/>
        <w:w w:val="99"/>
        <w:sz w:val="22"/>
        <w:szCs w:val="22"/>
        <w:lang w:val="en-US" w:eastAsia="en-US" w:bidi="ar-SA"/>
      </w:rPr>
    </w:lvl>
    <w:lvl w:ilvl="1" w:tplc="C2048B78">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FBE8855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F83822E0">
      <w:numFmt w:val="bullet"/>
      <w:lvlText w:val="•"/>
      <w:lvlJc w:val="left"/>
      <w:pPr>
        <w:ind w:left="3555" w:hanging="291"/>
      </w:pPr>
      <w:rPr>
        <w:rFonts w:hint="default"/>
        <w:lang w:val="en-US" w:eastAsia="en-US" w:bidi="ar-SA"/>
      </w:rPr>
    </w:lvl>
    <w:lvl w:ilvl="4" w:tplc="2EC48F9A">
      <w:numFmt w:val="bullet"/>
      <w:lvlText w:val="•"/>
      <w:lvlJc w:val="left"/>
      <w:pPr>
        <w:ind w:left="4590" w:hanging="291"/>
      </w:pPr>
      <w:rPr>
        <w:rFonts w:hint="default"/>
        <w:lang w:val="en-US" w:eastAsia="en-US" w:bidi="ar-SA"/>
      </w:rPr>
    </w:lvl>
    <w:lvl w:ilvl="5" w:tplc="6F8E199C">
      <w:numFmt w:val="bullet"/>
      <w:lvlText w:val="•"/>
      <w:lvlJc w:val="left"/>
      <w:pPr>
        <w:ind w:left="5625" w:hanging="291"/>
      </w:pPr>
      <w:rPr>
        <w:rFonts w:hint="default"/>
        <w:lang w:val="en-US" w:eastAsia="en-US" w:bidi="ar-SA"/>
      </w:rPr>
    </w:lvl>
    <w:lvl w:ilvl="6" w:tplc="DE9C821E">
      <w:numFmt w:val="bullet"/>
      <w:lvlText w:val="•"/>
      <w:lvlJc w:val="left"/>
      <w:pPr>
        <w:ind w:left="6660" w:hanging="291"/>
      </w:pPr>
      <w:rPr>
        <w:rFonts w:hint="default"/>
        <w:lang w:val="en-US" w:eastAsia="en-US" w:bidi="ar-SA"/>
      </w:rPr>
    </w:lvl>
    <w:lvl w:ilvl="7" w:tplc="3BD24992">
      <w:numFmt w:val="bullet"/>
      <w:lvlText w:val="•"/>
      <w:lvlJc w:val="left"/>
      <w:pPr>
        <w:ind w:left="7695" w:hanging="291"/>
      </w:pPr>
      <w:rPr>
        <w:rFonts w:hint="default"/>
        <w:lang w:val="en-US" w:eastAsia="en-US" w:bidi="ar-SA"/>
      </w:rPr>
    </w:lvl>
    <w:lvl w:ilvl="8" w:tplc="BB5C640C">
      <w:numFmt w:val="bullet"/>
      <w:lvlText w:val="•"/>
      <w:lvlJc w:val="left"/>
      <w:pPr>
        <w:ind w:left="8730" w:hanging="291"/>
      </w:pPr>
      <w:rPr>
        <w:rFonts w:hint="default"/>
        <w:lang w:val="en-US" w:eastAsia="en-US" w:bidi="ar-SA"/>
      </w:rPr>
    </w:lvl>
  </w:abstractNum>
  <w:num w:numId="1" w16cid:durableId="751851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C7"/>
    <w:rsid w:val="000D06D2"/>
    <w:rsid w:val="00246DC7"/>
    <w:rsid w:val="00611BC8"/>
    <w:rsid w:val="00954F10"/>
    <w:rsid w:val="0099219C"/>
    <w:rsid w:val="00A800B3"/>
    <w:rsid w:val="00B201C0"/>
    <w:rsid w:val="00B576B5"/>
    <w:rsid w:val="00FB5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AC414"/>
  <w15:chartTrackingRefBased/>
  <w15:docId w15:val="{A17DAD04-0B5A-4B39-BFCE-9ED3B610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DC7"/>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4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6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D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D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D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D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DC7"/>
    <w:rPr>
      <w:rFonts w:eastAsiaTheme="majorEastAsia" w:cstheme="majorBidi"/>
      <w:color w:val="272727" w:themeColor="text1" w:themeTint="D8"/>
    </w:rPr>
  </w:style>
  <w:style w:type="paragraph" w:styleId="Title">
    <w:name w:val="Title"/>
    <w:basedOn w:val="Normal"/>
    <w:next w:val="Normal"/>
    <w:link w:val="TitleChar"/>
    <w:uiPriority w:val="10"/>
    <w:qFormat/>
    <w:rsid w:val="00246D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DC7"/>
    <w:pPr>
      <w:spacing w:before="160"/>
      <w:jc w:val="center"/>
    </w:pPr>
    <w:rPr>
      <w:i/>
      <w:iCs/>
      <w:color w:val="404040" w:themeColor="text1" w:themeTint="BF"/>
    </w:rPr>
  </w:style>
  <w:style w:type="character" w:customStyle="1" w:styleId="QuoteChar">
    <w:name w:val="Quote Char"/>
    <w:basedOn w:val="DefaultParagraphFont"/>
    <w:link w:val="Quote"/>
    <w:uiPriority w:val="29"/>
    <w:rsid w:val="00246DC7"/>
    <w:rPr>
      <w:i/>
      <w:iCs/>
      <w:color w:val="404040" w:themeColor="text1" w:themeTint="BF"/>
    </w:rPr>
  </w:style>
  <w:style w:type="paragraph" w:styleId="ListParagraph">
    <w:name w:val="List Paragraph"/>
    <w:basedOn w:val="Normal"/>
    <w:uiPriority w:val="1"/>
    <w:qFormat/>
    <w:rsid w:val="00246DC7"/>
    <w:pPr>
      <w:ind w:left="720"/>
      <w:contextualSpacing/>
    </w:pPr>
  </w:style>
  <w:style w:type="character" w:styleId="IntenseEmphasis">
    <w:name w:val="Intense Emphasis"/>
    <w:basedOn w:val="DefaultParagraphFont"/>
    <w:uiPriority w:val="21"/>
    <w:qFormat/>
    <w:rsid w:val="00246DC7"/>
    <w:rPr>
      <w:i/>
      <w:iCs/>
      <w:color w:val="0F4761" w:themeColor="accent1" w:themeShade="BF"/>
    </w:rPr>
  </w:style>
  <w:style w:type="paragraph" w:styleId="IntenseQuote">
    <w:name w:val="Intense Quote"/>
    <w:basedOn w:val="Normal"/>
    <w:next w:val="Normal"/>
    <w:link w:val="IntenseQuoteChar"/>
    <w:uiPriority w:val="30"/>
    <w:qFormat/>
    <w:rsid w:val="0024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DC7"/>
    <w:rPr>
      <w:i/>
      <w:iCs/>
      <w:color w:val="0F4761" w:themeColor="accent1" w:themeShade="BF"/>
    </w:rPr>
  </w:style>
  <w:style w:type="character" w:styleId="IntenseReference">
    <w:name w:val="Intense Reference"/>
    <w:basedOn w:val="DefaultParagraphFont"/>
    <w:uiPriority w:val="32"/>
    <w:qFormat/>
    <w:rsid w:val="00246DC7"/>
    <w:rPr>
      <w:b/>
      <w:bCs/>
      <w:smallCaps/>
      <w:color w:val="0F4761" w:themeColor="accent1" w:themeShade="BF"/>
      <w:spacing w:val="5"/>
    </w:rPr>
  </w:style>
  <w:style w:type="paragraph" w:styleId="BodyText">
    <w:name w:val="Body Text"/>
    <w:basedOn w:val="Normal"/>
    <w:link w:val="BodyTextChar"/>
    <w:uiPriority w:val="1"/>
    <w:qFormat/>
    <w:rsid w:val="00246DC7"/>
  </w:style>
  <w:style w:type="character" w:customStyle="1" w:styleId="BodyTextChar">
    <w:name w:val="Body Text Char"/>
    <w:basedOn w:val="DefaultParagraphFont"/>
    <w:link w:val="BodyText"/>
    <w:uiPriority w:val="1"/>
    <w:rsid w:val="00246DC7"/>
    <w:rPr>
      <w:rFonts w:ascii="Arial" w:eastAsia="Arial" w:hAnsi="Arial" w:cs="Arial"/>
      <w:kern w:val="0"/>
      <w:sz w:val="22"/>
      <w:szCs w:val="22"/>
      <w14:ligatures w14:val="none"/>
    </w:rPr>
  </w:style>
  <w:style w:type="paragraph" w:styleId="Header">
    <w:name w:val="header"/>
    <w:basedOn w:val="Normal"/>
    <w:link w:val="HeaderChar"/>
    <w:uiPriority w:val="99"/>
    <w:unhideWhenUsed/>
    <w:rsid w:val="00FB51D0"/>
    <w:pPr>
      <w:tabs>
        <w:tab w:val="center" w:pos="4680"/>
        <w:tab w:val="right" w:pos="9360"/>
      </w:tabs>
    </w:pPr>
  </w:style>
  <w:style w:type="character" w:customStyle="1" w:styleId="HeaderChar">
    <w:name w:val="Header Char"/>
    <w:basedOn w:val="DefaultParagraphFont"/>
    <w:link w:val="Header"/>
    <w:uiPriority w:val="99"/>
    <w:rsid w:val="00FB51D0"/>
    <w:rPr>
      <w:rFonts w:ascii="Arial" w:eastAsia="Arial" w:hAnsi="Arial" w:cs="Arial"/>
      <w:kern w:val="0"/>
      <w:sz w:val="22"/>
      <w:szCs w:val="22"/>
      <w14:ligatures w14:val="none"/>
    </w:rPr>
  </w:style>
  <w:style w:type="paragraph" w:styleId="Footer">
    <w:name w:val="footer"/>
    <w:basedOn w:val="Normal"/>
    <w:link w:val="FooterChar"/>
    <w:uiPriority w:val="99"/>
    <w:unhideWhenUsed/>
    <w:rsid w:val="00FB51D0"/>
    <w:pPr>
      <w:tabs>
        <w:tab w:val="center" w:pos="4680"/>
        <w:tab w:val="right" w:pos="9360"/>
      </w:tabs>
    </w:pPr>
  </w:style>
  <w:style w:type="character" w:customStyle="1" w:styleId="FooterChar">
    <w:name w:val="Footer Char"/>
    <w:basedOn w:val="DefaultParagraphFont"/>
    <w:link w:val="Footer"/>
    <w:uiPriority w:val="99"/>
    <w:rsid w:val="00FB51D0"/>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c36d2-43b6-4e87-877e-cb32800d5d3e">
      <Terms xmlns="http://schemas.microsoft.com/office/infopath/2007/PartnerControls"/>
    </lcf76f155ced4ddcb4097134ff3c332f>
    <TaxCatchAll xmlns="7ca39703-9e3b-4d70-8a98-c3d9a69e06b5" xsi:nil="true"/>
    <SharedWithUsers xmlns="7ca39703-9e3b-4d70-8a98-c3d9a69e06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E1110A1948049B10D769BEE3AAD82" ma:contentTypeVersion="14" ma:contentTypeDescription="Create a new document." ma:contentTypeScope="" ma:versionID="a7e2dc7ae33b15eb286c79213339e65f">
  <xsd:schema xmlns:xsd="http://www.w3.org/2001/XMLSchema" xmlns:xs="http://www.w3.org/2001/XMLSchema" xmlns:p="http://schemas.microsoft.com/office/2006/metadata/properties" xmlns:ns2="d16c36d2-43b6-4e87-877e-cb32800d5d3e" xmlns:ns3="7ca39703-9e3b-4d70-8a98-c3d9a69e06b5" targetNamespace="http://schemas.microsoft.com/office/2006/metadata/properties" ma:root="true" ma:fieldsID="c76739ae47cf57b2bbae4be472d2afac" ns2:_="" ns3:_="">
    <xsd:import namespace="d16c36d2-43b6-4e87-877e-cb32800d5d3e"/>
    <xsd:import namespace="7ca39703-9e3b-4d70-8a98-c3d9a69e06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c36d2-43b6-4e87-877e-cb32800d5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39703-9e3b-4d70-8a98-c3d9a69e06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36e7dc-bb09-4855-bcea-4283ba2c60cc}" ma:internalName="TaxCatchAll" ma:showField="CatchAllData" ma:web="7ca39703-9e3b-4d70-8a98-c3d9a69e06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C99B0-1BC3-49DB-A228-E85EE7796ACC}">
  <ds:schemaRefs>
    <ds:schemaRef ds:uri="http://schemas.microsoft.com/office/2006/metadata/properties"/>
    <ds:schemaRef ds:uri="http://schemas.microsoft.com/office/infopath/2007/PartnerControls"/>
    <ds:schemaRef ds:uri="d16c36d2-43b6-4e87-877e-cb32800d5d3e"/>
    <ds:schemaRef ds:uri="7ca39703-9e3b-4d70-8a98-c3d9a69e06b5"/>
  </ds:schemaRefs>
</ds:datastoreItem>
</file>

<file path=customXml/itemProps2.xml><?xml version="1.0" encoding="utf-8"?>
<ds:datastoreItem xmlns:ds="http://schemas.openxmlformats.org/officeDocument/2006/customXml" ds:itemID="{E02F8F0A-2618-457B-BF12-314788EED4A8}">
  <ds:schemaRefs>
    <ds:schemaRef ds:uri="http://schemas.microsoft.com/sharepoint/v3/contenttype/forms"/>
  </ds:schemaRefs>
</ds:datastoreItem>
</file>

<file path=customXml/itemProps3.xml><?xml version="1.0" encoding="utf-8"?>
<ds:datastoreItem xmlns:ds="http://schemas.openxmlformats.org/officeDocument/2006/customXml" ds:itemID="{3004F585-6053-4DBA-8A01-A26AEAEC1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c36d2-43b6-4e87-877e-cb32800d5d3e"/>
    <ds:schemaRef ds:uri="7ca39703-9e3b-4d70-8a98-c3d9a69e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3</cp:revision>
  <dcterms:created xsi:type="dcterms:W3CDTF">2026-05-04T17:42:00Z</dcterms:created>
  <dcterms:modified xsi:type="dcterms:W3CDTF">2026-06-17T13:33:00Z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