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A98F" w14:textId="77777777" w:rsidR="00157E11" w:rsidRDefault="00157E11" w:rsidP="00157E11">
      <w:pPr>
        <w:spacing w:before="80"/>
        <w:ind w:left="721" w:right="721"/>
        <w:jc w:val="center"/>
        <w:rPr>
          <w:b/>
        </w:rPr>
      </w:pPr>
      <w:r>
        <w:rPr>
          <w:b/>
        </w:rPr>
        <w:t>Exhibit</w:t>
      </w:r>
      <w:r>
        <w:rPr>
          <w:b/>
          <w:spacing w:val="-9"/>
        </w:rPr>
        <w:t xml:space="preserve"> </w:t>
      </w:r>
      <w:r>
        <w:rPr>
          <w:b/>
          <w:spacing w:val="-10"/>
        </w:rPr>
        <w:t>J</w:t>
      </w:r>
    </w:p>
    <w:p w14:paraId="2810BC00" w14:textId="77777777" w:rsidR="00157E11" w:rsidRDefault="00157E11" w:rsidP="00157E11">
      <w:pPr>
        <w:pStyle w:val="Heading2"/>
        <w:spacing w:before="39"/>
        <w:ind w:left="721" w:right="721"/>
        <w:jc w:val="center"/>
      </w:pPr>
      <w:r>
        <w:t>Uniform</w:t>
      </w:r>
      <w:r>
        <w:rPr>
          <w:spacing w:val="-8"/>
        </w:rPr>
        <w:t xml:space="preserve"> </w:t>
      </w:r>
      <w:r>
        <w:t>Guidance</w:t>
      </w:r>
      <w:r>
        <w:rPr>
          <w:spacing w:val="-7"/>
        </w:rPr>
        <w:t xml:space="preserve"> </w:t>
      </w:r>
      <w:r>
        <w:t>(2</w:t>
      </w:r>
      <w:r>
        <w:rPr>
          <w:spacing w:val="-8"/>
        </w:rPr>
        <w:t xml:space="preserve"> </w:t>
      </w:r>
      <w:proofErr w:type="spellStart"/>
      <w:r>
        <w:t>Cfr</w:t>
      </w:r>
      <w:proofErr w:type="spellEnd"/>
      <w:r>
        <w:rPr>
          <w:spacing w:val="-9"/>
        </w:rPr>
        <w:t xml:space="preserve"> </w:t>
      </w:r>
      <w:r>
        <w:t>200)</w:t>
      </w:r>
      <w:r>
        <w:rPr>
          <w:spacing w:val="-7"/>
        </w:rPr>
        <w:t xml:space="preserve"> </w:t>
      </w:r>
      <w:r>
        <w:rPr>
          <w:spacing w:val="-2"/>
        </w:rPr>
        <w:t>Exceptions</w:t>
      </w:r>
    </w:p>
    <w:p w14:paraId="250918F4" w14:textId="77777777" w:rsidR="00157E11" w:rsidRDefault="00157E11" w:rsidP="00157E11">
      <w:pPr>
        <w:pStyle w:val="BodyText"/>
        <w:spacing w:before="81"/>
        <w:rPr>
          <w:b/>
        </w:rPr>
      </w:pPr>
    </w:p>
    <w:p w14:paraId="690F1105" w14:textId="77777777" w:rsidR="00157E11" w:rsidRDefault="00157E11" w:rsidP="00157E11">
      <w:pPr>
        <w:pStyle w:val="BodyText"/>
        <w:ind w:left="360"/>
      </w:pPr>
      <w:r>
        <w:t>Exhibit</w:t>
      </w:r>
      <w:r>
        <w:rPr>
          <w:spacing w:val="-6"/>
        </w:rPr>
        <w:t xml:space="preserve"> </w:t>
      </w:r>
      <w:r>
        <w:t>J</w:t>
      </w:r>
      <w:r>
        <w:rPr>
          <w:spacing w:val="-5"/>
        </w:rPr>
        <w:t xml:space="preserve"> </w:t>
      </w:r>
      <w:r>
        <w:t>applies</w:t>
      </w:r>
      <w:r>
        <w:rPr>
          <w:spacing w:val="-5"/>
        </w:rPr>
        <w:t xml:space="preserve"> </w:t>
      </w:r>
      <w:r>
        <w:t>to</w:t>
      </w:r>
      <w:r>
        <w:rPr>
          <w:spacing w:val="-6"/>
        </w:rPr>
        <w:t xml:space="preserve"> </w:t>
      </w:r>
      <w:r>
        <w:t>all</w:t>
      </w:r>
      <w:r>
        <w:rPr>
          <w:spacing w:val="-5"/>
        </w:rPr>
        <w:t xml:space="preserve"> </w:t>
      </w:r>
      <w:r>
        <w:t>BEAD</w:t>
      </w:r>
      <w:r>
        <w:rPr>
          <w:spacing w:val="-6"/>
        </w:rPr>
        <w:t xml:space="preserve"> </w:t>
      </w:r>
      <w:r>
        <w:rPr>
          <w:spacing w:val="-2"/>
        </w:rPr>
        <w:t>grants.</w:t>
      </w:r>
    </w:p>
    <w:p w14:paraId="020CD87E" w14:textId="77777777" w:rsidR="00157E11" w:rsidRDefault="00157E11" w:rsidP="00157E11">
      <w:pPr>
        <w:pStyle w:val="Heading3"/>
        <w:numPr>
          <w:ilvl w:val="0"/>
          <w:numId w:val="1"/>
        </w:numPr>
        <w:tabs>
          <w:tab w:val="num" w:pos="360"/>
          <w:tab w:val="left" w:pos="1079"/>
        </w:tabs>
        <w:spacing w:before="200"/>
        <w:ind w:left="0" w:hanging="543"/>
        <w:jc w:val="left"/>
      </w:pPr>
      <w:r>
        <w:rPr>
          <w:spacing w:val="-2"/>
        </w:rPr>
        <w:t>Acknowledgment</w:t>
      </w:r>
    </w:p>
    <w:p w14:paraId="41DA0DEC" w14:textId="77777777" w:rsidR="00157E11" w:rsidRDefault="00157E11" w:rsidP="00157E11">
      <w:pPr>
        <w:pStyle w:val="ListParagraph"/>
        <w:numPr>
          <w:ilvl w:val="1"/>
          <w:numId w:val="1"/>
        </w:numPr>
        <w:tabs>
          <w:tab w:val="left" w:pos="1800"/>
        </w:tabs>
        <w:spacing w:before="39" w:line="278" w:lineRule="auto"/>
        <w:ind w:right="561"/>
        <w:contextualSpacing w:val="0"/>
      </w:pPr>
      <w:r>
        <w:t>The Grantee acknowledges that the National Telecommunications and Information Administration</w:t>
      </w:r>
      <w:r>
        <w:rPr>
          <w:spacing w:val="-4"/>
        </w:rPr>
        <w:t xml:space="preserve"> </w:t>
      </w:r>
      <w:r>
        <w:t>(NTIA)</w:t>
      </w:r>
      <w:r>
        <w:rPr>
          <w:spacing w:val="-4"/>
        </w:rPr>
        <w:t xml:space="preserve"> </w:t>
      </w:r>
      <w:r>
        <w:t>has</w:t>
      </w:r>
      <w:r>
        <w:rPr>
          <w:spacing w:val="-4"/>
        </w:rPr>
        <w:t xml:space="preserve"> </w:t>
      </w:r>
      <w:r>
        <w:t>provided</w:t>
      </w:r>
      <w:r>
        <w:rPr>
          <w:spacing w:val="-5"/>
        </w:rPr>
        <w:t xml:space="preserve"> </w:t>
      </w:r>
      <w:r>
        <w:t>specific</w:t>
      </w:r>
      <w:r>
        <w:rPr>
          <w:spacing w:val="-4"/>
        </w:rPr>
        <w:t xml:space="preserve"> </w:t>
      </w:r>
      <w:r>
        <w:t>exceptions</w:t>
      </w:r>
      <w:r>
        <w:rPr>
          <w:spacing w:val="-4"/>
        </w:rPr>
        <w:t xml:space="preserve"> </w:t>
      </w:r>
      <w:r>
        <w:t>and</w:t>
      </w:r>
      <w:r>
        <w:rPr>
          <w:spacing w:val="-5"/>
        </w:rPr>
        <w:t xml:space="preserve"> </w:t>
      </w:r>
      <w:r>
        <w:t>clarifications</w:t>
      </w:r>
      <w:r>
        <w:rPr>
          <w:spacing w:val="-5"/>
        </w:rPr>
        <w:t xml:space="preserve"> </w:t>
      </w:r>
      <w:r>
        <w:t>to</w:t>
      </w:r>
      <w:r>
        <w:rPr>
          <w:spacing w:val="-4"/>
        </w:rPr>
        <w:t xml:space="preserve"> </w:t>
      </w:r>
      <w:r>
        <w:t>2</w:t>
      </w:r>
      <w:r>
        <w:rPr>
          <w:spacing w:val="-4"/>
        </w:rPr>
        <w:t xml:space="preserve"> </w:t>
      </w:r>
      <w:r>
        <w:t>CFR</w:t>
      </w:r>
      <w:r>
        <w:rPr>
          <w:spacing w:val="-5"/>
        </w:rPr>
        <w:t xml:space="preserve"> </w:t>
      </w:r>
      <w:r>
        <w:t>Part 200 as it applies to the BEAD Program. See BEAD Policy Notice: Uniform Guidance Exceptions, Adjustments, Clarifications</w:t>
      </w:r>
    </w:p>
    <w:p w14:paraId="655500C2" w14:textId="77777777" w:rsidR="00157E11" w:rsidRDefault="00157E11" w:rsidP="00157E11">
      <w:pPr>
        <w:pStyle w:val="ListParagraph"/>
        <w:numPr>
          <w:ilvl w:val="1"/>
          <w:numId w:val="1"/>
        </w:numPr>
        <w:tabs>
          <w:tab w:val="left" w:pos="1800"/>
        </w:tabs>
        <w:spacing w:line="278" w:lineRule="auto"/>
        <w:ind w:right="398"/>
        <w:contextualSpacing w:val="0"/>
      </w:pPr>
      <w:r>
        <w:t>Grantee</w:t>
      </w:r>
      <w:r>
        <w:rPr>
          <w:spacing w:val="-6"/>
        </w:rPr>
        <w:t xml:space="preserve"> </w:t>
      </w:r>
      <w:r>
        <w:t>acknowledges</w:t>
      </w:r>
      <w:r>
        <w:rPr>
          <w:spacing w:val="-7"/>
        </w:rPr>
        <w:t xml:space="preserve"> </w:t>
      </w:r>
      <w:r>
        <w:t>and</w:t>
      </w:r>
      <w:r>
        <w:rPr>
          <w:spacing w:val="-6"/>
        </w:rPr>
        <w:t xml:space="preserve"> </w:t>
      </w:r>
      <w:r>
        <w:t>agrees</w:t>
      </w:r>
      <w:r>
        <w:rPr>
          <w:spacing w:val="-6"/>
        </w:rPr>
        <w:t xml:space="preserve"> </w:t>
      </w:r>
      <w:r>
        <w:t>to</w:t>
      </w:r>
      <w:r>
        <w:rPr>
          <w:spacing w:val="-6"/>
        </w:rPr>
        <w:t xml:space="preserve"> </w:t>
      </w:r>
      <w:r>
        <w:t>comply</w:t>
      </w:r>
      <w:r>
        <w:rPr>
          <w:spacing w:val="-6"/>
        </w:rPr>
        <w:t xml:space="preserve"> </w:t>
      </w:r>
      <w:r>
        <w:t>with</w:t>
      </w:r>
      <w:r>
        <w:rPr>
          <w:spacing w:val="-6"/>
        </w:rPr>
        <w:t xml:space="preserve"> </w:t>
      </w:r>
      <w:r>
        <w:t>NTIA’s</w:t>
      </w:r>
      <w:r>
        <w:rPr>
          <w:spacing w:val="-6"/>
        </w:rPr>
        <w:t xml:space="preserve"> </w:t>
      </w:r>
      <w:r>
        <w:t>Uniform</w:t>
      </w:r>
      <w:r>
        <w:rPr>
          <w:spacing w:val="-7"/>
        </w:rPr>
        <w:t xml:space="preserve"> </w:t>
      </w:r>
      <w:r>
        <w:t>Guidance</w:t>
      </w:r>
      <w:r>
        <w:rPr>
          <w:spacing w:val="-6"/>
        </w:rPr>
        <w:t xml:space="preserve"> </w:t>
      </w:r>
      <w:r>
        <w:t>Exceptions, as may be updated or modified by NTIA, including but not limited to the exceptions, modifications, and requirements addressed in this Exhibit.</w:t>
      </w:r>
    </w:p>
    <w:p w14:paraId="090B0425" w14:textId="77777777" w:rsidR="00157E11" w:rsidRDefault="00157E11" w:rsidP="00157E11">
      <w:pPr>
        <w:pStyle w:val="BodyText"/>
        <w:spacing w:before="38"/>
      </w:pPr>
    </w:p>
    <w:p w14:paraId="06AAC7FA" w14:textId="77777777" w:rsidR="00157E11" w:rsidRDefault="00157E11" w:rsidP="00157E11">
      <w:pPr>
        <w:pStyle w:val="Heading3"/>
        <w:numPr>
          <w:ilvl w:val="0"/>
          <w:numId w:val="1"/>
        </w:numPr>
        <w:tabs>
          <w:tab w:val="num" w:pos="360"/>
          <w:tab w:val="left" w:pos="1079"/>
        </w:tabs>
        <w:ind w:left="0" w:hanging="543"/>
        <w:jc w:val="left"/>
      </w:pPr>
      <w:r>
        <w:t>Program</w:t>
      </w:r>
      <w:r>
        <w:rPr>
          <w:spacing w:val="-13"/>
        </w:rPr>
        <w:t xml:space="preserve"> </w:t>
      </w:r>
      <w:r>
        <w:rPr>
          <w:spacing w:val="-2"/>
        </w:rPr>
        <w:t>Income</w:t>
      </w:r>
    </w:p>
    <w:p w14:paraId="60C66EB3" w14:textId="77777777" w:rsidR="00157E11" w:rsidRDefault="00157E11" w:rsidP="00157E11">
      <w:pPr>
        <w:pStyle w:val="ListParagraph"/>
        <w:numPr>
          <w:ilvl w:val="1"/>
          <w:numId w:val="1"/>
        </w:numPr>
        <w:tabs>
          <w:tab w:val="left" w:pos="1799"/>
        </w:tabs>
        <w:spacing w:before="39" w:line="278" w:lineRule="auto"/>
        <w:ind w:left="1799" w:right="415"/>
        <w:contextualSpacing w:val="0"/>
      </w:pPr>
      <w:r>
        <w:t>Grantee</w:t>
      </w:r>
      <w:r>
        <w:rPr>
          <w:spacing w:val="-4"/>
        </w:rPr>
        <w:t xml:space="preserve"> </w:t>
      </w:r>
      <w:r>
        <w:t>may</w:t>
      </w:r>
      <w:r>
        <w:rPr>
          <w:spacing w:val="-4"/>
        </w:rPr>
        <w:t xml:space="preserve"> </w:t>
      </w:r>
      <w:r>
        <w:t>retain</w:t>
      </w:r>
      <w:r>
        <w:rPr>
          <w:spacing w:val="-4"/>
        </w:rPr>
        <w:t xml:space="preserve"> </w:t>
      </w:r>
      <w:r>
        <w:t>program</w:t>
      </w:r>
      <w:r>
        <w:rPr>
          <w:spacing w:val="-5"/>
        </w:rPr>
        <w:t xml:space="preserve"> </w:t>
      </w:r>
      <w:r>
        <w:t>income</w:t>
      </w:r>
      <w:r>
        <w:rPr>
          <w:spacing w:val="-3"/>
        </w:rPr>
        <w:t xml:space="preserve"> </w:t>
      </w:r>
      <w:r>
        <w:t>without</w:t>
      </w:r>
      <w:r>
        <w:rPr>
          <w:spacing w:val="-4"/>
        </w:rPr>
        <w:t xml:space="preserve"> </w:t>
      </w:r>
      <w:r>
        <w:t>restriction,</w:t>
      </w:r>
      <w:r>
        <w:rPr>
          <w:spacing w:val="-4"/>
        </w:rPr>
        <w:t xml:space="preserve"> </w:t>
      </w:r>
      <w:r>
        <w:t>including</w:t>
      </w:r>
      <w:r>
        <w:rPr>
          <w:spacing w:val="-4"/>
        </w:rPr>
        <w:t xml:space="preserve"> </w:t>
      </w:r>
      <w:r>
        <w:t>revenue</w:t>
      </w:r>
      <w:r>
        <w:rPr>
          <w:spacing w:val="-5"/>
        </w:rPr>
        <w:t xml:space="preserve"> </w:t>
      </w:r>
      <w:r>
        <w:t>from</w:t>
      </w:r>
      <w:r>
        <w:rPr>
          <w:spacing w:val="-5"/>
        </w:rPr>
        <w:t xml:space="preserve"> </w:t>
      </w:r>
      <w:r>
        <w:t>end-user subscriptions and wholesale broadband services.</w:t>
      </w:r>
    </w:p>
    <w:p w14:paraId="3791C1AA" w14:textId="77777777" w:rsidR="00157E11" w:rsidRDefault="00157E11" w:rsidP="00157E11">
      <w:pPr>
        <w:pStyle w:val="ListParagraph"/>
        <w:numPr>
          <w:ilvl w:val="1"/>
          <w:numId w:val="1"/>
        </w:numPr>
        <w:tabs>
          <w:tab w:val="left" w:pos="1799"/>
        </w:tabs>
        <w:spacing w:line="278" w:lineRule="auto"/>
        <w:ind w:left="1799" w:right="427"/>
        <w:contextualSpacing w:val="0"/>
      </w:pPr>
      <w:r>
        <w:t>While</w:t>
      </w:r>
      <w:r>
        <w:rPr>
          <w:spacing w:val="-3"/>
        </w:rPr>
        <w:t xml:space="preserve"> </w:t>
      </w:r>
      <w:r>
        <w:t>program</w:t>
      </w:r>
      <w:r>
        <w:rPr>
          <w:spacing w:val="-4"/>
        </w:rPr>
        <w:t xml:space="preserve"> </w:t>
      </w:r>
      <w:r>
        <w:t>income</w:t>
      </w:r>
      <w:r>
        <w:rPr>
          <w:spacing w:val="-2"/>
        </w:rPr>
        <w:t xml:space="preserve"> </w:t>
      </w:r>
      <w:r>
        <w:t>may</w:t>
      </w:r>
      <w:r>
        <w:rPr>
          <w:spacing w:val="-3"/>
        </w:rPr>
        <w:t xml:space="preserve"> </w:t>
      </w:r>
      <w:r>
        <w:t>be</w:t>
      </w:r>
      <w:r>
        <w:rPr>
          <w:spacing w:val="-3"/>
        </w:rPr>
        <w:t xml:space="preserve"> </w:t>
      </w:r>
      <w:r>
        <w:t>retained,</w:t>
      </w:r>
      <w:r>
        <w:rPr>
          <w:spacing w:val="-3"/>
        </w:rPr>
        <w:t xml:space="preserve"> </w:t>
      </w:r>
      <w:r>
        <w:t>profit,</w:t>
      </w:r>
      <w:r>
        <w:rPr>
          <w:spacing w:val="-3"/>
        </w:rPr>
        <w:t xml:space="preserve"> </w:t>
      </w:r>
      <w:r>
        <w:t>fees,</w:t>
      </w:r>
      <w:r>
        <w:rPr>
          <w:spacing w:val="-3"/>
        </w:rPr>
        <w:t xml:space="preserve"> </w:t>
      </w:r>
      <w:r>
        <w:t>or</w:t>
      </w:r>
      <w:r>
        <w:rPr>
          <w:spacing w:val="-3"/>
        </w:rPr>
        <w:t xml:space="preserve"> </w:t>
      </w:r>
      <w:r>
        <w:t>similar</w:t>
      </w:r>
      <w:r>
        <w:rPr>
          <w:spacing w:val="-3"/>
        </w:rPr>
        <w:t xml:space="preserve"> </w:t>
      </w:r>
      <w:r>
        <w:t>charges</w:t>
      </w:r>
      <w:r>
        <w:rPr>
          <w:spacing w:val="-3"/>
        </w:rPr>
        <w:t xml:space="preserve"> </w:t>
      </w:r>
      <w:r>
        <w:t>are</w:t>
      </w:r>
      <w:r>
        <w:rPr>
          <w:spacing w:val="-3"/>
        </w:rPr>
        <w:t xml:space="preserve"> </w:t>
      </w:r>
      <w:r>
        <w:t>not</w:t>
      </w:r>
      <w:r>
        <w:rPr>
          <w:spacing w:val="-3"/>
        </w:rPr>
        <w:t xml:space="preserve"> </w:t>
      </w:r>
      <w:r>
        <w:t>allowable costs and shall not be included in Grantee’s proposed budget.</w:t>
      </w:r>
    </w:p>
    <w:p w14:paraId="6DBF5B2A" w14:textId="77777777" w:rsidR="00157E11" w:rsidRDefault="00157E11" w:rsidP="00157E11">
      <w:pPr>
        <w:pStyle w:val="ListParagraph"/>
        <w:numPr>
          <w:ilvl w:val="1"/>
          <w:numId w:val="1"/>
        </w:numPr>
        <w:tabs>
          <w:tab w:val="left" w:pos="1798"/>
        </w:tabs>
        <w:ind w:left="1798" w:hanging="359"/>
        <w:contextualSpacing w:val="0"/>
      </w:pPr>
      <w:r>
        <w:t>Program</w:t>
      </w:r>
      <w:r>
        <w:rPr>
          <w:spacing w:val="-7"/>
        </w:rPr>
        <w:t xml:space="preserve"> </w:t>
      </w:r>
      <w:r>
        <w:t>income</w:t>
      </w:r>
      <w:r>
        <w:rPr>
          <w:spacing w:val="-6"/>
        </w:rPr>
        <w:t xml:space="preserve"> </w:t>
      </w:r>
      <w:r>
        <w:t>must</w:t>
      </w:r>
      <w:r>
        <w:rPr>
          <w:spacing w:val="-5"/>
        </w:rPr>
        <w:t xml:space="preserve"> </w:t>
      </w:r>
      <w:r>
        <w:t>be</w:t>
      </w:r>
      <w:r>
        <w:rPr>
          <w:spacing w:val="-6"/>
        </w:rPr>
        <w:t xml:space="preserve"> </w:t>
      </w:r>
      <w:r>
        <w:t>reported</w:t>
      </w:r>
      <w:r>
        <w:rPr>
          <w:spacing w:val="-5"/>
        </w:rPr>
        <w:t xml:space="preserve"> </w:t>
      </w:r>
      <w:r>
        <w:t>to</w:t>
      </w:r>
      <w:r>
        <w:rPr>
          <w:spacing w:val="-6"/>
        </w:rPr>
        <w:t xml:space="preserve"> </w:t>
      </w:r>
      <w:r>
        <w:t>BPU</w:t>
      </w:r>
      <w:r>
        <w:rPr>
          <w:spacing w:val="-6"/>
        </w:rPr>
        <w:t xml:space="preserve"> </w:t>
      </w:r>
      <w:r>
        <w:t>as</w:t>
      </w:r>
      <w:r>
        <w:rPr>
          <w:spacing w:val="-6"/>
        </w:rPr>
        <w:t xml:space="preserve"> </w:t>
      </w:r>
      <w:r>
        <w:t>part</w:t>
      </w:r>
      <w:r>
        <w:rPr>
          <w:spacing w:val="-6"/>
        </w:rPr>
        <w:t xml:space="preserve"> </w:t>
      </w:r>
      <w:r>
        <w:t>of</w:t>
      </w:r>
      <w:r>
        <w:rPr>
          <w:spacing w:val="-5"/>
        </w:rPr>
        <w:t xml:space="preserve"> </w:t>
      </w:r>
      <w:r>
        <w:t>quarterly</w:t>
      </w:r>
      <w:r>
        <w:rPr>
          <w:spacing w:val="-6"/>
        </w:rPr>
        <w:t xml:space="preserve"> </w:t>
      </w:r>
      <w:r>
        <w:t>financial</w:t>
      </w:r>
      <w:r>
        <w:rPr>
          <w:spacing w:val="-6"/>
        </w:rPr>
        <w:t xml:space="preserve"> </w:t>
      </w:r>
      <w:r>
        <w:rPr>
          <w:spacing w:val="-2"/>
        </w:rPr>
        <w:t>reports.</w:t>
      </w:r>
    </w:p>
    <w:p w14:paraId="6119543D" w14:textId="77777777" w:rsidR="00157E11" w:rsidRDefault="00157E11" w:rsidP="00157E11">
      <w:pPr>
        <w:pStyle w:val="BodyText"/>
        <w:spacing w:before="78"/>
      </w:pPr>
    </w:p>
    <w:p w14:paraId="23C19D46" w14:textId="77777777" w:rsidR="00157E11" w:rsidRDefault="00157E11" w:rsidP="00157E11">
      <w:pPr>
        <w:pStyle w:val="Heading3"/>
        <w:numPr>
          <w:ilvl w:val="0"/>
          <w:numId w:val="1"/>
        </w:numPr>
        <w:tabs>
          <w:tab w:val="num" w:pos="360"/>
          <w:tab w:val="left" w:pos="1079"/>
        </w:tabs>
        <w:ind w:left="0" w:hanging="543"/>
        <w:jc w:val="left"/>
      </w:pPr>
      <w:r>
        <w:rPr>
          <w:spacing w:val="-2"/>
        </w:rPr>
        <w:t>Procurement</w:t>
      </w:r>
    </w:p>
    <w:p w14:paraId="55BB5C99" w14:textId="77777777" w:rsidR="00157E11" w:rsidRDefault="00157E11" w:rsidP="00157E11">
      <w:pPr>
        <w:pStyle w:val="ListParagraph"/>
        <w:numPr>
          <w:ilvl w:val="1"/>
          <w:numId w:val="1"/>
        </w:numPr>
        <w:tabs>
          <w:tab w:val="left" w:pos="1798"/>
        </w:tabs>
        <w:spacing w:before="40"/>
        <w:ind w:left="1798" w:hanging="359"/>
        <w:contextualSpacing w:val="0"/>
      </w:pPr>
      <w:r>
        <w:t>This</w:t>
      </w:r>
      <w:r>
        <w:rPr>
          <w:spacing w:val="-7"/>
        </w:rPr>
        <w:t xml:space="preserve"> </w:t>
      </w:r>
      <w:r>
        <w:t>BEAD</w:t>
      </w:r>
      <w:r>
        <w:rPr>
          <w:spacing w:val="-7"/>
        </w:rPr>
        <w:t xml:space="preserve"> </w:t>
      </w:r>
      <w:r>
        <w:t>grant</w:t>
      </w:r>
      <w:r>
        <w:rPr>
          <w:spacing w:val="-6"/>
        </w:rPr>
        <w:t xml:space="preserve"> </w:t>
      </w:r>
      <w:r>
        <w:t>is</w:t>
      </w:r>
      <w:r>
        <w:rPr>
          <w:spacing w:val="-6"/>
        </w:rPr>
        <w:t xml:space="preserve"> </w:t>
      </w:r>
      <w:r>
        <w:t>not</w:t>
      </w:r>
      <w:r>
        <w:rPr>
          <w:spacing w:val="-7"/>
        </w:rPr>
        <w:t xml:space="preserve"> </w:t>
      </w:r>
      <w:r>
        <w:t>subject</w:t>
      </w:r>
      <w:r>
        <w:rPr>
          <w:spacing w:val="-6"/>
        </w:rPr>
        <w:t xml:space="preserve"> </w:t>
      </w:r>
      <w:r>
        <w:t>to</w:t>
      </w:r>
      <w:r>
        <w:rPr>
          <w:spacing w:val="-6"/>
        </w:rPr>
        <w:t xml:space="preserve"> </w:t>
      </w:r>
      <w:r>
        <w:t>the</w:t>
      </w:r>
      <w:r>
        <w:rPr>
          <w:spacing w:val="-6"/>
        </w:rPr>
        <w:t xml:space="preserve"> </w:t>
      </w:r>
      <w:r>
        <w:t>Uniform</w:t>
      </w:r>
      <w:r>
        <w:rPr>
          <w:spacing w:val="-7"/>
        </w:rPr>
        <w:t xml:space="preserve"> </w:t>
      </w:r>
      <w:r>
        <w:t>Guidance</w:t>
      </w:r>
      <w:r>
        <w:rPr>
          <w:spacing w:val="-7"/>
        </w:rPr>
        <w:t xml:space="preserve"> </w:t>
      </w:r>
      <w:r>
        <w:t>procurement</w:t>
      </w:r>
      <w:r>
        <w:rPr>
          <w:spacing w:val="-6"/>
        </w:rPr>
        <w:t xml:space="preserve"> </w:t>
      </w:r>
      <w:r>
        <w:t>standards</w:t>
      </w:r>
      <w:r>
        <w:rPr>
          <w:spacing w:val="-6"/>
        </w:rPr>
        <w:t xml:space="preserve"> </w:t>
      </w:r>
      <w:r>
        <w:t>in</w:t>
      </w:r>
      <w:r>
        <w:rPr>
          <w:spacing w:val="-6"/>
        </w:rPr>
        <w:t xml:space="preserve"> </w:t>
      </w:r>
      <w:r>
        <w:rPr>
          <w:spacing w:val="-10"/>
        </w:rPr>
        <w:t>2</w:t>
      </w:r>
    </w:p>
    <w:p w14:paraId="0FDC2F14" w14:textId="77777777" w:rsidR="00157E11" w:rsidRDefault="00157E11" w:rsidP="00157E11">
      <w:pPr>
        <w:pStyle w:val="BodyText"/>
        <w:spacing w:before="41" w:line="278" w:lineRule="auto"/>
        <w:ind w:left="1799" w:right="423"/>
      </w:pPr>
      <w:r>
        <w:t>C.F.R.</w:t>
      </w:r>
      <w:r>
        <w:rPr>
          <w:spacing w:val="-11"/>
        </w:rPr>
        <w:t xml:space="preserve"> </w:t>
      </w:r>
      <w:r>
        <w:t>200.318-320</w:t>
      </w:r>
      <w:r>
        <w:rPr>
          <w:spacing w:val="-8"/>
        </w:rPr>
        <w:t xml:space="preserve"> </w:t>
      </w:r>
      <w:r>
        <w:t>and</w:t>
      </w:r>
      <w:r>
        <w:rPr>
          <w:spacing w:val="-8"/>
        </w:rPr>
        <w:t xml:space="preserve"> </w:t>
      </w:r>
      <w:r>
        <w:t>200.324-326.</w:t>
      </w:r>
      <w:r>
        <w:rPr>
          <w:spacing w:val="-16"/>
        </w:rPr>
        <w:t xml:space="preserve"> </w:t>
      </w:r>
      <w:r>
        <w:t>All</w:t>
      </w:r>
      <w:r>
        <w:rPr>
          <w:spacing w:val="-8"/>
        </w:rPr>
        <w:t xml:space="preserve"> </w:t>
      </w:r>
      <w:r>
        <w:t>other</w:t>
      </w:r>
      <w:r>
        <w:rPr>
          <w:spacing w:val="-10"/>
        </w:rPr>
        <w:t xml:space="preserve"> </w:t>
      </w:r>
      <w:r>
        <w:t>Uniform</w:t>
      </w:r>
      <w:r>
        <w:rPr>
          <w:spacing w:val="-9"/>
        </w:rPr>
        <w:t xml:space="preserve"> </w:t>
      </w:r>
      <w:r>
        <w:t>Guidance</w:t>
      </w:r>
      <w:r>
        <w:rPr>
          <w:spacing w:val="-8"/>
        </w:rPr>
        <w:t xml:space="preserve"> </w:t>
      </w:r>
      <w:r>
        <w:t>procurement standards apply.</w:t>
      </w:r>
    </w:p>
    <w:p w14:paraId="0D06CF69" w14:textId="77777777" w:rsidR="00157E11" w:rsidRDefault="00157E11" w:rsidP="00157E11">
      <w:pPr>
        <w:pStyle w:val="BodyText"/>
        <w:spacing w:before="38"/>
      </w:pPr>
    </w:p>
    <w:p w14:paraId="594FAB03" w14:textId="77777777" w:rsidR="00157E11" w:rsidRDefault="00157E11" w:rsidP="00157E11">
      <w:pPr>
        <w:pStyle w:val="Heading3"/>
        <w:numPr>
          <w:ilvl w:val="0"/>
          <w:numId w:val="1"/>
        </w:numPr>
        <w:tabs>
          <w:tab w:val="num" w:pos="360"/>
          <w:tab w:val="left" w:pos="1079"/>
        </w:tabs>
        <w:ind w:left="0" w:firstLine="0"/>
        <w:jc w:val="left"/>
      </w:pPr>
      <w:r>
        <w:t>Fixed</w:t>
      </w:r>
      <w:r>
        <w:rPr>
          <w:spacing w:val="-16"/>
        </w:rPr>
        <w:t xml:space="preserve"> </w:t>
      </w:r>
      <w:r>
        <w:t>Amount</w:t>
      </w:r>
      <w:r>
        <w:rPr>
          <w:spacing w:val="-11"/>
        </w:rPr>
        <w:t xml:space="preserve"> </w:t>
      </w:r>
      <w:r>
        <w:t>Subaward</w:t>
      </w:r>
      <w:r>
        <w:rPr>
          <w:spacing w:val="-10"/>
        </w:rPr>
        <w:t xml:space="preserve"> </w:t>
      </w:r>
      <w:r>
        <w:t>&amp;</w:t>
      </w:r>
      <w:r>
        <w:rPr>
          <w:spacing w:val="-10"/>
        </w:rPr>
        <w:t xml:space="preserve"> </w:t>
      </w:r>
      <w:r>
        <w:t>Incremental</w:t>
      </w:r>
      <w:r>
        <w:rPr>
          <w:spacing w:val="-9"/>
        </w:rPr>
        <w:t xml:space="preserve"> </w:t>
      </w:r>
      <w:r>
        <w:t>Cost</w:t>
      </w:r>
      <w:r>
        <w:rPr>
          <w:spacing w:val="-10"/>
        </w:rPr>
        <w:t xml:space="preserve"> </w:t>
      </w:r>
      <w:r>
        <w:t>Reimbursement</w:t>
      </w:r>
      <w:r>
        <w:rPr>
          <w:spacing w:val="-10"/>
        </w:rPr>
        <w:t xml:space="preserve"> </w:t>
      </w:r>
      <w:r>
        <w:rPr>
          <w:spacing w:val="-2"/>
        </w:rPr>
        <w:t>Program</w:t>
      </w:r>
    </w:p>
    <w:p w14:paraId="606070F3" w14:textId="77777777" w:rsidR="00157E11" w:rsidRDefault="00157E11" w:rsidP="00157E11">
      <w:pPr>
        <w:pStyle w:val="ListParagraph"/>
        <w:numPr>
          <w:ilvl w:val="1"/>
          <w:numId w:val="1"/>
        </w:numPr>
        <w:tabs>
          <w:tab w:val="left" w:pos="1799"/>
        </w:tabs>
        <w:spacing w:before="40" w:line="278" w:lineRule="auto"/>
        <w:ind w:left="1799" w:right="391"/>
        <w:contextualSpacing w:val="0"/>
      </w:pPr>
      <w:r>
        <w:t>This BEAD grant program is a fixed amount subaward and utilizes incremental reimbursements</w:t>
      </w:r>
      <w:r>
        <w:rPr>
          <w:spacing w:val="-5"/>
        </w:rPr>
        <w:t xml:space="preserve"> </w:t>
      </w:r>
      <w:r>
        <w:t>of</w:t>
      </w:r>
      <w:r>
        <w:rPr>
          <w:spacing w:val="-5"/>
        </w:rPr>
        <w:t xml:space="preserve"> </w:t>
      </w:r>
      <w:r>
        <w:t>actual,</w:t>
      </w:r>
      <w:r>
        <w:rPr>
          <w:spacing w:val="-5"/>
        </w:rPr>
        <w:t xml:space="preserve"> </w:t>
      </w:r>
      <w:r>
        <w:t>documented</w:t>
      </w:r>
      <w:r>
        <w:rPr>
          <w:spacing w:val="-5"/>
        </w:rPr>
        <w:t xml:space="preserve"> </w:t>
      </w:r>
      <w:r>
        <w:t>costs.</w:t>
      </w:r>
      <w:r>
        <w:rPr>
          <w:spacing w:val="-5"/>
        </w:rPr>
        <w:t xml:space="preserve"> </w:t>
      </w:r>
      <w:r>
        <w:t>For</w:t>
      </w:r>
      <w:r>
        <w:rPr>
          <w:spacing w:val="-5"/>
        </w:rPr>
        <w:t xml:space="preserve"> </w:t>
      </w:r>
      <w:r>
        <w:t>reimbursements,</w:t>
      </w:r>
      <w:r>
        <w:rPr>
          <w:spacing w:val="-5"/>
        </w:rPr>
        <w:t xml:space="preserve"> </w:t>
      </w:r>
      <w:r>
        <w:t>Grantee</w:t>
      </w:r>
      <w:r>
        <w:rPr>
          <w:spacing w:val="-5"/>
        </w:rPr>
        <w:t xml:space="preserve"> </w:t>
      </w:r>
      <w:r>
        <w:t>shall</w:t>
      </w:r>
      <w:r>
        <w:rPr>
          <w:spacing w:val="-6"/>
        </w:rPr>
        <w:t xml:space="preserve"> </w:t>
      </w:r>
      <w:r>
        <w:t>submit to</w:t>
      </w:r>
      <w:r>
        <w:rPr>
          <w:spacing w:val="-2"/>
        </w:rPr>
        <w:t xml:space="preserve"> </w:t>
      </w:r>
      <w:r>
        <w:t>BPU</w:t>
      </w:r>
      <w:r>
        <w:rPr>
          <w:spacing w:val="-3"/>
        </w:rPr>
        <w:t xml:space="preserve"> </w:t>
      </w:r>
      <w:r>
        <w:t>evidence</w:t>
      </w:r>
      <w:r>
        <w:rPr>
          <w:spacing w:val="-2"/>
        </w:rPr>
        <w:t xml:space="preserve"> </w:t>
      </w:r>
      <w:r>
        <w:t>demonstrating</w:t>
      </w:r>
      <w:r>
        <w:rPr>
          <w:spacing w:val="-2"/>
        </w:rPr>
        <w:t xml:space="preserve"> </w:t>
      </w:r>
      <w:r>
        <w:t>compliance</w:t>
      </w:r>
      <w:r>
        <w:rPr>
          <w:spacing w:val="-2"/>
        </w:rPr>
        <w:t xml:space="preserve"> </w:t>
      </w:r>
      <w:r>
        <w:t>with</w:t>
      </w:r>
      <w:r>
        <w:rPr>
          <w:spacing w:val="-3"/>
        </w:rPr>
        <w:t xml:space="preserve"> </w:t>
      </w:r>
      <w:r>
        <w:t>the</w:t>
      </w:r>
      <w:r>
        <w:rPr>
          <w:spacing w:val="-2"/>
        </w:rPr>
        <w:t xml:space="preserve"> </w:t>
      </w:r>
      <w:r>
        <w:t>performance</w:t>
      </w:r>
      <w:r>
        <w:rPr>
          <w:spacing w:val="-2"/>
        </w:rPr>
        <w:t xml:space="preserve"> </w:t>
      </w:r>
      <w:r>
        <w:t>milestones</w:t>
      </w:r>
      <w:r>
        <w:rPr>
          <w:spacing w:val="-2"/>
        </w:rPr>
        <w:t xml:space="preserve"> </w:t>
      </w:r>
      <w:r>
        <w:t>set</w:t>
      </w:r>
      <w:r>
        <w:rPr>
          <w:spacing w:val="-2"/>
        </w:rPr>
        <w:t xml:space="preserve"> </w:t>
      </w:r>
      <w:r>
        <w:t>forth</w:t>
      </w:r>
      <w:r>
        <w:rPr>
          <w:spacing w:val="-2"/>
        </w:rPr>
        <w:t xml:space="preserve"> </w:t>
      </w:r>
      <w:r>
        <w:t>in the</w:t>
      </w:r>
      <w:r>
        <w:rPr>
          <w:spacing w:val="-5"/>
        </w:rPr>
        <w:t xml:space="preserve"> </w:t>
      </w:r>
      <w:r>
        <w:t>Agreement. BPU will hold in reserve 10% of the total</w:t>
      </w:r>
      <w:r>
        <w:rPr>
          <w:spacing w:val="-5"/>
        </w:rPr>
        <w:t xml:space="preserve"> </w:t>
      </w:r>
      <w:r>
        <w:t>Award</w:t>
      </w:r>
      <w:r>
        <w:rPr>
          <w:spacing w:val="-5"/>
        </w:rPr>
        <w:t xml:space="preserve"> </w:t>
      </w:r>
      <w:r>
        <w:t>Amount to be released upon Project completion and BPU’s acceptance of Grantee’s final report.</w:t>
      </w:r>
    </w:p>
    <w:p w14:paraId="6ED9F277" w14:textId="77777777" w:rsidR="00157E11" w:rsidRDefault="00157E11" w:rsidP="00157E11">
      <w:pPr>
        <w:pStyle w:val="ListParagraph"/>
        <w:numPr>
          <w:ilvl w:val="1"/>
          <w:numId w:val="1"/>
        </w:numPr>
        <w:tabs>
          <w:tab w:val="left" w:pos="1799"/>
        </w:tabs>
        <w:spacing w:line="278" w:lineRule="auto"/>
        <w:ind w:left="1799" w:right="452"/>
        <w:contextualSpacing w:val="0"/>
      </w:pPr>
      <w:r>
        <w:t>Grantee</w:t>
      </w:r>
      <w:r>
        <w:rPr>
          <w:spacing w:val="-5"/>
        </w:rPr>
        <w:t xml:space="preserve"> </w:t>
      </w:r>
      <w:r>
        <w:t>shall</w:t>
      </w:r>
      <w:r>
        <w:rPr>
          <w:spacing w:val="-5"/>
        </w:rPr>
        <w:t xml:space="preserve"> </w:t>
      </w:r>
      <w:r>
        <w:t>adhere</w:t>
      </w:r>
      <w:r>
        <w:rPr>
          <w:spacing w:val="-5"/>
        </w:rPr>
        <w:t xml:space="preserve"> </w:t>
      </w:r>
      <w:r>
        <w:t>to</w:t>
      </w:r>
      <w:r>
        <w:rPr>
          <w:spacing w:val="-5"/>
        </w:rPr>
        <w:t xml:space="preserve"> </w:t>
      </w:r>
      <w:r>
        <w:t>Generally</w:t>
      </w:r>
      <w:r>
        <w:rPr>
          <w:spacing w:val="-16"/>
        </w:rPr>
        <w:t xml:space="preserve"> </w:t>
      </w:r>
      <w:r>
        <w:t>Accepted</w:t>
      </w:r>
      <w:r>
        <w:rPr>
          <w:spacing w:val="-15"/>
        </w:rPr>
        <w:t xml:space="preserve"> </w:t>
      </w:r>
      <w:r>
        <w:t>Accounting</w:t>
      </w:r>
      <w:r>
        <w:rPr>
          <w:spacing w:val="-4"/>
        </w:rPr>
        <w:t xml:space="preserve"> </w:t>
      </w:r>
      <w:r>
        <w:t>Principles</w:t>
      </w:r>
      <w:r>
        <w:rPr>
          <w:spacing w:val="-5"/>
        </w:rPr>
        <w:t xml:space="preserve"> </w:t>
      </w:r>
      <w:r>
        <w:t>(GAAP)</w:t>
      </w:r>
      <w:r>
        <w:rPr>
          <w:spacing w:val="-5"/>
        </w:rPr>
        <w:t xml:space="preserve"> </w:t>
      </w:r>
      <w:r>
        <w:t>for</w:t>
      </w:r>
      <w:r>
        <w:rPr>
          <w:spacing w:val="-5"/>
        </w:rPr>
        <w:t xml:space="preserve"> </w:t>
      </w:r>
      <w:r>
        <w:t>validation of costs.</w:t>
      </w:r>
    </w:p>
    <w:p w14:paraId="3A37B76B" w14:textId="77777777" w:rsidR="00157E11" w:rsidRDefault="00157E11" w:rsidP="00157E11">
      <w:pPr>
        <w:pStyle w:val="ListParagraph"/>
        <w:numPr>
          <w:ilvl w:val="1"/>
          <w:numId w:val="1"/>
        </w:numPr>
        <w:tabs>
          <w:tab w:val="left" w:pos="1798"/>
        </w:tabs>
        <w:spacing w:line="278" w:lineRule="auto"/>
        <w:ind w:left="1798" w:right="429"/>
        <w:contextualSpacing w:val="0"/>
      </w:pPr>
      <w:r>
        <w:t>BPU</w:t>
      </w:r>
      <w:r>
        <w:rPr>
          <w:spacing w:val="-5"/>
        </w:rPr>
        <w:t xml:space="preserve"> </w:t>
      </w:r>
      <w:r>
        <w:t>shall</w:t>
      </w:r>
      <w:r>
        <w:rPr>
          <w:spacing w:val="-4"/>
        </w:rPr>
        <w:t xml:space="preserve"> </w:t>
      </w:r>
      <w:r>
        <w:t>monitor</w:t>
      </w:r>
      <w:r>
        <w:rPr>
          <w:spacing w:val="-4"/>
        </w:rPr>
        <w:t xml:space="preserve"> </w:t>
      </w:r>
      <w:r>
        <w:t>the</w:t>
      </w:r>
      <w:r>
        <w:rPr>
          <w:spacing w:val="-4"/>
        </w:rPr>
        <w:t xml:space="preserve"> </w:t>
      </w:r>
      <w:r>
        <w:t>reasonableness</w:t>
      </w:r>
      <w:r>
        <w:rPr>
          <w:spacing w:val="-4"/>
        </w:rPr>
        <w:t xml:space="preserve"> </w:t>
      </w:r>
      <w:r>
        <w:t>of</w:t>
      </w:r>
      <w:r>
        <w:rPr>
          <w:spacing w:val="-4"/>
        </w:rPr>
        <w:t xml:space="preserve"> </w:t>
      </w:r>
      <w:r>
        <w:t>fixed</w:t>
      </w:r>
      <w:r>
        <w:rPr>
          <w:spacing w:val="-4"/>
        </w:rPr>
        <w:t xml:space="preserve"> </w:t>
      </w:r>
      <w:r>
        <w:t>amount</w:t>
      </w:r>
      <w:r>
        <w:rPr>
          <w:spacing w:val="-4"/>
        </w:rPr>
        <w:t xml:space="preserve"> </w:t>
      </w:r>
      <w:r>
        <w:t>subawards,</w:t>
      </w:r>
      <w:r>
        <w:rPr>
          <w:spacing w:val="-4"/>
        </w:rPr>
        <w:t xml:space="preserve"> </w:t>
      </w:r>
      <w:r>
        <w:t>ensuring</w:t>
      </w:r>
      <w:r>
        <w:rPr>
          <w:spacing w:val="-4"/>
        </w:rPr>
        <w:t xml:space="preserve"> </w:t>
      </w:r>
      <w:r>
        <w:t>compliance with GAAP.</w:t>
      </w:r>
    </w:p>
    <w:p w14:paraId="068444D6" w14:textId="77777777" w:rsidR="00157E11" w:rsidRDefault="00157E11" w:rsidP="00157E11">
      <w:pPr>
        <w:pStyle w:val="ListParagraph"/>
        <w:numPr>
          <w:ilvl w:val="1"/>
          <w:numId w:val="1"/>
        </w:numPr>
        <w:tabs>
          <w:tab w:val="left" w:pos="1798"/>
        </w:tabs>
        <w:spacing w:line="278" w:lineRule="auto"/>
        <w:ind w:left="1798" w:right="429"/>
        <w:contextualSpacing w:val="0"/>
      </w:pPr>
      <w:r>
        <w:t xml:space="preserve">Profits, fees, or other incremental charges above actual cost incurred by the Grantee are not allowable costs under this Program. Additionally, the Grantee, including contractors or subcontractors of grantee, may not use funds received under the BEAD Program to: </w:t>
      </w:r>
    </w:p>
    <w:p w14:paraId="1B518BBA" w14:textId="77777777" w:rsidR="00157E11" w:rsidRDefault="00157E11" w:rsidP="002964D6">
      <w:pPr>
        <w:pStyle w:val="ListParagraph"/>
        <w:numPr>
          <w:ilvl w:val="1"/>
          <w:numId w:val="1"/>
        </w:numPr>
        <w:contextualSpacing w:val="0"/>
      </w:pPr>
      <w:r>
        <w:t xml:space="preserve">(a) Purchase Covered Communications Equipment or Services, as defined in Section 9 of the Secure and Trusted Communications Networks Act of 2019 (47 USC § 1608); or </w:t>
      </w:r>
    </w:p>
    <w:p w14:paraId="226A2B13" w14:textId="77777777" w:rsidR="00157E11" w:rsidRDefault="00157E11" w:rsidP="002964D6">
      <w:pPr>
        <w:pStyle w:val="ListParagraph"/>
        <w:numPr>
          <w:ilvl w:val="1"/>
          <w:numId w:val="1"/>
        </w:numPr>
        <w:contextualSpacing w:val="0"/>
      </w:pPr>
      <w:r>
        <w:t>(b) Directly or indirectly support or oppose collective bargaining.</w:t>
      </w:r>
    </w:p>
    <w:p w14:paraId="5E033CD6" w14:textId="77777777" w:rsidR="00157E11" w:rsidRDefault="00157E11" w:rsidP="00157E11">
      <w:pPr>
        <w:pStyle w:val="BodyText"/>
        <w:spacing w:before="36"/>
      </w:pPr>
    </w:p>
    <w:p w14:paraId="3D41BBC7" w14:textId="77777777" w:rsidR="00157E11" w:rsidRDefault="00157E11" w:rsidP="00157E11">
      <w:pPr>
        <w:pStyle w:val="Heading3"/>
        <w:numPr>
          <w:ilvl w:val="0"/>
          <w:numId w:val="1"/>
        </w:numPr>
        <w:tabs>
          <w:tab w:val="num" w:pos="360"/>
          <w:tab w:val="left" w:pos="1078"/>
        </w:tabs>
        <w:ind w:left="1078" w:hanging="543"/>
        <w:jc w:val="left"/>
      </w:pPr>
      <w:r>
        <w:lastRenderedPageBreak/>
        <w:t>Property</w:t>
      </w:r>
      <w:r>
        <w:rPr>
          <w:spacing w:val="-10"/>
        </w:rPr>
        <w:t xml:space="preserve"> </w:t>
      </w:r>
      <w:r>
        <w:t>Standards</w:t>
      </w:r>
      <w:r>
        <w:rPr>
          <w:spacing w:val="-9"/>
        </w:rPr>
        <w:t xml:space="preserve"> </w:t>
      </w:r>
      <w:r>
        <w:t>for</w:t>
      </w:r>
      <w:r>
        <w:rPr>
          <w:spacing w:val="-10"/>
        </w:rPr>
        <w:t xml:space="preserve"> </w:t>
      </w:r>
      <w:r>
        <w:t>Federally</w:t>
      </w:r>
      <w:r>
        <w:rPr>
          <w:spacing w:val="-9"/>
        </w:rPr>
        <w:t xml:space="preserve"> </w:t>
      </w:r>
      <w:r>
        <w:t>Funded</w:t>
      </w:r>
      <w:r>
        <w:rPr>
          <w:spacing w:val="-9"/>
        </w:rPr>
        <w:t xml:space="preserve"> </w:t>
      </w:r>
      <w:r>
        <w:rPr>
          <w:spacing w:val="-2"/>
        </w:rPr>
        <w:t>Infrastructure</w:t>
      </w:r>
    </w:p>
    <w:p w14:paraId="1DCD9990" w14:textId="77777777" w:rsidR="00157E11" w:rsidRDefault="00157E11" w:rsidP="00157E11">
      <w:pPr>
        <w:pStyle w:val="ListParagraph"/>
        <w:numPr>
          <w:ilvl w:val="1"/>
          <w:numId w:val="1"/>
        </w:numPr>
        <w:tabs>
          <w:tab w:val="left" w:pos="1798"/>
        </w:tabs>
        <w:spacing w:before="40" w:line="278" w:lineRule="auto"/>
        <w:ind w:left="1798" w:right="1480"/>
        <w:contextualSpacing w:val="0"/>
      </w:pPr>
      <w:r>
        <w:t>Ownership</w:t>
      </w:r>
      <w:r>
        <w:rPr>
          <w:spacing w:val="-5"/>
        </w:rPr>
        <w:t xml:space="preserve"> </w:t>
      </w:r>
      <w:r>
        <w:t>of</w:t>
      </w:r>
      <w:r>
        <w:rPr>
          <w:spacing w:val="-16"/>
        </w:rPr>
        <w:t xml:space="preserve"> </w:t>
      </w:r>
      <w:r>
        <w:t>Assets.</w:t>
      </w:r>
      <w:r>
        <w:rPr>
          <w:spacing w:val="-9"/>
        </w:rPr>
        <w:t xml:space="preserve"> </w:t>
      </w:r>
      <w:r>
        <w:t>Title</w:t>
      </w:r>
      <w:r>
        <w:rPr>
          <w:spacing w:val="-5"/>
        </w:rPr>
        <w:t xml:space="preserve"> </w:t>
      </w:r>
      <w:r>
        <w:t>to</w:t>
      </w:r>
      <w:r>
        <w:rPr>
          <w:spacing w:val="-5"/>
        </w:rPr>
        <w:t xml:space="preserve"> </w:t>
      </w:r>
      <w:r>
        <w:t>real</w:t>
      </w:r>
      <w:r>
        <w:rPr>
          <w:spacing w:val="-5"/>
        </w:rPr>
        <w:t xml:space="preserve"> </w:t>
      </w:r>
      <w:r>
        <w:t>property</w:t>
      </w:r>
      <w:r>
        <w:rPr>
          <w:spacing w:val="-5"/>
        </w:rPr>
        <w:t xml:space="preserve"> </w:t>
      </w:r>
      <w:r>
        <w:t>and</w:t>
      </w:r>
      <w:r>
        <w:rPr>
          <w:spacing w:val="-5"/>
        </w:rPr>
        <w:t xml:space="preserve"> </w:t>
      </w:r>
      <w:r>
        <w:t>equipment</w:t>
      </w:r>
      <w:r>
        <w:rPr>
          <w:spacing w:val="-5"/>
        </w:rPr>
        <w:t xml:space="preserve"> </w:t>
      </w:r>
      <w:r>
        <w:t>acquired</w:t>
      </w:r>
      <w:r>
        <w:rPr>
          <w:spacing w:val="-5"/>
        </w:rPr>
        <w:t xml:space="preserve"> </w:t>
      </w:r>
      <w:r>
        <w:t>under</w:t>
      </w:r>
      <w:r>
        <w:rPr>
          <w:spacing w:val="-5"/>
        </w:rPr>
        <w:t xml:space="preserve"> </w:t>
      </w:r>
      <w:r>
        <w:t>this Agreement vests with the Grantee, subject to federal interest requirements.</w:t>
      </w:r>
    </w:p>
    <w:p w14:paraId="7388DBBD" w14:textId="77777777" w:rsidR="00157E11" w:rsidRDefault="00157E11" w:rsidP="00157E11">
      <w:pPr>
        <w:pStyle w:val="ListParagraph"/>
        <w:numPr>
          <w:ilvl w:val="1"/>
          <w:numId w:val="1"/>
        </w:numPr>
        <w:tabs>
          <w:tab w:val="left" w:pos="1798"/>
        </w:tabs>
        <w:spacing w:line="278" w:lineRule="auto"/>
        <w:ind w:left="1798" w:right="404"/>
        <w:contextualSpacing w:val="0"/>
      </w:pPr>
      <w:r>
        <w:t>Federal Interest Period. The federal interest in BEAD-funded broadband infrastructure shall</w:t>
      </w:r>
      <w:r>
        <w:rPr>
          <w:spacing w:val="-5"/>
        </w:rPr>
        <w:t xml:space="preserve"> </w:t>
      </w:r>
      <w:r>
        <w:t>continue</w:t>
      </w:r>
      <w:r>
        <w:rPr>
          <w:spacing w:val="-5"/>
        </w:rPr>
        <w:t xml:space="preserve"> </w:t>
      </w:r>
      <w:r>
        <w:t>for</w:t>
      </w:r>
      <w:r>
        <w:rPr>
          <w:spacing w:val="-5"/>
        </w:rPr>
        <w:t xml:space="preserve"> </w:t>
      </w:r>
      <w:r>
        <w:t>10</w:t>
      </w:r>
      <w:r>
        <w:rPr>
          <w:spacing w:val="-5"/>
        </w:rPr>
        <w:t xml:space="preserve"> </w:t>
      </w:r>
      <w:r>
        <w:t>years</w:t>
      </w:r>
      <w:r>
        <w:rPr>
          <w:spacing w:val="-5"/>
        </w:rPr>
        <w:t xml:space="preserve"> </w:t>
      </w:r>
      <w:r>
        <w:t>following</w:t>
      </w:r>
      <w:r>
        <w:rPr>
          <w:spacing w:val="-5"/>
        </w:rPr>
        <w:t xml:space="preserve"> </w:t>
      </w:r>
      <w:r>
        <w:t>the</w:t>
      </w:r>
      <w:r>
        <w:rPr>
          <w:spacing w:val="-5"/>
        </w:rPr>
        <w:t xml:space="preserve"> </w:t>
      </w:r>
      <w:r>
        <w:t>project</w:t>
      </w:r>
      <w:r>
        <w:rPr>
          <w:spacing w:val="-5"/>
        </w:rPr>
        <w:t xml:space="preserve"> </w:t>
      </w:r>
      <w:r>
        <w:t>closeout</w:t>
      </w:r>
      <w:r>
        <w:rPr>
          <w:spacing w:val="-5"/>
        </w:rPr>
        <w:t xml:space="preserve"> </w:t>
      </w:r>
      <w:r>
        <w:t>per</w:t>
      </w:r>
      <w:r>
        <w:rPr>
          <w:spacing w:val="-5"/>
        </w:rPr>
        <w:t xml:space="preserve"> </w:t>
      </w:r>
      <w:r>
        <w:t>2</w:t>
      </w:r>
      <w:r>
        <w:rPr>
          <w:spacing w:val="-6"/>
        </w:rPr>
        <w:t xml:space="preserve"> </w:t>
      </w:r>
      <w:r>
        <w:t>C.F.R.</w:t>
      </w:r>
      <w:r>
        <w:rPr>
          <w:spacing w:val="-5"/>
        </w:rPr>
        <w:t xml:space="preserve"> </w:t>
      </w:r>
      <w:r>
        <w:t>200.344,</w:t>
      </w:r>
      <w:r>
        <w:rPr>
          <w:spacing w:val="-5"/>
        </w:rPr>
        <w:t xml:space="preserve"> </w:t>
      </w:r>
      <w:r>
        <w:t>as</w:t>
      </w:r>
      <w:r>
        <w:rPr>
          <w:spacing w:val="-5"/>
        </w:rPr>
        <w:t xml:space="preserve"> </w:t>
      </w:r>
      <w:r>
        <w:t xml:space="preserve">further addressed in NTIA’s June 6, </w:t>
      </w:r>
      <w:proofErr w:type="gramStart"/>
      <w:r>
        <w:t>2025</w:t>
      </w:r>
      <w:proofErr w:type="gramEnd"/>
      <w:r>
        <w:t xml:space="preserve"> Policy Notice.</w:t>
      </w:r>
    </w:p>
    <w:p w14:paraId="6462C4DD" w14:textId="77777777" w:rsidR="00157E11" w:rsidRDefault="00157E11" w:rsidP="00157E11">
      <w:pPr>
        <w:pStyle w:val="ListParagraph"/>
        <w:spacing w:line="278" w:lineRule="auto"/>
        <w:sectPr w:rsidR="00157E11" w:rsidSect="00157E11">
          <w:pgSz w:w="12240" w:h="15840"/>
          <w:pgMar w:top="1360" w:right="720" w:bottom="280" w:left="720" w:header="720" w:footer="720" w:gutter="0"/>
          <w:cols w:space="720"/>
        </w:sectPr>
      </w:pPr>
    </w:p>
    <w:p w14:paraId="3C273F02" w14:textId="77777777" w:rsidR="00157E11" w:rsidRDefault="00157E11" w:rsidP="00157E11">
      <w:pPr>
        <w:pStyle w:val="ListParagraph"/>
        <w:numPr>
          <w:ilvl w:val="1"/>
          <w:numId w:val="1"/>
        </w:numPr>
        <w:tabs>
          <w:tab w:val="left" w:pos="1799"/>
        </w:tabs>
        <w:spacing w:before="80" w:line="278" w:lineRule="auto"/>
        <w:ind w:left="1799" w:right="855"/>
        <w:contextualSpacing w:val="0"/>
      </w:pPr>
      <w:r>
        <w:lastRenderedPageBreak/>
        <w:t>Encumbrances</w:t>
      </w:r>
      <w:r>
        <w:rPr>
          <w:spacing w:val="-5"/>
        </w:rPr>
        <w:t xml:space="preserve"> </w:t>
      </w:r>
      <w:r>
        <w:t>&amp;</w:t>
      </w:r>
      <w:r>
        <w:rPr>
          <w:spacing w:val="-5"/>
        </w:rPr>
        <w:t xml:space="preserve"> </w:t>
      </w:r>
      <w:r>
        <w:t>Disposition.</w:t>
      </w:r>
      <w:r>
        <w:rPr>
          <w:spacing w:val="-5"/>
        </w:rPr>
        <w:t xml:space="preserve"> </w:t>
      </w:r>
      <w:r>
        <w:t>Grantee</w:t>
      </w:r>
      <w:r>
        <w:rPr>
          <w:spacing w:val="-5"/>
        </w:rPr>
        <w:t xml:space="preserve"> </w:t>
      </w:r>
      <w:r>
        <w:t>may</w:t>
      </w:r>
      <w:r>
        <w:rPr>
          <w:spacing w:val="-5"/>
        </w:rPr>
        <w:t xml:space="preserve"> </w:t>
      </w:r>
      <w:r>
        <w:t>not</w:t>
      </w:r>
      <w:r>
        <w:rPr>
          <w:spacing w:val="-5"/>
        </w:rPr>
        <w:t xml:space="preserve"> </w:t>
      </w:r>
      <w:r>
        <w:t>sell,</w:t>
      </w:r>
      <w:r>
        <w:rPr>
          <w:spacing w:val="-5"/>
        </w:rPr>
        <w:t xml:space="preserve"> </w:t>
      </w:r>
      <w:r>
        <w:t>transfer,</w:t>
      </w:r>
      <w:r>
        <w:rPr>
          <w:spacing w:val="-5"/>
        </w:rPr>
        <w:t xml:space="preserve"> </w:t>
      </w:r>
      <w:r>
        <w:t>or</w:t>
      </w:r>
      <w:r>
        <w:rPr>
          <w:spacing w:val="-5"/>
        </w:rPr>
        <w:t xml:space="preserve"> </w:t>
      </w:r>
      <w:r>
        <w:t>lease</w:t>
      </w:r>
      <w:r>
        <w:rPr>
          <w:spacing w:val="-5"/>
        </w:rPr>
        <w:t xml:space="preserve"> </w:t>
      </w:r>
      <w:r>
        <w:t>project</w:t>
      </w:r>
      <w:r>
        <w:rPr>
          <w:spacing w:val="-5"/>
        </w:rPr>
        <w:t xml:space="preserve"> </w:t>
      </w:r>
      <w:r>
        <w:t>assets without BPU and NTIA approval.</w:t>
      </w:r>
    </w:p>
    <w:p w14:paraId="48A8F8B5" w14:textId="77777777" w:rsidR="00157E11" w:rsidRDefault="00157E11" w:rsidP="00157E11">
      <w:pPr>
        <w:pStyle w:val="ListParagraph"/>
        <w:numPr>
          <w:ilvl w:val="1"/>
          <w:numId w:val="1"/>
        </w:numPr>
        <w:tabs>
          <w:tab w:val="left" w:pos="1799"/>
        </w:tabs>
        <w:spacing w:line="278" w:lineRule="auto"/>
        <w:ind w:left="1799" w:right="390"/>
        <w:contextualSpacing w:val="0"/>
      </w:pPr>
      <w:r>
        <w:t xml:space="preserve">Grantee must record </w:t>
      </w:r>
      <w:proofErr w:type="gramStart"/>
      <w:r>
        <w:t>liens</w:t>
      </w:r>
      <w:proofErr w:type="gramEnd"/>
      <w:r>
        <w:t xml:space="preserve"> or notices of federal interest on all assets. If assets are disposed</w:t>
      </w:r>
      <w:r>
        <w:rPr>
          <w:spacing w:val="-4"/>
        </w:rPr>
        <w:t xml:space="preserve"> </w:t>
      </w:r>
      <w:r>
        <w:t>of</w:t>
      </w:r>
      <w:r>
        <w:rPr>
          <w:spacing w:val="-5"/>
        </w:rPr>
        <w:t xml:space="preserve"> </w:t>
      </w:r>
      <w:r>
        <w:t>during</w:t>
      </w:r>
      <w:r>
        <w:rPr>
          <w:spacing w:val="-4"/>
        </w:rPr>
        <w:t xml:space="preserve"> </w:t>
      </w:r>
      <w:r>
        <w:t>the</w:t>
      </w:r>
      <w:r>
        <w:rPr>
          <w:spacing w:val="-4"/>
        </w:rPr>
        <w:t xml:space="preserve"> </w:t>
      </w:r>
      <w:r>
        <w:t>Federal</w:t>
      </w:r>
      <w:r>
        <w:rPr>
          <w:spacing w:val="-4"/>
        </w:rPr>
        <w:t xml:space="preserve"> </w:t>
      </w:r>
      <w:r>
        <w:t>Interest</w:t>
      </w:r>
      <w:r>
        <w:rPr>
          <w:spacing w:val="-4"/>
        </w:rPr>
        <w:t xml:space="preserve"> </w:t>
      </w:r>
      <w:r>
        <w:t>Period,</w:t>
      </w:r>
      <w:r>
        <w:rPr>
          <w:spacing w:val="-4"/>
        </w:rPr>
        <w:t xml:space="preserve"> </w:t>
      </w:r>
      <w:r>
        <w:t>the</w:t>
      </w:r>
      <w:r>
        <w:rPr>
          <w:spacing w:val="-4"/>
        </w:rPr>
        <w:t xml:space="preserve"> </w:t>
      </w:r>
      <w:r>
        <w:t>U.S.</w:t>
      </w:r>
      <w:r>
        <w:rPr>
          <w:spacing w:val="-4"/>
        </w:rPr>
        <w:t xml:space="preserve"> </w:t>
      </w:r>
      <w:r>
        <w:t>government</w:t>
      </w:r>
      <w:r>
        <w:rPr>
          <w:spacing w:val="-4"/>
        </w:rPr>
        <w:t xml:space="preserve"> </w:t>
      </w:r>
      <w:r>
        <w:t>must</w:t>
      </w:r>
      <w:r>
        <w:rPr>
          <w:spacing w:val="-4"/>
        </w:rPr>
        <w:t xml:space="preserve"> </w:t>
      </w:r>
      <w:r>
        <w:t>be</w:t>
      </w:r>
      <w:r>
        <w:rPr>
          <w:spacing w:val="-4"/>
        </w:rPr>
        <w:t xml:space="preserve"> </w:t>
      </w:r>
      <w:r>
        <w:t>reimbursed based on its percentage of project cost.</w:t>
      </w:r>
    </w:p>
    <w:p w14:paraId="155A0E73" w14:textId="77777777" w:rsidR="00157E11" w:rsidRDefault="00157E11" w:rsidP="00157E11">
      <w:pPr>
        <w:pStyle w:val="BodyText"/>
        <w:spacing w:before="37"/>
      </w:pPr>
    </w:p>
    <w:p w14:paraId="3AE90B53" w14:textId="77777777" w:rsidR="00157E11" w:rsidRDefault="00157E11" w:rsidP="00157E11">
      <w:pPr>
        <w:pStyle w:val="Heading3"/>
        <w:numPr>
          <w:ilvl w:val="0"/>
          <w:numId w:val="1"/>
        </w:numPr>
        <w:tabs>
          <w:tab w:val="num" w:pos="360"/>
          <w:tab w:val="left" w:pos="1079"/>
        </w:tabs>
        <w:ind w:left="0" w:hanging="543"/>
        <w:jc w:val="left"/>
      </w:pPr>
      <w:r>
        <w:t>Compliance</w:t>
      </w:r>
      <w:r>
        <w:rPr>
          <w:spacing w:val="-12"/>
        </w:rPr>
        <w:t xml:space="preserve"> </w:t>
      </w:r>
      <w:r>
        <w:t>with</w:t>
      </w:r>
      <w:r>
        <w:rPr>
          <w:spacing w:val="-9"/>
        </w:rPr>
        <w:t xml:space="preserve"> </w:t>
      </w:r>
      <w:r>
        <w:t>Build</w:t>
      </w:r>
      <w:r>
        <w:rPr>
          <w:spacing w:val="-15"/>
        </w:rPr>
        <w:t xml:space="preserve"> </w:t>
      </w:r>
      <w:r>
        <w:t>America,</w:t>
      </w:r>
      <w:r>
        <w:rPr>
          <w:spacing w:val="-8"/>
        </w:rPr>
        <w:t xml:space="preserve"> </w:t>
      </w:r>
      <w:r>
        <w:t>Buy</w:t>
      </w:r>
      <w:r>
        <w:rPr>
          <w:spacing w:val="-15"/>
        </w:rPr>
        <w:t xml:space="preserve"> </w:t>
      </w:r>
      <w:r>
        <w:t>America</w:t>
      </w:r>
      <w:r>
        <w:rPr>
          <w:spacing w:val="-9"/>
        </w:rPr>
        <w:t xml:space="preserve"> </w:t>
      </w:r>
      <w:r>
        <w:rPr>
          <w:spacing w:val="-2"/>
        </w:rPr>
        <w:t>(BABA)</w:t>
      </w:r>
    </w:p>
    <w:p w14:paraId="196435D0" w14:textId="77777777" w:rsidR="00157E11" w:rsidRDefault="00157E11" w:rsidP="00157E11">
      <w:pPr>
        <w:pStyle w:val="ListParagraph"/>
        <w:numPr>
          <w:ilvl w:val="1"/>
          <w:numId w:val="1"/>
        </w:numPr>
        <w:tabs>
          <w:tab w:val="left" w:pos="1799"/>
        </w:tabs>
        <w:spacing w:before="40" w:line="278" w:lineRule="auto"/>
        <w:ind w:left="1799" w:right="481"/>
        <w:contextualSpacing w:val="0"/>
      </w:pPr>
      <w:r>
        <w:t>Grantee</w:t>
      </w:r>
      <w:r>
        <w:rPr>
          <w:spacing w:val="-6"/>
        </w:rPr>
        <w:t xml:space="preserve"> </w:t>
      </w:r>
      <w:r>
        <w:t>shall</w:t>
      </w:r>
      <w:r>
        <w:rPr>
          <w:spacing w:val="-5"/>
        </w:rPr>
        <w:t xml:space="preserve"> </w:t>
      </w:r>
      <w:r>
        <w:t>comply</w:t>
      </w:r>
      <w:r>
        <w:rPr>
          <w:spacing w:val="-5"/>
        </w:rPr>
        <w:t xml:space="preserve"> </w:t>
      </w:r>
      <w:r>
        <w:t>with</w:t>
      </w:r>
      <w:r>
        <w:rPr>
          <w:spacing w:val="-5"/>
        </w:rPr>
        <w:t xml:space="preserve"> </w:t>
      </w:r>
      <w:r>
        <w:t>the</w:t>
      </w:r>
      <w:r>
        <w:rPr>
          <w:spacing w:val="-5"/>
        </w:rPr>
        <w:t xml:space="preserve"> </w:t>
      </w:r>
      <w:r>
        <w:t>Build</w:t>
      </w:r>
      <w:r>
        <w:rPr>
          <w:spacing w:val="-16"/>
        </w:rPr>
        <w:t xml:space="preserve"> </w:t>
      </w:r>
      <w:r>
        <w:t>America,</w:t>
      </w:r>
      <w:r>
        <w:rPr>
          <w:spacing w:val="-4"/>
        </w:rPr>
        <w:t xml:space="preserve"> </w:t>
      </w:r>
      <w:r>
        <w:t>Buy</w:t>
      </w:r>
      <w:r>
        <w:rPr>
          <w:spacing w:val="-16"/>
        </w:rPr>
        <w:t xml:space="preserve"> </w:t>
      </w:r>
      <w:r>
        <w:t>America</w:t>
      </w:r>
      <w:r>
        <w:rPr>
          <w:spacing w:val="-15"/>
        </w:rPr>
        <w:t xml:space="preserve"> </w:t>
      </w:r>
      <w:r>
        <w:t>Act</w:t>
      </w:r>
      <w:r>
        <w:rPr>
          <w:spacing w:val="-4"/>
        </w:rPr>
        <w:t xml:space="preserve"> </w:t>
      </w:r>
      <w:r>
        <w:t>(BABA),</w:t>
      </w:r>
      <w:r>
        <w:rPr>
          <w:spacing w:val="-4"/>
        </w:rPr>
        <w:t xml:space="preserve"> </w:t>
      </w:r>
      <w:r>
        <w:t>Pub.</w:t>
      </w:r>
      <w:r>
        <w:rPr>
          <w:spacing w:val="-5"/>
        </w:rPr>
        <w:t xml:space="preserve"> </w:t>
      </w:r>
      <w:r>
        <w:t>L.</w:t>
      </w:r>
      <w:r>
        <w:rPr>
          <w:spacing w:val="-5"/>
        </w:rPr>
        <w:t xml:space="preserve"> </w:t>
      </w:r>
      <w:r>
        <w:t>No.</w:t>
      </w:r>
      <w:r>
        <w:rPr>
          <w:spacing w:val="-5"/>
        </w:rPr>
        <w:t xml:space="preserve"> </w:t>
      </w:r>
      <w:r>
        <w:t>117-58, § 70901 et seq., ensuring that all iron, steel, manufactured products, and construction materials are sourced from the United States.</w:t>
      </w:r>
    </w:p>
    <w:p w14:paraId="34712B0E" w14:textId="77777777" w:rsidR="00157E11" w:rsidRDefault="00157E11" w:rsidP="00157E11">
      <w:pPr>
        <w:pStyle w:val="ListParagraph"/>
        <w:numPr>
          <w:ilvl w:val="1"/>
          <w:numId w:val="1"/>
        </w:numPr>
        <w:tabs>
          <w:tab w:val="left" w:pos="1799"/>
        </w:tabs>
        <w:spacing w:line="278" w:lineRule="auto"/>
        <w:ind w:left="1799" w:right="607"/>
        <w:contextualSpacing w:val="0"/>
      </w:pPr>
      <w:r>
        <w:t>Waivers</w:t>
      </w:r>
      <w:r>
        <w:rPr>
          <w:spacing w:val="-4"/>
        </w:rPr>
        <w:t xml:space="preserve"> </w:t>
      </w:r>
      <w:r>
        <w:t>may</w:t>
      </w:r>
      <w:r>
        <w:rPr>
          <w:spacing w:val="-4"/>
        </w:rPr>
        <w:t xml:space="preserve"> </w:t>
      </w:r>
      <w:r>
        <w:t>only</w:t>
      </w:r>
      <w:r>
        <w:rPr>
          <w:spacing w:val="-4"/>
        </w:rPr>
        <w:t xml:space="preserve"> </w:t>
      </w:r>
      <w:r>
        <w:t>be</w:t>
      </w:r>
      <w:r>
        <w:rPr>
          <w:spacing w:val="-4"/>
        </w:rPr>
        <w:t xml:space="preserve"> </w:t>
      </w:r>
      <w:r>
        <w:t>granted</w:t>
      </w:r>
      <w:r>
        <w:rPr>
          <w:spacing w:val="-4"/>
        </w:rPr>
        <w:t xml:space="preserve"> </w:t>
      </w:r>
      <w:r>
        <w:t>in</w:t>
      </w:r>
      <w:r>
        <w:rPr>
          <w:spacing w:val="-4"/>
        </w:rPr>
        <w:t xml:space="preserve"> </w:t>
      </w:r>
      <w:r>
        <w:t>accordance</w:t>
      </w:r>
      <w:r>
        <w:rPr>
          <w:spacing w:val="-4"/>
        </w:rPr>
        <w:t xml:space="preserve"> </w:t>
      </w:r>
      <w:r>
        <w:t>with</w:t>
      </w:r>
      <w:r>
        <w:rPr>
          <w:spacing w:val="-4"/>
        </w:rPr>
        <w:t xml:space="preserve"> </w:t>
      </w:r>
      <w:r>
        <w:t>federal</w:t>
      </w:r>
      <w:r>
        <w:rPr>
          <w:spacing w:val="-4"/>
        </w:rPr>
        <w:t xml:space="preserve"> </w:t>
      </w:r>
      <w:r>
        <w:t>law</w:t>
      </w:r>
      <w:r>
        <w:rPr>
          <w:spacing w:val="-5"/>
        </w:rPr>
        <w:t xml:space="preserve"> </w:t>
      </w:r>
      <w:r>
        <w:t>and</w:t>
      </w:r>
      <w:r>
        <w:rPr>
          <w:spacing w:val="-4"/>
        </w:rPr>
        <w:t xml:space="preserve"> </w:t>
      </w:r>
      <w:r>
        <w:t>must</w:t>
      </w:r>
      <w:r>
        <w:rPr>
          <w:spacing w:val="-4"/>
        </w:rPr>
        <w:t xml:space="preserve"> </w:t>
      </w:r>
      <w:r>
        <w:t>be</w:t>
      </w:r>
      <w:r>
        <w:rPr>
          <w:spacing w:val="-4"/>
        </w:rPr>
        <w:t xml:space="preserve"> </w:t>
      </w:r>
      <w:r>
        <w:t>approved</w:t>
      </w:r>
      <w:r>
        <w:rPr>
          <w:spacing w:val="-5"/>
        </w:rPr>
        <w:t xml:space="preserve"> </w:t>
      </w:r>
      <w:r>
        <w:t>by NTIA and the Office of Management and Budget (OMB).</w:t>
      </w:r>
    </w:p>
    <w:p w14:paraId="748D7E4A" w14:textId="77777777" w:rsidR="00157E11" w:rsidRDefault="00157E11" w:rsidP="00157E11">
      <w:pPr>
        <w:pStyle w:val="ListParagraph"/>
        <w:numPr>
          <w:ilvl w:val="1"/>
          <w:numId w:val="1"/>
        </w:numPr>
        <w:tabs>
          <w:tab w:val="left" w:pos="1799"/>
        </w:tabs>
        <w:spacing w:line="278" w:lineRule="auto"/>
        <w:ind w:left="1799" w:right="607"/>
        <w:contextualSpacing w:val="0"/>
      </w:pPr>
      <w:r>
        <w:t>The Grantee shall obtain and retain manufacturer certifications demonstrating compliance with Build America, Buy America (BABA) requirements and shall provide such documentation upon request.</w:t>
      </w:r>
    </w:p>
    <w:p w14:paraId="7332E4A6" w14:textId="77777777" w:rsidR="00157E11" w:rsidRDefault="00157E11" w:rsidP="00157E11">
      <w:pPr>
        <w:pStyle w:val="BodyText"/>
        <w:spacing w:before="38"/>
      </w:pPr>
    </w:p>
    <w:p w14:paraId="027AB99B" w14:textId="77777777" w:rsidR="00157E11" w:rsidRDefault="00157E11" w:rsidP="00157E11">
      <w:pPr>
        <w:pStyle w:val="Heading3"/>
        <w:numPr>
          <w:ilvl w:val="0"/>
          <w:numId w:val="1"/>
        </w:numPr>
        <w:tabs>
          <w:tab w:val="num" w:pos="360"/>
          <w:tab w:val="left" w:pos="1079"/>
        </w:tabs>
        <w:spacing w:before="1"/>
        <w:ind w:left="0" w:firstLine="0"/>
        <w:jc w:val="left"/>
      </w:pPr>
      <w:r>
        <w:t>Audit</w:t>
      </w:r>
      <w:r>
        <w:rPr>
          <w:spacing w:val="-7"/>
        </w:rPr>
        <w:t xml:space="preserve"> </w:t>
      </w:r>
      <w:r>
        <w:rPr>
          <w:spacing w:val="-2"/>
        </w:rPr>
        <w:t>Requirements</w:t>
      </w:r>
    </w:p>
    <w:p w14:paraId="392F282E" w14:textId="77777777" w:rsidR="00157E11" w:rsidRDefault="00157E11" w:rsidP="00157E11">
      <w:pPr>
        <w:pStyle w:val="ListParagraph"/>
        <w:numPr>
          <w:ilvl w:val="1"/>
          <w:numId w:val="1"/>
        </w:numPr>
        <w:tabs>
          <w:tab w:val="left" w:pos="1799"/>
        </w:tabs>
        <w:spacing w:before="39" w:line="278" w:lineRule="auto"/>
        <w:ind w:left="1799" w:right="511"/>
        <w:contextualSpacing w:val="0"/>
      </w:pPr>
      <w:r>
        <w:t>Single</w:t>
      </w:r>
      <w:r>
        <w:rPr>
          <w:spacing w:val="-2"/>
        </w:rPr>
        <w:t xml:space="preserve"> </w:t>
      </w:r>
      <w:r>
        <w:t>Audit Compliance.</w:t>
      </w:r>
      <w:r>
        <w:rPr>
          <w:spacing w:val="-2"/>
        </w:rPr>
        <w:t xml:space="preserve"> </w:t>
      </w:r>
      <w:r>
        <w:t>Any non-federal entity that expends $750,000 or more in federal</w:t>
      </w:r>
      <w:r>
        <w:rPr>
          <w:spacing w:val="-3"/>
        </w:rPr>
        <w:t xml:space="preserve"> </w:t>
      </w:r>
      <w:r>
        <w:t>funds</w:t>
      </w:r>
      <w:r>
        <w:rPr>
          <w:spacing w:val="-3"/>
        </w:rPr>
        <w:t xml:space="preserve"> </w:t>
      </w:r>
      <w:r>
        <w:t>during</w:t>
      </w:r>
      <w:r>
        <w:rPr>
          <w:spacing w:val="-3"/>
        </w:rPr>
        <w:t xml:space="preserve"> </w:t>
      </w:r>
      <w:r>
        <w:t>a</w:t>
      </w:r>
      <w:r>
        <w:rPr>
          <w:spacing w:val="-3"/>
        </w:rPr>
        <w:t xml:space="preserve"> </w:t>
      </w:r>
      <w:r>
        <w:t>fiscal</w:t>
      </w:r>
      <w:r>
        <w:rPr>
          <w:spacing w:val="-3"/>
        </w:rPr>
        <w:t xml:space="preserve"> </w:t>
      </w:r>
      <w:r>
        <w:t>year</w:t>
      </w:r>
      <w:r>
        <w:rPr>
          <w:spacing w:val="-5"/>
        </w:rPr>
        <w:t xml:space="preserve"> </w:t>
      </w:r>
      <w:r>
        <w:t>is</w:t>
      </w:r>
      <w:r>
        <w:rPr>
          <w:spacing w:val="-4"/>
        </w:rPr>
        <w:t xml:space="preserve"> </w:t>
      </w:r>
      <w:r>
        <w:t>subject</w:t>
      </w:r>
      <w:r>
        <w:rPr>
          <w:spacing w:val="-3"/>
        </w:rPr>
        <w:t xml:space="preserve"> </w:t>
      </w:r>
      <w:r>
        <w:t>to</w:t>
      </w:r>
      <w:r>
        <w:rPr>
          <w:spacing w:val="-3"/>
        </w:rPr>
        <w:t xml:space="preserve"> </w:t>
      </w:r>
      <w:r>
        <w:t>the</w:t>
      </w:r>
      <w:r>
        <w:rPr>
          <w:spacing w:val="-3"/>
        </w:rPr>
        <w:t xml:space="preserve"> </w:t>
      </w:r>
      <w:r>
        <w:t>Single</w:t>
      </w:r>
      <w:r>
        <w:rPr>
          <w:spacing w:val="-14"/>
        </w:rPr>
        <w:t xml:space="preserve"> </w:t>
      </w:r>
      <w:r>
        <w:t>Audit</w:t>
      </w:r>
      <w:r>
        <w:rPr>
          <w:spacing w:val="-14"/>
        </w:rPr>
        <w:t xml:space="preserve"> </w:t>
      </w:r>
      <w:r>
        <w:t>Act</w:t>
      </w:r>
      <w:r>
        <w:rPr>
          <w:spacing w:val="-3"/>
        </w:rPr>
        <w:t xml:space="preserve"> </w:t>
      </w:r>
      <w:r>
        <w:t>(2</w:t>
      </w:r>
      <w:r>
        <w:rPr>
          <w:spacing w:val="-3"/>
        </w:rPr>
        <w:t xml:space="preserve"> </w:t>
      </w:r>
      <w:r>
        <w:t>CFR</w:t>
      </w:r>
      <w:r>
        <w:rPr>
          <w:spacing w:val="-4"/>
        </w:rPr>
        <w:t xml:space="preserve"> </w:t>
      </w:r>
      <w:r>
        <w:t>200.501)</w:t>
      </w:r>
      <w:r>
        <w:rPr>
          <w:spacing w:val="-3"/>
        </w:rPr>
        <w:t xml:space="preserve"> </w:t>
      </w:r>
      <w:r>
        <w:t>and must submit audit reports to the Federal Audit Clearinghouse.</w:t>
      </w:r>
    </w:p>
    <w:p w14:paraId="61254161" w14:textId="77777777" w:rsidR="00157E11" w:rsidRDefault="00157E11" w:rsidP="00157E11">
      <w:pPr>
        <w:pStyle w:val="ListParagraph"/>
        <w:numPr>
          <w:ilvl w:val="1"/>
          <w:numId w:val="1"/>
        </w:numPr>
        <w:tabs>
          <w:tab w:val="left" w:pos="1798"/>
        </w:tabs>
        <w:spacing w:line="251" w:lineRule="exact"/>
        <w:ind w:left="1798" w:hanging="359"/>
        <w:contextualSpacing w:val="0"/>
      </w:pPr>
      <w:r>
        <w:t>Audit</w:t>
      </w:r>
      <w:r>
        <w:rPr>
          <w:spacing w:val="-10"/>
        </w:rPr>
        <w:t xml:space="preserve"> </w:t>
      </w:r>
      <w:r>
        <w:t>Requirements</w:t>
      </w:r>
      <w:r>
        <w:rPr>
          <w:spacing w:val="-9"/>
        </w:rPr>
        <w:t xml:space="preserve"> </w:t>
      </w:r>
      <w:r>
        <w:t>for</w:t>
      </w:r>
      <w:r>
        <w:rPr>
          <w:spacing w:val="-10"/>
        </w:rPr>
        <w:t xml:space="preserve"> </w:t>
      </w:r>
      <w:r>
        <w:t>Commercial</w:t>
      </w:r>
      <w:r>
        <w:rPr>
          <w:spacing w:val="-10"/>
        </w:rPr>
        <w:t xml:space="preserve"> </w:t>
      </w:r>
      <w:r>
        <w:rPr>
          <w:spacing w:val="-2"/>
        </w:rPr>
        <w:t>Grantees</w:t>
      </w:r>
    </w:p>
    <w:p w14:paraId="6D4A20D2" w14:textId="77777777" w:rsidR="00157E11" w:rsidRDefault="00157E11" w:rsidP="00157E11">
      <w:pPr>
        <w:pStyle w:val="ListParagraph"/>
        <w:numPr>
          <w:ilvl w:val="2"/>
          <w:numId w:val="1"/>
        </w:numPr>
        <w:tabs>
          <w:tab w:val="left" w:pos="2517"/>
          <w:tab w:val="left" w:pos="2519"/>
        </w:tabs>
        <w:spacing w:before="40" w:line="278" w:lineRule="auto"/>
        <w:ind w:right="1021"/>
        <w:contextualSpacing w:val="0"/>
      </w:pPr>
      <w:r>
        <w:t>If</w:t>
      </w:r>
      <w:r>
        <w:rPr>
          <w:spacing w:val="-5"/>
        </w:rPr>
        <w:t xml:space="preserve"> </w:t>
      </w:r>
      <w:r>
        <w:t>Grantee</w:t>
      </w:r>
      <w:r>
        <w:rPr>
          <w:spacing w:val="-5"/>
        </w:rPr>
        <w:t xml:space="preserve"> </w:t>
      </w:r>
      <w:r>
        <w:t>is</w:t>
      </w:r>
      <w:r>
        <w:rPr>
          <w:spacing w:val="-5"/>
        </w:rPr>
        <w:t xml:space="preserve"> </w:t>
      </w:r>
      <w:r>
        <w:t>a</w:t>
      </w:r>
      <w:r>
        <w:rPr>
          <w:spacing w:val="-5"/>
        </w:rPr>
        <w:t xml:space="preserve"> </w:t>
      </w:r>
      <w:r>
        <w:t>for-profit</w:t>
      </w:r>
      <w:r>
        <w:rPr>
          <w:spacing w:val="-6"/>
        </w:rPr>
        <w:t xml:space="preserve"> </w:t>
      </w:r>
      <w:r>
        <w:t>entity,</w:t>
      </w:r>
      <w:r>
        <w:rPr>
          <w:spacing w:val="-5"/>
        </w:rPr>
        <w:t xml:space="preserve"> </w:t>
      </w:r>
      <w:r>
        <w:t>BPU</w:t>
      </w:r>
      <w:r>
        <w:rPr>
          <w:spacing w:val="-6"/>
        </w:rPr>
        <w:t xml:space="preserve"> </w:t>
      </w:r>
      <w:r>
        <w:t>may</w:t>
      </w:r>
      <w:r>
        <w:rPr>
          <w:spacing w:val="-5"/>
        </w:rPr>
        <w:t xml:space="preserve"> </w:t>
      </w:r>
      <w:r>
        <w:t>require</w:t>
      </w:r>
      <w:r>
        <w:rPr>
          <w:spacing w:val="-5"/>
        </w:rPr>
        <w:t xml:space="preserve"> </w:t>
      </w:r>
      <w:r>
        <w:t>pre-award</w:t>
      </w:r>
      <w:r>
        <w:rPr>
          <w:spacing w:val="-5"/>
        </w:rPr>
        <w:t xml:space="preserve"> </w:t>
      </w:r>
      <w:r>
        <w:t>audits,</w:t>
      </w:r>
      <w:r>
        <w:rPr>
          <w:spacing w:val="-5"/>
        </w:rPr>
        <w:t xml:space="preserve"> </w:t>
      </w:r>
      <w:r>
        <w:t>financial monitoring, and post-award audits per 2 C.F.R. 200.501(h).</w:t>
      </w:r>
    </w:p>
    <w:p w14:paraId="4FD9F86C" w14:textId="77777777" w:rsidR="00157E11" w:rsidRDefault="00157E11" w:rsidP="00157E11">
      <w:pPr>
        <w:pStyle w:val="ListParagraph"/>
        <w:numPr>
          <w:ilvl w:val="2"/>
          <w:numId w:val="1"/>
        </w:numPr>
        <w:tabs>
          <w:tab w:val="left" w:pos="2516"/>
          <w:tab w:val="left" w:pos="2519"/>
        </w:tabs>
        <w:spacing w:line="278" w:lineRule="auto"/>
        <w:ind w:right="616" w:hanging="339"/>
        <w:contextualSpacing w:val="0"/>
      </w:pPr>
      <w:r>
        <w:t>NTIA</w:t>
      </w:r>
      <w:r>
        <w:rPr>
          <w:spacing w:val="-15"/>
        </w:rPr>
        <w:t xml:space="preserve"> </w:t>
      </w:r>
      <w:r>
        <w:t>and</w:t>
      </w:r>
      <w:r>
        <w:rPr>
          <w:spacing w:val="-4"/>
        </w:rPr>
        <w:t xml:space="preserve"> </w:t>
      </w:r>
      <w:r>
        <w:t>the</w:t>
      </w:r>
      <w:r>
        <w:rPr>
          <w:spacing w:val="-4"/>
        </w:rPr>
        <w:t xml:space="preserve"> </w:t>
      </w:r>
      <w:r>
        <w:t>U.S.</w:t>
      </w:r>
      <w:r>
        <w:rPr>
          <w:spacing w:val="-4"/>
        </w:rPr>
        <w:t xml:space="preserve"> </w:t>
      </w:r>
      <w:r>
        <w:t>Department</w:t>
      </w:r>
      <w:r>
        <w:rPr>
          <w:spacing w:val="-4"/>
        </w:rPr>
        <w:t xml:space="preserve"> </w:t>
      </w:r>
      <w:r>
        <w:t>of</w:t>
      </w:r>
      <w:r>
        <w:rPr>
          <w:spacing w:val="-4"/>
        </w:rPr>
        <w:t xml:space="preserve"> </w:t>
      </w:r>
      <w:r>
        <w:t>Commerce</w:t>
      </w:r>
      <w:r>
        <w:rPr>
          <w:spacing w:val="-3"/>
        </w:rPr>
        <w:t xml:space="preserve"> </w:t>
      </w:r>
      <w:r>
        <w:t>Office</w:t>
      </w:r>
      <w:r>
        <w:rPr>
          <w:spacing w:val="-4"/>
        </w:rPr>
        <w:t xml:space="preserve"> </w:t>
      </w:r>
      <w:r>
        <w:t>of</w:t>
      </w:r>
      <w:r>
        <w:rPr>
          <w:spacing w:val="-4"/>
        </w:rPr>
        <w:t xml:space="preserve"> </w:t>
      </w:r>
      <w:r>
        <w:t>Inspector</w:t>
      </w:r>
      <w:r>
        <w:rPr>
          <w:spacing w:val="-4"/>
        </w:rPr>
        <w:t xml:space="preserve"> </w:t>
      </w:r>
      <w:r>
        <w:t>General</w:t>
      </w:r>
      <w:r>
        <w:rPr>
          <w:spacing w:val="-4"/>
        </w:rPr>
        <w:t xml:space="preserve"> </w:t>
      </w:r>
      <w:r>
        <w:t>(OIG) reserve the right to audit any BEAD subrecipient at any time.</w:t>
      </w:r>
    </w:p>
    <w:p w14:paraId="781C22DE" w14:textId="77777777" w:rsidR="00157E11" w:rsidRDefault="00157E11" w:rsidP="00157E11">
      <w:pPr>
        <w:pStyle w:val="BodyText"/>
        <w:spacing w:before="38"/>
      </w:pPr>
    </w:p>
    <w:p w14:paraId="6A72A478" w14:textId="77777777" w:rsidR="00157E11" w:rsidRDefault="00157E11" w:rsidP="00157E11">
      <w:pPr>
        <w:pStyle w:val="Heading3"/>
        <w:numPr>
          <w:ilvl w:val="0"/>
          <w:numId w:val="1"/>
        </w:numPr>
        <w:tabs>
          <w:tab w:val="num" w:pos="360"/>
          <w:tab w:val="left" w:pos="1079"/>
        </w:tabs>
        <w:ind w:left="0" w:hanging="666"/>
        <w:jc w:val="left"/>
      </w:pPr>
      <w:r>
        <w:t>Certification</w:t>
      </w:r>
      <w:r>
        <w:rPr>
          <w:spacing w:val="-9"/>
        </w:rPr>
        <w:t xml:space="preserve"> </w:t>
      </w:r>
      <w:r>
        <w:t>of</w:t>
      </w:r>
      <w:r>
        <w:rPr>
          <w:spacing w:val="-8"/>
        </w:rPr>
        <w:t xml:space="preserve"> </w:t>
      </w:r>
      <w:r>
        <w:t>Project</w:t>
      </w:r>
      <w:r>
        <w:rPr>
          <w:spacing w:val="-9"/>
        </w:rPr>
        <w:t xml:space="preserve"> </w:t>
      </w:r>
      <w:r>
        <w:rPr>
          <w:spacing w:val="-2"/>
        </w:rPr>
        <w:t>Completion</w:t>
      </w:r>
    </w:p>
    <w:p w14:paraId="4B1C7951" w14:textId="77777777" w:rsidR="00157E11" w:rsidRDefault="00157E11" w:rsidP="00157E11">
      <w:pPr>
        <w:pStyle w:val="ListParagraph"/>
        <w:numPr>
          <w:ilvl w:val="1"/>
          <w:numId w:val="1"/>
        </w:numPr>
        <w:tabs>
          <w:tab w:val="left" w:pos="1799"/>
        </w:tabs>
        <w:spacing w:before="41" w:line="278" w:lineRule="auto"/>
        <w:ind w:left="1799" w:right="538"/>
        <w:contextualSpacing w:val="0"/>
      </w:pPr>
      <w:r>
        <w:t>Project Certification Requirement. Upon project completion, Grantee must submit a certification</w:t>
      </w:r>
      <w:r>
        <w:rPr>
          <w:spacing w:val="-5"/>
        </w:rPr>
        <w:t xml:space="preserve"> </w:t>
      </w:r>
      <w:r>
        <w:t>statement</w:t>
      </w:r>
      <w:r>
        <w:rPr>
          <w:spacing w:val="-4"/>
        </w:rPr>
        <w:t xml:space="preserve"> </w:t>
      </w:r>
      <w:r>
        <w:t>to</w:t>
      </w:r>
      <w:r>
        <w:rPr>
          <w:spacing w:val="-4"/>
        </w:rPr>
        <w:t xml:space="preserve"> </w:t>
      </w:r>
      <w:r>
        <w:t>BPU</w:t>
      </w:r>
      <w:r>
        <w:rPr>
          <w:spacing w:val="-5"/>
        </w:rPr>
        <w:t xml:space="preserve"> </w:t>
      </w:r>
      <w:r>
        <w:t>attesting</w:t>
      </w:r>
      <w:r>
        <w:rPr>
          <w:spacing w:val="-4"/>
        </w:rPr>
        <w:t xml:space="preserve"> </w:t>
      </w:r>
      <w:r>
        <w:t>that</w:t>
      </w:r>
      <w:r>
        <w:rPr>
          <w:spacing w:val="-4"/>
        </w:rPr>
        <w:t xml:space="preserve"> </w:t>
      </w:r>
      <w:r>
        <w:t>the</w:t>
      </w:r>
      <w:r>
        <w:rPr>
          <w:spacing w:val="-4"/>
        </w:rPr>
        <w:t xml:space="preserve"> </w:t>
      </w:r>
      <w:r>
        <w:t>broadband</w:t>
      </w:r>
      <w:r>
        <w:rPr>
          <w:spacing w:val="-4"/>
        </w:rPr>
        <w:t xml:space="preserve"> </w:t>
      </w:r>
      <w:r>
        <w:t>infrastructure</w:t>
      </w:r>
      <w:r>
        <w:rPr>
          <w:spacing w:val="-5"/>
        </w:rPr>
        <w:t xml:space="preserve"> </w:t>
      </w:r>
      <w:r>
        <w:t>has</w:t>
      </w:r>
      <w:r>
        <w:rPr>
          <w:spacing w:val="-4"/>
        </w:rPr>
        <w:t xml:space="preserve"> </w:t>
      </w:r>
      <w:r>
        <w:t>been</w:t>
      </w:r>
      <w:r>
        <w:rPr>
          <w:spacing w:val="-4"/>
        </w:rPr>
        <w:t xml:space="preserve"> </w:t>
      </w:r>
      <w:r>
        <w:t>fully deployed and placed into service.</w:t>
      </w:r>
    </w:p>
    <w:p w14:paraId="1E66FD95" w14:textId="77777777" w:rsidR="00157E11" w:rsidRDefault="00157E11" w:rsidP="00157E11">
      <w:pPr>
        <w:pStyle w:val="ListParagraph"/>
        <w:numPr>
          <w:ilvl w:val="1"/>
          <w:numId w:val="1"/>
        </w:numPr>
        <w:tabs>
          <w:tab w:val="left" w:pos="1798"/>
        </w:tabs>
        <w:spacing w:line="251" w:lineRule="exact"/>
        <w:ind w:left="1798" w:hanging="359"/>
        <w:contextualSpacing w:val="0"/>
      </w:pPr>
      <w:r>
        <w:t>Certification</w:t>
      </w:r>
      <w:r>
        <w:rPr>
          <w:spacing w:val="-11"/>
        </w:rPr>
        <w:t xml:space="preserve"> </w:t>
      </w:r>
      <w:r>
        <w:t>must</w:t>
      </w:r>
      <w:r>
        <w:rPr>
          <w:spacing w:val="-9"/>
        </w:rPr>
        <w:t xml:space="preserve"> </w:t>
      </w:r>
      <w:r>
        <w:t>comply</w:t>
      </w:r>
      <w:r>
        <w:rPr>
          <w:spacing w:val="-10"/>
        </w:rPr>
        <w:t xml:space="preserve"> </w:t>
      </w:r>
      <w:r>
        <w:t>with</w:t>
      </w:r>
      <w:r>
        <w:rPr>
          <w:spacing w:val="-9"/>
        </w:rPr>
        <w:t xml:space="preserve"> </w:t>
      </w:r>
      <w:r>
        <w:t>47</w:t>
      </w:r>
      <w:r>
        <w:rPr>
          <w:spacing w:val="-9"/>
        </w:rPr>
        <w:t xml:space="preserve"> </w:t>
      </w:r>
      <w:r>
        <w:t>USC</w:t>
      </w:r>
      <w:r>
        <w:rPr>
          <w:spacing w:val="-11"/>
        </w:rPr>
        <w:t xml:space="preserve"> </w:t>
      </w:r>
      <w:r>
        <w:t>1702(h)(4)(C)</w:t>
      </w:r>
      <w:r>
        <w:rPr>
          <w:spacing w:val="-9"/>
        </w:rPr>
        <w:t xml:space="preserve"> </w:t>
      </w:r>
      <w:r>
        <w:t>and</w:t>
      </w:r>
      <w:r>
        <w:rPr>
          <w:spacing w:val="-9"/>
        </w:rPr>
        <w:t xml:space="preserve"> </w:t>
      </w:r>
      <w:r>
        <w:t>NTIA’s</w:t>
      </w:r>
      <w:r>
        <w:rPr>
          <w:spacing w:val="-10"/>
        </w:rPr>
        <w:t xml:space="preserve"> </w:t>
      </w:r>
      <w:r>
        <w:t>reporting</w:t>
      </w:r>
      <w:r>
        <w:rPr>
          <w:spacing w:val="-9"/>
        </w:rPr>
        <w:t xml:space="preserve"> </w:t>
      </w:r>
      <w:r>
        <w:rPr>
          <w:spacing w:val="-2"/>
        </w:rPr>
        <w:t>requirements.</w:t>
      </w:r>
    </w:p>
    <w:p w14:paraId="701AF8D8" w14:textId="77777777" w:rsidR="00157E11" w:rsidRDefault="00157E11" w:rsidP="00157E11">
      <w:pPr>
        <w:pStyle w:val="ListParagraph"/>
        <w:numPr>
          <w:ilvl w:val="1"/>
          <w:numId w:val="1"/>
        </w:numPr>
        <w:tabs>
          <w:tab w:val="left" w:pos="1799"/>
        </w:tabs>
        <w:spacing w:before="40" w:line="278" w:lineRule="auto"/>
        <w:ind w:left="1799" w:right="548"/>
        <w:contextualSpacing w:val="0"/>
      </w:pPr>
      <w:r>
        <w:t>Final</w:t>
      </w:r>
      <w:r>
        <w:rPr>
          <w:spacing w:val="-3"/>
        </w:rPr>
        <w:t xml:space="preserve"> </w:t>
      </w:r>
      <w:r>
        <w:t>payment</w:t>
      </w:r>
      <w:r>
        <w:rPr>
          <w:spacing w:val="-3"/>
        </w:rPr>
        <w:t xml:space="preserve"> </w:t>
      </w:r>
      <w:r>
        <w:t>under</w:t>
      </w:r>
      <w:r>
        <w:rPr>
          <w:spacing w:val="-3"/>
        </w:rPr>
        <w:t xml:space="preserve"> </w:t>
      </w:r>
      <w:r>
        <w:t>this</w:t>
      </w:r>
      <w:r>
        <w:rPr>
          <w:spacing w:val="-16"/>
        </w:rPr>
        <w:t xml:space="preserve"> </w:t>
      </w:r>
      <w:r>
        <w:t>Agreement</w:t>
      </w:r>
      <w:r>
        <w:rPr>
          <w:spacing w:val="-2"/>
        </w:rPr>
        <w:t xml:space="preserve"> </w:t>
      </w:r>
      <w:r>
        <w:t>will</w:t>
      </w:r>
      <w:r>
        <w:rPr>
          <w:spacing w:val="-3"/>
        </w:rPr>
        <w:t xml:space="preserve"> </w:t>
      </w:r>
      <w:r>
        <w:t>not</w:t>
      </w:r>
      <w:r>
        <w:rPr>
          <w:spacing w:val="-3"/>
        </w:rPr>
        <w:t xml:space="preserve"> </w:t>
      </w:r>
      <w:r>
        <w:t>be</w:t>
      </w:r>
      <w:r>
        <w:rPr>
          <w:spacing w:val="-3"/>
        </w:rPr>
        <w:t xml:space="preserve"> </w:t>
      </w:r>
      <w:r>
        <w:t>issued</w:t>
      </w:r>
      <w:r>
        <w:rPr>
          <w:spacing w:val="-3"/>
        </w:rPr>
        <w:t xml:space="preserve"> </w:t>
      </w:r>
      <w:r>
        <w:t>until</w:t>
      </w:r>
      <w:r>
        <w:rPr>
          <w:spacing w:val="-4"/>
        </w:rPr>
        <w:t xml:space="preserve"> </w:t>
      </w:r>
      <w:r>
        <w:t>certification</w:t>
      </w:r>
      <w:r>
        <w:rPr>
          <w:spacing w:val="-4"/>
        </w:rPr>
        <w:t xml:space="preserve"> </w:t>
      </w:r>
      <w:r>
        <w:t>is</w:t>
      </w:r>
      <w:r>
        <w:rPr>
          <w:spacing w:val="-4"/>
        </w:rPr>
        <w:t xml:space="preserve"> </w:t>
      </w:r>
      <w:r>
        <w:t>received</w:t>
      </w:r>
      <w:r>
        <w:rPr>
          <w:spacing w:val="-3"/>
        </w:rPr>
        <w:t xml:space="preserve"> </w:t>
      </w:r>
      <w:r>
        <w:t>and verified by BPU</w:t>
      </w:r>
    </w:p>
    <w:p w14:paraId="163CBA1B" w14:textId="77777777" w:rsidR="00954F10" w:rsidRDefault="00954F10"/>
    <w:sectPr w:rsidR="00954F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A124" w14:textId="77777777" w:rsidR="00D61CDE" w:rsidRDefault="00D61CDE" w:rsidP="002964D6">
      <w:r>
        <w:separator/>
      </w:r>
    </w:p>
  </w:endnote>
  <w:endnote w:type="continuationSeparator" w:id="0">
    <w:p w14:paraId="4EB9A222" w14:textId="77777777" w:rsidR="00D61CDE" w:rsidRDefault="00D61CDE" w:rsidP="0029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556D" w14:textId="77777777" w:rsidR="00D61CDE" w:rsidRDefault="00D61CDE" w:rsidP="002964D6">
      <w:r>
        <w:separator/>
      </w:r>
    </w:p>
  </w:footnote>
  <w:footnote w:type="continuationSeparator" w:id="0">
    <w:p w14:paraId="596FDB3E" w14:textId="77777777" w:rsidR="00D61CDE" w:rsidRDefault="00D61CDE" w:rsidP="00296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FF1"/>
    <w:multiLevelType w:val="hybridMultilevel"/>
    <w:tmpl w:val="8D16F54A"/>
    <w:lvl w:ilvl="0" w:tplc="D8806748">
      <w:start w:val="3"/>
      <w:numFmt w:val="decimal"/>
      <w:lvlText w:val="%1."/>
      <w:lvlJc w:val="left"/>
      <w:pPr>
        <w:ind w:left="1079" w:hanging="544"/>
        <w:jc w:val="right"/>
      </w:pPr>
      <w:rPr>
        <w:rFonts w:ascii="Arial" w:eastAsia="Arial" w:hAnsi="Arial" w:cs="Arial" w:hint="default"/>
        <w:b/>
        <w:bCs/>
        <w:i w:val="0"/>
        <w:iCs w:val="0"/>
        <w:spacing w:val="0"/>
        <w:w w:val="99"/>
        <w:sz w:val="22"/>
        <w:szCs w:val="22"/>
        <w:lang w:val="en-US" w:eastAsia="en-US" w:bidi="ar-SA"/>
      </w:rPr>
    </w:lvl>
    <w:lvl w:ilvl="1" w:tplc="8F68F148">
      <w:start w:val="1"/>
      <w:numFmt w:val="lowerLetter"/>
      <w:lvlText w:val="%2."/>
      <w:lvlJc w:val="left"/>
      <w:pPr>
        <w:ind w:left="1800" w:hanging="360"/>
      </w:pPr>
      <w:rPr>
        <w:rFonts w:ascii="Arial" w:eastAsia="Arial" w:hAnsi="Arial" w:cs="Arial" w:hint="default"/>
        <w:b w:val="0"/>
        <w:bCs w:val="0"/>
        <w:i w:val="0"/>
        <w:iCs w:val="0"/>
        <w:spacing w:val="0"/>
        <w:w w:val="99"/>
        <w:sz w:val="22"/>
        <w:szCs w:val="22"/>
        <w:lang w:val="en-US" w:eastAsia="en-US" w:bidi="ar-SA"/>
      </w:rPr>
    </w:lvl>
    <w:lvl w:ilvl="2" w:tplc="17403A98">
      <w:start w:val="1"/>
      <w:numFmt w:val="lowerRoman"/>
      <w:lvlText w:val="%3."/>
      <w:lvlJc w:val="left"/>
      <w:pPr>
        <w:ind w:left="2519" w:hanging="291"/>
      </w:pPr>
      <w:rPr>
        <w:rFonts w:ascii="Arial" w:eastAsia="Arial" w:hAnsi="Arial" w:cs="Arial" w:hint="default"/>
        <w:b w:val="0"/>
        <w:bCs w:val="0"/>
        <w:i w:val="0"/>
        <w:iCs w:val="0"/>
        <w:spacing w:val="0"/>
        <w:w w:val="99"/>
        <w:sz w:val="22"/>
        <w:szCs w:val="22"/>
        <w:lang w:val="en-US" w:eastAsia="en-US" w:bidi="ar-SA"/>
      </w:rPr>
    </w:lvl>
    <w:lvl w:ilvl="3" w:tplc="6B2E4DFE">
      <w:numFmt w:val="bullet"/>
      <w:lvlText w:val="•"/>
      <w:lvlJc w:val="left"/>
      <w:pPr>
        <w:ind w:left="3555" w:hanging="291"/>
      </w:pPr>
      <w:rPr>
        <w:rFonts w:hint="default"/>
        <w:lang w:val="en-US" w:eastAsia="en-US" w:bidi="ar-SA"/>
      </w:rPr>
    </w:lvl>
    <w:lvl w:ilvl="4" w:tplc="7FE86ED2">
      <w:numFmt w:val="bullet"/>
      <w:lvlText w:val="•"/>
      <w:lvlJc w:val="left"/>
      <w:pPr>
        <w:ind w:left="4590" w:hanging="291"/>
      </w:pPr>
      <w:rPr>
        <w:rFonts w:hint="default"/>
        <w:lang w:val="en-US" w:eastAsia="en-US" w:bidi="ar-SA"/>
      </w:rPr>
    </w:lvl>
    <w:lvl w:ilvl="5" w:tplc="FF420D22">
      <w:numFmt w:val="bullet"/>
      <w:lvlText w:val="•"/>
      <w:lvlJc w:val="left"/>
      <w:pPr>
        <w:ind w:left="5625" w:hanging="291"/>
      </w:pPr>
      <w:rPr>
        <w:rFonts w:hint="default"/>
        <w:lang w:val="en-US" w:eastAsia="en-US" w:bidi="ar-SA"/>
      </w:rPr>
    </w:lvl>
    <w:lvl w:ilvl="6" w:tplc="38346B98">
      <w:numFmt w:val="bullet"/>
      <w:lvlText w:val="•"/>
      <w:lvlJc w:val="left"/>
      <w:pPr>
        <w:ind w:left="6660" w:hanging="291"/>
      </w:pPr>
      <w:rPr>
        <w:rFonts w:hint="default"/>
        <w:lang w:val="en-US" w:eastAsia="en-US" w:bidi="ar-SA"/>
      </w:rPr>
    </w:lvl>
    <w:lvl w:ilvl="7" w:tplc="016CD9FC">
      <w:numFmt w:val="bullet"/>
      <w:lvlText w:val="•"/>
      <w:lvlJc w:val="left"/>
      <w:pPr>
        <w:ind w:left="7695" w:hanging="291"/>
      </w:pPr>
      <w:rPr>
        <w:rFonts w:hint="default"/>
        <w:lang w:val="en-US" w:eastAsia="en-US" w:bidi="ar-SA"/>
      </w:rPr>
    </w:lvl>
    <w:lvl w:ilvl="8" w:tplc="47C853E6">
      <w:numFmt w:val="bullet"/>
      <w:lvlText w:val="•"/>
      <w:lvlJc w:val="left"/>
      <w:pPr>
        <w:ind w:left="8730" w:hanging="291"/>
      </w:pPr>
      <w:rPr>
        <w:rFonts w:hint="default"/>
        <w:lang w:val="en-US" w:eastAsia="en-US" w:bidi="ar-SA"/>
      </w:rPr>
    </w:lvl>
  </w:abstractNum>
  <w:num w:numId="1" w16cid:durableId="61957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11"/>
    <w:rsid w:val="00157E11"/>
    <w:rsid w:val="002964D6"/>
    <w:rsid w:val="004C03E2"/>
    <w:rsid w:val="00611BC8"/>
    <w:rsid w:val="00954F10"/>
    <w:rsid w:val="00A800B3"/>
    <w:rsid w:val="00B201C0"/>
    <w:rsid w:val="00C11784"/>
    <w:rsid w:val="00D61CDE"/>
    <w:rsid w:val="0AF6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F029D"/>
  <w15:chartTrackingRefBased/>
  <w15:docId w15:val="{92A9E34D-63BB-42CC-BDAB-0F78A000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11"/>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157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7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7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E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E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E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E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E11"/>
    <w:rPr>
      <w:rFonts w:eastAsiaTheme="majorEastAsia" w:cstheme="majorBidi"/>
      <w:color w:val="272727" w:themeColor="text1" w:themeTint="D8"/>
    </w:rPr>
  </w:style>
  <w:style w:type="paragraph" w:styleId="Title">
    <w:name w:val="Title"/>
    <w:basedOn w:val="Normal"/>
    <w:next w:val="Normal"/>
    <w:link w:val="TitleChar"/>
    <w:uiPriority w:val="10"/>
    <w:qFormat/>
    <w:rsid w:val="00157E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E11"/>
    <w:pPr>
      <w:spacing w:before="160"/>
      <w:jc w:val="center"/>
    </w:pPr>
    <w:rPr>
      <w:i/>
      <w:iCs/>
      <w:color w:val="404040" w:themeColor="text1" w:themeTint="BF"/>
    </w:rPr>
  </w:style>
  <w:style w:type="character" w:customStyle="1" w:styleId="QuoteChar">
    <w:name w:val="Quote Char"/>
    <w:basedOn w:val="DefaultParagraphFont"/>
    <w:link w:val="Quote"/>
    <w:uiPriority w:val="29"/>
    <w:rsid w:val="00157E11"/>
    <w:rPr>
      <w:i/>
      <w:iCs/>
      <w:color w:val="404040" w:themeColor="text1" w:themeTint="BF"/>
    </w:rPr>
  </w:style>
  <w:style w:type="paragraph" w:styleId="ListParagraph">
    <w:name w:val="List Paragraph"/>
    <w:basedOn w:val="Normal"/>
    <w:uiPriority w:val="1"/>
    <w:qFormat/>
    <w:rsid w:val="00157E11"/>
    <w:pPr>
      <w:ind w:left="720"/>
      <w:contextualSpacing/>
    </w:pPr>
  </w:style>
  <w:style w:type="character" w:styleId="IntenseEmphasis">
    <w:name w:val="Intense Emphasis"/>
    <w:basedOn w:val="DefaultParagraphFont"/>
    <w:uiPriority w:val="21"/>
    <w:qFormat/>
    <w:rsid w:val="00157E11"/>
    <w:rPr>
      <w:i/>
      <w:iCs/>
      <w:color w:val="0F4761" w:themeColor="accent1" w:themeShade="BF"/>
    </w:rPr>
  </w:style>
  <w:style w:type="paragraph" w:styleId="IntenseQuote">
    <w:name w:val="Intense Quote"/>
    <w:basedOn w:val="Normal"/>
    <w:next w:val="Normal"/>
    <w:link w:val="IntenseQuoteChar"/>
    <w:uiPriority w:val="30"/>
    <w:qFormat/>
    <w:rsid w:val="00157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E11"/>
    <w:rPr>
      <w:i/>
      <w:iCs/>
      <w:color w:val="0F4761" w:themeColor="accent1" w:themeShade="BF"/>
    </w:rPr>
  </w:style>
  <w:style w:type="character" w:styleId="IntenseReference">
    <w:name w:val="Intense Reference"/>
    <w:basedOn w:val="DefaultParagraphFont"/>
    <w:uiPriority w:val="32"/>
    <w:qFormat/>
    <w:rsid w:val="00157E11"/>
    <w:rPr>
      <w:b/>
      <w:bCs/>
      <w:smallCaps/>
      <w:color w:val="0F4761" w:themeColor="accent1" w:themeShade="BF"/>
      <w:spacing w:val="5"/>
    </w:rPr>
  </w:style>
  <w:style w:type="paragraph" w:styleId="BodyText">
    <w:name w:val="Body Text"/>
    <w:basedOn w:val="Normal"/>
    <w:link w:val="BodyTextChar"/>
    <w:uiPriority w:val="1"/>
    <w:qFormat/>
    <w:rsid w:val="00157E11"/>
  </w:style>
  <w:style w:type="character" w:customStyle="1" w:styleId="BodyTextChar">
    <w:name w:val="Body Text Char"/>
    <w:basedOn w:val="DefaultParagraphFont"/>
    <w:link w:val="BodyText"/>
    <w:uiPriority w:val="1"/>
    <w:rsid w:val="00157E11"/>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157E11"/>
    <w:rPr>
      <w:sz w:val="16"/>
      <w:szCs w:val="16"/>
    </w:rPr>
  </w:style>
  <w:style w:type="paragraph" w:styleId="CommentText">
    <w:name w:val="annotation text"/>
    <w:basedOn w:val="Normal"/>
    <w:link w:val="CommentTextChar"/>
    <w:uiPriority w:val="99"/>
    <w:unhideWhenUsed/>
    <w:rsid w:val="00157E11"/>
    <w:rPr>
      <w:sz w:val="20"/>
      <w:szCs w:val="20"/>
    </w:rPr>
  </w:style>
  <w:style w:type="character" w:customStyle="1" w:styleId="CommentTextChar">
    <w:name w:val="Comment Text Char"/>
    <w:basedOn w:val="DefaultParagraphFont"/>
    <w:link w:val="CommentText"/>
    <w:uiPriority w:val="99"/>
    <w:rsid w:val="00157E11"/>
    <w:rPr>
      <w:rFonts w:ascii="Arial" w:eastAsia="Arial" w:hAnsi="Arial" w:cs="Arial"/>
      <w:kern w:val="0"/>
      <w:sz w:val="20"/>
      <w:szCs w:val="20"/>
      <w14:ligatures w14:val="none"/>
    </w:rPr>
  </w:style>
  <w:style w:type="paragraph" w:styleId="Header">
    <w:name w:val="header"/>
    <w:basedOn w:val="Normal"/>
    <w:link w:val="HeaderChar"/>
    <w:uiPriority w:val="99"/>
    <w:unhideWhenUsed/>
    <w:rsid w:val="002964D6"/>
    <w:pPr>
      <w:tabs>
        <w:tab w:val="center" w:pos="4680"/>
        <w:tab w:val="right" w:pos="9360"/>
      </w:tabs>
    </w:pPr>
  </w:style>
  <w:style w:type="character" w:customStyle="1" w:styleId="HeaderChar">
    <w:name w:val="Header Char"/>
    <w:basedOn w:val="DefaultParagraphFont"/>
    <w:link w:val="Header"/>
    <w:uiPriority w:val="99"/>
    <w:rsid w:val="002964D6"/>
    <w:rPr>
      <w:rFonts w:ascii="Arial" w:eastAsia="Arial" w:hAnsi="Arial" w:cs="Arial"/>
      <w:kern w:val="0"/>
      <w:sz w:val="22"/>
      <w:szCs w:val="22"/>
      <w14:ligatures w14:val="none"/>
    </w:rPr>
  </w:style>
  <w:style w:type="paragraph" w:styleId="Footer">
    <w:name w:val="footer"/>
    <w:basedOn w:val="Normal"/>
    <w:link w:val="FooterChar"/>
    <w:uiPriority w:val="99"/>
    <w:unhideWhenUsed/>
    <w:rsid w:val="002964D6"/>
    <w:pPr>
      <w:tabs>
        <w:tab w:val="center" w:pos="4680"/>
        <w:tab w:val="right" w:pos="9360"/>
      </w:tabs>
    </w:pPr>
  </w:style>
  <w:style w:type="character" w:customStyle="1" w:styleId="FooterChar">
    <w:name w:val="Footer Char"/>
    <w:basedOn w:val="DefaultParagraphFont"/>
    <w:link w:val="Footer"/>
    <w:uiPriority w:val="99"/>
    <w:rsid w:val="002964D6"/>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Valarry [BPU]</dc:creator>
  <cp:keywords/>
  <dc:description/>
  <cp:lastModifiedBy>DiLetto, Robert [BPU]</cp:lastModifiedBy>
  <cp:revision>4</cp:revision>
  <dcterms:created xsi:type="dcterms:W3CDTF">2026-05-04T17:40:00Z</dcterms:created>
  <dcterms:modified xsi:type="dcterms:W3CDTF">2026-06-17T13:49:00Z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0x010100F53E1110A1948049B10D769BEE3AAD82</vt:lpwstr>
  </property>
  <property fmtid="{D5CDD505-2E9C-101B-9397-08002B2CF9AE}" pid="3" name="Order">
    <vt:r8>1411800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