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627AC" w14:textId="77777777" w:rsidR="009B4ED6" w:rsidRDefault="009B4ED6" w:rsidP="009B4ED6">
      <w:pPr>
        <w:pStyle w:val="Heading3"/>
        <w:spacing w:before="80" w:line="278" w:lineRule="auto"/>
        <w:ind w:left="3770" w:right="3762" w:firstLine="1153"/>
      </w:pPr>
      <w:r>
        <w:t>Exhibit K Monitoring</w:t>
      </w:r>
      <w:r>
        <w:rPr>
          <w:spacing w:val="-16"/>
        </w:rPr>
        <w:t xml:space="preserve"> </w:t>
      </w:r>
      <w:r>
        <w:t>Requirements</w:t>
      </w:r>
    </w:p>
    <w:p w14:paraId="469CD883" w14:textId="77777777" w:rsidR="009B4ED6" w:rsidRDefault="009B4ED6" w:rsidP="009B4ED6">
      <w:pPr>
        <w:pStyle w:val="BodyText"/>
        <w:spacing w:before="199"/>
        <w:rPr>
          <w:b/>
        </w:rPr>
      </w:pPr>
    </w:p>
    <w:p w14:paraId="0A2AEA11" w14:textId="77777777" w:rsidR="009B4ED6" w:rsidRDefault="009B4ED6" w:rsidP="009B4ED6">
      <w:pPr>
        <w:pStyle w:val="BodyText"/>
        <w:spacing w:line="278" w:lineRule="auto"/>
        <w:ind w:left="359" w:right="372"/>
      </w:pPr>
      <w:r>
        <w:t>The</w:t>
      </w:r>
      <w:r>
        <w:rPr>
          <w:spacing w:val="-3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awarded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BPU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(herein</w:t>
      </w:r>
      <w:r>
        <w:rPr>
          <w:spacing w:val="-3"/>
        </w:rPr>
        <w:t xml:space="preserve"> </w:t>
      </w:r>
      <w:r>
        <w:t>otherwise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 (“Grantee”) may be subject to audits and/or monitoring by BPU as described below.</w:t>
      </w:r>
    </w:p>
    <w:p w14:paraId="2B6244CD" w14:textId="77777777" w:rsidR="009B4ED6" w:rsidRDefault="009B4ED6" w:rsidP="009B4ED6">
      <w:pPr>
        <w:pStyle w:val="BodyText"/>
        <w:spacing w:before="160" w:line="278" w:lineRule="auto"/>
        <w:ind w:left="360" w:right="372" w:hanging="1"/>
      </w:pPr>
      <w:r>
        <w:rPr>
          <w:b/>
          <w:u w:val="single"/>
        </w:rPr>
        <w:t>MONITORING:</w:t>
      </w:r>
      <w:r>
        <w:rPr>
          <w:b/>
        </w:rPr>
        <w:t xml:space="preserve"> </w:t>
      </w:r>
      <w:r>
        <w:t>Monitoring procedures will be conducted on</w:t>
      </w:r>
      <w:r>
        <w:rPr>
          <w:spacing w:val="-1"/>
        </w:rPr>
        <w:t xml:space="preserve"> </w:t>
      </w:r>
      <w:r>
        <w:t>an ongoing</w:t>
      </w:r>
      <w:r>
        <w:rPr>
          <w:spacing w:val="-1"/>
        </w:rPr>
        <w:t xml:space="preserve"> </w:t>
      </w:r>
      <w:r>
        <w:t>basis and</w:t>
      </w:r>
      <w:r>
        <w:rPr>
          <w:spacing w:val="-1"/>
        </w:rPr>
        <w:t xml:space="preserve"> </w:t>
      </w:r>
      <w:r>
        <w:t>shall, at a minimum, occur in conjunction with the project completion milestones defined in Exhibit</w:t>
      </w:r>
      <w:r>
        <w:rPr>
          <w:spacing w:val="-5"/>
        </w:rPr>
        <w:t xml:space="preserve"> </w:t>
      </w:r>
      <w:r>
        <w:t>A, which outlines the approved deployment phases and associated performance benchmarks. Grantee performance and compliance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milestone</w:t>
      </w:r>
      <w:r>
        <w:rPr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release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fixed</w:t>
      </w:r>
      <w:r>
        <w:rPr>
          <w:spacing w:val="-4"/>
        </w:rPr>
        <w:t xml:space="preserve"> </w:t>
      </w:r>
      <w:r>
        <w:t>amount subaward model.</w:t>
      </w:r>
    </w:p>
    <w:p w14:paraId="73F62FE8" w14:textId="77777777" w:rsidR="009B4ED6" w:rsidRDefault="009B4ED6" w:rsidP="009B4ED6">
      <w:pPr>
        <w:pStyle w:val="BodyText"/>
        <w:spacing w:before="157"/>
        <w:ind w:left="360"/>
      </w:pPr>
      <w:r>
        <w:t>Monitoring</w:t>
      </w:r>
      <w:r>
        <w:rPr>
          <w:spacing w:val="-7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include,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7"/>
        </w:rPr>
        <w:t xml:space="preserve"> </w:t>
      </w:r>
      <w:r>
        <w:rPr>
          <w:spacing w:val="-5"/>
        </w:rPr>
        <w:t>to:</w:t>
      </w:r>
    </w:p>
    <w:p w14:paraId="4698C367" w14:textId="77777777" w:rsidR="009B4ED6" w:rsidRDefault="009B4ED6" w:rsidP="009B4ED6">
      <w:pPr>
        <w:pStyle w:val="ListParagraph"/>
        <w:numPr>
          <w:ilvl w:val="0"/>
          <w:numId w:val="2"/>
        </w:numPr>
        <w:tabs>
          <w:tab w:val="left" w:pos="1439"/>
        </w:tabs>
        <w:spacing w:before="199" w:line="263" w:lineRule="exact"/>
        <w:ind w:hanging="359"/>
        <w:contextualSpacing w:val="0"/>
      </w:pPr>
      <w:r>
        <w:t>Programmatic</w:t>
      </w:r>
      <w:r>
        <w:rPr>
          <w:spacing w:val="-15"/>
        </w:rPr>
        <w:t xml:space="preserve"> </w:t>
      </w:r>
      <w:r>
        <w:rPr>
          <w:spacing w:val="-2"/>
        </w:rPr>
        <w:t>walkthroughs;</w:t>
      </w:r>
    </w:p>
    <w:p w14:paraId="6D8D2473" w14:textId="77777777" w:rsidR="009B4ED6" w:rsidRDefault="009B4ED6" w:rsidP="009B4ED6">
      <w:pPr>
        <w:pStyle w:val="ListParagraph"/>
        <w:numPr>
          <w:ilvl w:val="0"/>
          <w:numId w:val="2"/>
        </w:numPr>
        <w:tabs>
          <w:tab w:val="left" w:pos="1439"/>
        </w:tabs>
        <w:spacing w:line="253" w:lineRule="exact"/>
        <w:ind w:hanging="359"/>
        <w:contextualSpacing w:val="0"/>
      </w:pPr>
      <w:r>
        <w:t>Desk</w:t>
      </w:r>
      <w:r>
        <w:rPr>
          <w:spacing w:val="-9"/>
        </w:rPr>
        <w:t xml:space="preserve"> </w:t>
      </w:r>
      <w:r>
        <w:t>reviews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rPr>
          <w:spacing w:val="-2"/>
        </w:rPr>
        <w:t>requests;</w:t>
      </w:r>
    </w:p>
    <w:p w14:paraId="5ABC4E68" w14:textId="77777777" w:rsidR="009B4ED6" w:rsidRDefault="009B4ED6" w:rsidP="009B4ED6">
      <w:pPr>
        <w:pStyle w:val="ListParagraph"/>
        <w:numPr>
          <w:ilvl w:val="0"/>
          <w:numId w:val="2"/>
        </w:numPr>
        <w:tabs>
          <w:tab w:val="left" w:pos="1439"/>
        </w:tabs>
        <w:spacing w:line="253" w:lineRule="exact"/>
        <w:ind w:hanging="359"/>
        <w:contextualSpacing w:val="0"/>
      </w:pPr>
      <w:r>
        <w:t>On-site</w:t>
      </w:r>
      <w:r>
        <w:rPr>
          <w:spacing w:val="-7"/>
        </w:rPr>
        <w:t xml:space="preserve"> </w:t>
      </w:r>
      <w:r>
        <w:t>visits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BPU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contracted</w:t>
      </w:r>
      <w:r>
        <w:rPr>
          <w:spacing w:val="-7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rPr>
          <w:spacing w:val="-2"/>
        </w:rPr>
        <w:t>parties;</w:t>
      </w:r>
    </w:p>
    <w:p w14:paraId="0518C4BA" w14:textId="77777777" w:rsidR="009B4ED6" w:rsidRDefault="009B4ED6" w:rsidP="009B4ED6">
      <w:pPr>
        <w:pStyle w:val="ListParagraph"/>
        <w:numPr>
          <w:ilvl w:val="0"/>
          <w:numId w:val="2"/>
        </w:numPr>
        <w:tabs>
          <w:tab w:val="left" w:pos="1439"/>
        </w:tabs>
        <w:spacing w:line="253" w:lineRule="exact"/>
        <w:ind w:hanging="359"/>
        <w:contextualSpacing w:val="0"/>
      </w:pPr>
      <w:r>
        <w:t>Post-payment</w:t>
      </w:r>
      <w:r>
        <w:rPr>
          <w:spacing w:val="-15"/>
        </w:rPr>
        <w:t xml:space="preserve"> </w:t>
      </w:r>
      <w:r>
        <w:t>compliance</w:t>
      </w:r>
      <w:r>
        <w:rPr>
          <w:spacing w:val="-14"/>
        </w:rPr>
        <w:t xml:space="preserve"> </w:t>
      </w:r>
      <w:r>
        <w:rPr>
          <w:spacing w:val="-2"/>
        </w:rPr>
        <w:t>reviews;</w:t>
      </w:r>
    </w:p>
    <w:p w14:paraId="223FB7FD" w14:textId="77777777" w:rsidR="009B4ED6" w:rsidRDefault="009B4ED6" w:rsidP="009B4ED6">
      <w:pPr>
        <w:pStyle w:val="ListParagraph"/>
        <w:numPr>
          <w:ilvl w:val="0"/>
          <w:numId w:val="2"/>
        </w:numPr>
        <w:tabs>
          <w:tab w:val="left" w:pos="1438"/>
        </w:tabs>
        <w:spacing w:line="253" w:lineRule="exact"/>
        <w:ind w:left="1438" w:hanging="359"/>
        <w:contextualSpacing w:val="0"/>
      </w:pPr>
      <w:r>
        <w:t>Limited</w:t>
      </w:r>
      <w:r>
        <w:rPr>
          <w:spacing w:val="-7"/>
        </w:rPr>
        <w:t xml:space="preserve"> </w:t>
      </w:r>
      <w:r>
        <w:t>scope</w:t>
      </w:r>
      <w:r>
        <w:rPr>
          <w:spacing w:val="-7"/>
        </w:rPr>
        <w:t xml:space="preserve"> </w:t>
      </w:r>
      <w:r>
        <w:t>audits</w:t>
      </w:r>
      <w:r>
        <w:rPr>
          <w:spacing w:val="-6"/>
        </w:rPr>
        <w:t xml:space="preserve"> </w:t>
      </w:r>
      <w:r>
        <w:t>(as</w:t>
      </w:r>
      <w:r>
        <w:rPr>
          <w:spacing w:val="-7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CFR</w:t>
      </w:r>
      <w:r>
        <w:rPr>
          <w:spacing w:val="-8"/>
        </w:rPr>
        <w:t xml:space="preserve"> </w:t>
      </w:r>
      <w:r>
        <w:t>§200.425);</w:t>
      </w:r>
      <w:r>
        <w:rPr>
          <w:spacing w:val="-6"/>
        </w:rPr>
        <w:t xml:space="preserve"> </w:t>
      </w:r>
      <w:r>
        <w:rPr>
          <w:spacing w:val="-5"/>
        </w:rPr>
        <w:t>and</w:t>
      </w:r>
    </w:p>
    <w:p w14:paraId="01822308" w14:textId="77777777" w:rsidR="009B4ED6" w:rsidRDefault="009B4ED6" w:rsidP="009B4ED6">
      <w:pPr>
        <w:pStyle w:val="ListParagraph"/>
        <w:numPr>
          <w:ilvl w:val="0"/>
          <w:numId w:val="2"/>
        </w:numPr>
        <w:tabs>
          <w:tab w:val="left" w:pos="1439"/>
        </w:tabs>
        <w:spacing w:before="3" w:line="223" w:lineRule="auto"/>
        <w:ind w:right="1302"/>
        <w:contextualSpacing w:val="0"/>
      </w:pPr>
      <w:r>
        <w:t>Other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BEAD program requirements.</w:t>
      </w:r>
    </w:p>
    <w:p w14:paraId="78868D45" w14:textId="77777777" w:rsidR="009B4ED6" w:rsidRDefault="009B4ED6" w:rsidP="009B4ED6">
      <w:pPr>
        <w:pStyle w:val="BodyText"/>
        <w:spacing w:before="164" w:line="278" w:lineRule="auto"/>
        <w:ind w:left="359" w:right="644"/>
        <w:jc w:val="both"/>
      </w:pPr>
      <w:r>
        <w:t>By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Agreement,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Grantee</w:t>
      </w:r>
      <w:r>
        <w:rPr>
          <w:spacing w:val="-2"/>
        </w:rPr>
        <w:t xml:space="preserve"> </w:t>
      </w:r>
      <w:r>
        <w:t>agrees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cooperate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procedures implemented by the New Jersey Board of Public Utilities (“BPU”) and to provide timely and complete responses to requests for documentation or access.</w:t>
      </w:r>
    </w:p>
    <w:p w14:paraId="5CE68614" w14:textId="77777777" w:rsidR="009B4ED6" w:rsidRDefault="009B4ED6" w:rsidP="009B4ED6">
      <w:pPr>
        <w:pStyle w:val="BodyText"/>
        <w:spacing w:before="158" w:line="278" w:lineRule="auto"/>
        <w:ind w:left="359" w:right="372" w:hanging="1"/>
      </w:pPr>
      <w:r>
        <w:t>For-profit Grantees may also be subject to risk assessments, enhanced post-award monitoring, and grant closeout procedures, in accordance with the BEAD NOFO, NTIA</w:t>
      </w:r>
      <w:r>
        <w:rPr>
          <w:spacing w:val="-4"/>
        </w:rPr>
        <w:t xml:space="preserve"> </w:t>
      </w:r>
      <w:r>
        <w:t>guidance, and all applicable federal and state regulations. These activities may include site inspections, verification of milestone completion,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programmatic</w:t>
      </w:r>
      <w:r>
        <w:rPr>
          <w:spacing w:val="-4"/>
        </w:rPr>
        <w:t xml:space="preserve"> </w:t>
      </w:r>
      <w:r>
        <w:t>evaluations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compliance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CFR Part 200 and BEAD program requirements.</w:t>
      </w:r>
    </w:p>
    <w:p w14:paraId="12B295F2" w14:textId="77777777" w:rsidR="009B4ED6" w:rsidRDefault="009B4ED6" w:rsidP="009B4ED6">
      <w:pPr>
        <w:pStyle w:val="Heading2"/>
        <w:spacing w:before="158" w:line="278" w:lineRule="auto"/>
        <w:ind w:left="360" w:right="372"/>
      </w:pPr>
      <w:r>
        <w:rPr>
          <w:u w:val="single"/>
        </w:rPr>
        <w:t>FUNDING</w:t>
      </w:r>
      <w:r>
        <w:rPr>
          <w:spacing w:val="-9"/>
          <w:u w:val="single"/>
        </w:rPr>
        <w:t xml:space="preserve"> </w:t>
      </w:r>
      <w:r>
        <w:rPr>
          <w:u w:val="single"/>
        </w:rPr>
        <w:t>RESOURCES:</w:t>
      </w:r>
      <w:r>
        <w:rPr>
          <w:spacing w:val="-8"/>
        </w:rPr>
        <w:t xml:space="preserve"> </w:t>
      </w:r>
      <w:r>
        <w:t>FEDERAL</w:t>
      </w:r>
      <w:r>
        <w:rPr>
          <w:spacing w:val="-13"/>
        </w:rPr>
        <w:t xml:space="preserve"> </w:t>
      </w:r>
      <w:r>
        <w:t>RESOURCES</w:t>
      </w:r>
      <w:r>
        <w:rPr>
          <w:spacing w:val="-16"/>
        </w:rPr>
        <w:t xml:space="preserve"> </w:t>
      </w:r>
      <w:r>
        <w:t>AWARDED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GRANTEE</w:t>
      </w:r>
      <w:r>
        <w:rPr>
          <w:spacing w:val="-8"/>
        </w:rPr>
        <w:t xml:space="preserve"> </w:t>
      </w:r>
      <w:r>
        <w:t>PURSUANT</w:t>
      </w:r>
      <w:r>
        <w:rPr>
          <w:spacing w:val="-8"/>
        </w:rPr>
        <w:t xml:space="preserve"> </w:t>
      </w:r>
      <w:r>
        <w:t>TO THIS AGREEMENT CONSIST OF THE FOLLOWING:</w:t>
      </w:r>
    </w:p>
    <w:p w14:paraId="682F0EDF" w14:textId="77777777" w:rsidR="009B4ED6" w:rsidRDefault="009B4ED6" w:rsidP="009B4ED6">
      <w:pPr>
        <w:pStyle w:val="BodyText"/>
        <w:spacing w:before="9" w:after="1"/>
        <w:rPr>
          <w:b/>
          <w:sz w:val="13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45"/>
        <w:gridCol w:w="5125"/>
      </w:tblGrid>
      <w:tr w:rsidR="009B4ED6" w14:paraId="51B70BF3" w14:textId="77777777" w:rsidTr="003D6872">
        <w:trPr>
          <w:trHeight w:val="506"/>
        </w:trPr>
        <w:tc>
          <w:tcPr>
            <w:tcW w:w="4945" w:type="dxa"/>
          </w:tcPr>
          <w:p w14:paraId="705A766C" w14:textId="77777777" w:rsidR="009B4ED6" w:rsidRDefault="009B4ED6" w:rsidP="003D6872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  <w:spacing w:val="-2"/>
              </w:rPr>
              <w:t>Federal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Awarding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Agency</w:t>
            </w:r>
          </w:p>
        </w:tc>
        <w:tc>
          <w:tcPr>
            <w:tcW w:w="5125" w:type="dxa"/>
          </w:tcPr>
          <w:p w14:paraId="597DFF46" w14:textId="77777777" w:rsidR="009B4ED6" w:rsidRDefault="009B4ED6" w:rsidP="003D6872">
            <w:pPr>
              <w:pStyle w:val="TableParagraph"/>
              <w:spacing w:line="252" w:lineRule="exact"/>
              <w:ind w:right="558"/>
            </w:pPr>
            <w:r>
              <w:t>National</w:t>
            </w:r>
            <w:r>
              <w:rPr>
                <w:spacing w:val="-16"/>
              </w:rPr>
              <w:t xml:space="preserve"> </w:t>
            </w:r>
            <w:r>
              <w:t>Telecommunications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Information Administration (NTIA)</w:t>
            </w:r>
          </w:p>
        </w:tc>
      </w:tr>
      <w:tr w:rsidR="009B4ED6" w14:paraId="6F7EF6DF" w14:textId="77777777" w:rsidTr="003D6872">
        <w:trPr>
          <w:trHeight w:val="506"/>
        </w:trPr>
        <w:tc>
          <w:tcPr>
            <w:tcW w:w="4945" w:type="dxa"/>
          </w:tcPr>
          <w:p w14:paraId="76525C37" w14:textId="77777777" w:rsidR="009B4ED6" w:rsidRDefault="009B4ED6" w:rsidP="003D6872">
            <w:pPr>
              <w:pStyle w:val="TableParagraph"/>
              <w:spacing w:before="127"/>
              <w:rPr>
                <w:b/>
              </w:rPr>
            </w:pPr>
            <w:r>
              <w:rPr>
                <w:b/>
              </w:rPr>
              <w:t>Assistance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Listing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Title:</w:t>
            </w:r>
          </w:p>
        </w:tc>
        <w:tc>
          <w:tcPr>
            <w:tcW w:w="5125" w:type="dxa"/>
          </w:tcPr>
          <w:p w14:paraId="50A89C3F" w14:textId="77777777" w:rsidR="009B4ED6" w:rsidRDefault="009B4ED6" w:rsidP="003D6872">
            <w:pPr>
              <w:pStyle w:val="TableParagraph"/>
              <w:spacing w:line="252" w:lineRule="exact"/>
              <w:ind w:right="558"/>
            </w:pPr>
            <w:r>
              <w:t>Broadband</w:t>
            </w:r>
            <w:r>
              <w:rPr>
                <w:spacing w:val="-16"/>
              </w:rPr>
              <w:t xml:space="preserve"> </w:t>
            </w:r>
            <w:r>
              <w:t>Equity,</w:t>
            </w:r>
            <w:r>
              <w:rPr>
                <w:spacing w:val="-15"/>
              </w:rPr>
              <w:t xml:space="preserve"> </w:t>
            </w:r>
            <w:r>
              <w:t>Access,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Deployment (BEAD) Program</w:t>
            </w:r>
          </w:p>
        </w:tc>
      </w:tr>
      <w:tr w:rsidR="009B4ED6" w14:paraId="4E4FFDB6" w14:textId="77777777" w:rsidTr="003D6872">
        <w:trPr>
          <w:trHeight w:val="432"/>
        </w:trPr>
        <w:tc>
          <w:tcPr>
            <w:tcW w:w="4945" w:type="dxa"/>
          </w:tcPr>
          <w:p w14:paraId="74D1CEFB" w14:textId="77777777" w:rsidR="009B4ED6" w:rsidRDefault="009B4ED6" w:rsidP="003D6872">
            <w:pPr>
              <w:pStyle w:val="TableParagraph"/>
              <w:spacing w:before="90"/>
              <w:rPr>
                <w:b/>
              </w:rPr>
            </w:pPr>
            <w:r>
              <w:rPr>
                <w:b/>
              </w:rPr>
              <w:t>Assistance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Listing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5125" w:type="dxa"/>
          </w:tcPr>
          <w:p w14:paraId="2FFE6AB2" w14:textId="77777777" w:rsidR="009B4ED6" w:rsidRDefault="009B4ED6" w:rsidP="003D6872">
            <w:pPr>
              <w:pStyle w:val="TableParagraph"/>
              <w:spacing w:before="90"/>
            </w:pPr>
            <w:r>
              <w:rPr>
                <w:spacing w:val="-2"/>
              </w:rPr>
              <w:t>11.032</w:t>
            </w:r>
          </w:p>
        </w:tc>
      </w:tr>
      <w:tr w:rsidR="009B4ED6" w14:paraId="17C81100" w14:textId="77777777" w:rsidTr="003D6872">
        <w:trPr>
          <w:trHeight w:val="431"/>
        </w:trPr>
        <w:tc>
          <w:tcPr>
            <w:tcW w:w="4945" w:type="dxa"/>
          </w:tcPr>
          <w:p w14:paraId="6DC52128" w14:textId="77777777" w:rsidR="009B4ED6" w:rsidRDefault="009B4ED6" w:rsidP="003D6872">
            <w:pPr>
              <w:pStyle w:val="TableParagraph"/>
              <w:spacing w:before="88"/>
              <w:rPr>
                <w:b/>
              </w:rPr>
            </w:pPr>
            <w:r>
              <w:rPr>
                <w:b/>
                <w:spacing w:val="-2"/>
              </w:rPr>
              <w:t>Federal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Award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Amount</w:t>
            </w:r>
          </w:p>
        </w:tc>
        <w:tc>
          <w:tcPr>
            <w:tcW w:w="5125" w:type="dxa"/>
          </w:tcPr>
          <w:p w14:paraId="3E95E6E7" w14:textId="77777777" w:rsidR="009B4ED6" w:rsidRDefault="009B4ED6" w:rsidP="003D6872">
            <w:pPr>
              <w:pStyle w:val="TableParagraph"/>
              <w:spacing w:before="88"/>
            </w:pPr>
            <w:r>
              <w:t>[Insert</w:t>
            </w:r>
            <w:r>
              <w:rPr>
                <w:spacing w:val="-14"/>
              </w:rPr>
              <w:t xml:space="preserve"> </w:t>
            </w:r>
            <w:r>
              <w:t>BEAD</w:t>
            </w:r>
            <w:r>
              <w:rPr>
                <w:spacing w:val="-10"/>
              </w:rPr>
              <w:t xml:space="preserve"> </w:t>
            </w:r>
            <w:r>
              <w:t>Subaward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Amount]</w:t>
            </w:r>
          </w:p>
        </w:tc>
      </w:tr>
      <w:tr w:rsidR="009B4ED6" w14:paraId="5731E6E1" w14:textId="77777777" w:rsidTr="003D6872">
        <w:trPr>
          <w:trHeight w:val="432"/>
        </w:trPr>
        <w:tc>
          <w:tcPr>
            <w:tcW w:w="4945" w:type="dxa"/>
          </w:tcPr>
          <w:p w14:paraId="7140E1BF" w14:textId="77777777" w:rsidR="009B4ED6" w:rsidRDefault="009B4ED6" w:rsidP="003D6872">
            <w:pPr>
              <w:pStyle w:val="TableParagraph"/>
              <w:spacing w:before="90"/>
              <w:rPr>
                <w:b/>
              </w:rPr>
            </w:pPr>
            <w:r>
              <w:rPr>
                <w:b/>
              </w:rPr>
              <w:t>BEAD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Application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5125" w:type="dxa"/>
          </w:tcPr>
          <w:p w14:paraId="612157CB" w14:textId="77777777" w:rsidR="009B4ED6" w:rsidRDefault="009B4ED6" w:rsidP="003D6872">
            <w:pPr>
              <w:pStyle w:val="TableParagraph"/>
            </w:pPr>
            <w:r>
              <w:t>[Insert</w:t>
            </w:r>
            <w:r>
              <w:rPr>
                <w:spacing w:val="-12"/>
              </w:rPr>
              <w:t xml:space="preserve"> </w:t>
            </w:r>
            <w:r>
              <w:t>NJ</w:t>
            </w:r>
            <w:r>
              <w:rPr>
                <w:spacing w:val="-8"/>
              </w:rPr>
              <w:t xml:space="preserve"> </w:t>
            </w:r>
            <w:r>
              <w:t>BEAD</w:t>
            </w:r>
            <w:r>
              <w:rPr>
                <w:spacing w:val="-9"/>
              </w:rPr>
              <w:t xml:space="preserve"> </w:t>
            </w:r>
            <w:r>
              <w:t>Grantee</w:t>
            </w:r>
            <w:r>
              <w:rPr>
                <w:spacing w:val="-16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ID]</w:t>
            </w:r>
          </w:p>
        </w:tc>
      </w:tr>
    </w:tbl>
    <w:p w14:paraId="3073214D" w14:textId="77777777" w:rsidR="009B4ED6" w:rsidRDefault="009B4ED6" w:rsidP="009B4ED6">
      <w:pPr>
        <w:pStyle w:val="BodyText"/>
        <w:spacing w:before="201"/>
        <w:rPr>
          <w:b/>
        </w:rPr>
      </w:pPr>
    </w:p>
    <w:p w14:paraId="4BD15F76" w14:textId="77777777" w:rsidR="009B4ED6" w:rsidRDefault="009B4ED6" w:rsidP="009B4ED6">
      <w:pPr>
        <w:spacing w:line="278" w:lineRule="auto"/>
        <w:ind w:left="360" w:right="372"/>
        <w:rPr>
          <w:b/>
        </w:rPr>
      </w:pPr>
      <w:r>
        <w:rPr>
          <w:b/>
        </w:rPr>
        <w:t>COMPLIANCE</w:t>
      </w:r>
      <w:r>
        <w:rPr>
          <w:b/>
          <w:spacing w:val="-14"/>
        </w:rPr>
        <w:t xml:space="preserve"> </w:t>
      </w:r>
      <w:r>
        <w:rPr>
          <w:b/>
        </w:rPr>
        <w:t>REQUIREMENTS</w:t>
      </w:r>
      <w:r>
        <w:rPr>
          <w:b/>
          <w:spacing w:val="-15"/>
        </w:rPr>
        <w:t xml:space="preserve"> </w:t>
      </w:r>
      <w:r>
        <w:rPr>
          <w:b/>
        </w:rPr>
        <w:t>APPLICABLE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0"/>
        </w:rPr>
        <w:t xml:space="preserve"> </w:t>
      </w:r>
      <w:r>
        <w:rPr>
          <w:b/>
        </w:rPr>
        <w:t>FEDERAL</w:t>
      </w:r>
      <w:r>
        <w:rPr>
          <w:b/>
          <w:spacing w:val="-13"/>
        </w:rPr>
        <w:t xml:space="preserve"> </w:t>
      </w:r>
      <w:r>
        <w:rPr>
          <w:b/>
        </w:rPr>
        <w:t>RESOURCES</w:t>
      </w:r>
      <w:r>
        <w:rPr>
          <w:b/>
          <w:spacing w:val="-16"/>
        </w:rPr>
        <w:t xml:space="preserve"> </w:t>
      </w:r>
      <w:r>
        <w:rPr>
          <w:b/>
        </w:rPr>
        <w:t>AWARDED PURSUANT TO THIS AGREEMENT ARE AS FOLLOWS:</w:t>
      </w:r>
    </w:p>
    <w:p w14:paraId="3A481F90" w14:textId="77777777" w:rsidR="009B4ED6" w:rsidRDefault="009B4ED6" w:rsidP="009B4ED6">
      <w:pPr>
        <w:spacing w:line="278" w:lineRule="auto"/>
        <w:rPr>
          <w:b/>
        </w:rPr>
        <w:sectPr w:rsidR="009B4ED6" w:rsidSect="009B4ED6">
          <w:pgSz w:w="12240" w:h="15840"/>
          <w:pgMar w:top="1360" w:right="720" w:bottom="280" w:left="720" w:header="720" w:footer="720" w:gutter="0"/>
          <w:cols w:space="720"/>
        </w:sectPr>
      </w:pPr>
    </w:p>
    <w:p w14:paraId="7BEFAE27" w14:textId="77777777" w:rsidR="009B4ED6" w:rsidRDefault="009B4ED6" w:rsidP="009B4ED6">
      <w:pPr>
        <w:pStyle w:val="ListParagraph"/>
        <w:numPr>
          <w:ilvl w:val="0"/>
          <w:numId w:val="1"/>
        </w:numPr>
        <w:tabs>
          <w:tab w:val="left" w:pos="1079"/>
        </w:tabs>
        <w:spacing w:before="80" w:line="278" w:lineRule="auto"/>
        <w:ind w:right="365"/>
        <w:contextualSpacing w:val="0"/>
      </w:pPr>
      <w:r>
        <w:lastRenderedPageBreak/>
        <w:t>The Grantee shall perform the obligations as set forth in this</w:t>
      </w:r>
      <w:r>
        <w:rPr>
          <w:spacing w:val="-7"/>
        </w:rPr>
        <w:t xml:space="preserve"> </w:t>
      </w:r>
      <w:r>
        <w:t>Agreement and in the Grantee’s BEAD</w:t>
      </w:r>
      <w:r>
        <w:rPr>
          <w:spacing w:val="-5"/>
        </w:rPr>
        <w:t xml:space="preserve"> </w:t>
      </w:r>
      <w:r>
        <w:t>Program</w:t>
      </w:r>
      <w:r>
        <w:rPr>
          <w:spacing w:val="-16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(listed</w:t>
      </w:r>
      <w:r>
        <w:rPr>
          <w:spacing w:val="-4"/>
        </w:rPr>
        <w:t xml:space="preserve"> </w:t>
      </w:r>
      <w:r>
        <w:t>above),</w:t>
      </w:r>
      <w:r>
        <w:rPr>
          <w:spacing w:val="-4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attachments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exhibits</w:t>
      </w:r>
      <w:r>
        <w:rPr>
          <w:spacing w:val="-4"/>
        </w:rPr>
        <w:t xml:space="preserve"> </w:t>
      </w:r>
      <w:r>
        <w:t>thereto.</w:t>
      </w:r>
    </w:p>
    <w:p w14:paraId="34F8FC04" w14:textId="77777777" w:rsidR="009B4ED6" w:rsidRDefault="009B4ED6" w:rsidP="009B4ED6">
      <w:pPr>
        <w:pStyle w:val="ListParagraph"/>
        <w:numPr>
          <w:ilvl w:val="0"/>
          <w:numId w:val="1"/>
        </w:numPr>
        <w:tabs>
          <w:tab w:val="left" w:pos="1079"/>
        </w:tabs>
        <w:spacing w:line="278" w:lineRule="auto"/>
        <w:ind w:right="424"/>
        <w:contextualSpacing w:val="0"/>
      </w:pPr>
      <w:r>
        <w:t>The Grantee shall comply with all applicable provisions of the Infrastructure Investment and Jobs</w:t>
      </w:r>
      <w:r>
        <w:rPr>
          <w:spacing w:val="-4"/>
        </w:rPr>
        <w:t xml:space="preserve"> </w:t>
      </w:r>
      <w:r>
        <w:t>Act (IIJA), the BEAD Notice of Funding Opportunity (NOFO), the Uniform Guidance (2 CFR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200)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NTIA,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relevant</w:t>
      </w:r>
      <w:r>
        <w:rPr>
          <w:spacing w:val="-3"/>
        </w:rPr>
        <w:t xml:space="preserve"> </w:t>
      </w:r>
      <w:r>
        <w:t>guidance</w:t>
      </w:r>
      <w:r>
        <w:rPr>
          <w:spacing w:val="-3"/>
        </w:rPr>
        <w:t xml:space="preserve"> </w:t>
      </w:r>
      <w:r>
        <w:t>issued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NTIA</w:t>
      </w:r>
      <w:r>
        <w:rPr>
          <w:spacing w:val="-1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 Jersey Board of Public Utilities, including but not limited to the BEAD Restructuring Programmatic Notice (June 6, 2025) and New Jersey’s</w:t>
      </w:r>
      <w:r>
        <w:rPr>
          <w:spacing w:val="-4"/>
        </w:rPr>
        <w:t xml:space="preserve"> </w:t>
      </w:r>
      <w:r>
        <w:t xml:space="preserve">Approved Initial Proposal Volume 2 </w:t>
      </w:r>
      <w:r>
        <w:rPr>
          <w:spacing w:val="-2"/>
        </w:rPr>
        <w:t>(IPV2).</w:t>
      </w:r>
    </w:p>
    <w:p w14:paraId="3492B2BE" w14:textId="77777777" w:rsidR="00954F10" w:rsidRDefault="00954F10"/>
    <w:sectPr w:rsidR="0095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E444" w14:textId="77777777" w:rsidR="0064392B" w:rsidRDefault="0064392B" w:rsidP="00C618B5">
      <w:r>
        <w:separator/>
      </w:r>
    </w:p>
  </w:endnote>
  <w:endnote w:type="continuationSeparator" w:id="0">
    <w:p w14:paraId="621E24CB" w14:textId="77777777" w:rsidR="0064392B" w:rsidRDefault="0064392B" w:rsidP="00C61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81320" w14:textId="77777777" w:rsidR="0064392B" w:rsidRDefault="0064392B" w:rsidP="00C618B5">
      <w:r>
        <w:separator/>
      </w:r>
    </w:p>
  </w:footnote>
  <w:footnote w:type="continuationSeparator" w:id="0">
    <w:p w14:paraId="39E5A42E" w14:textId="77777777" w:rsidR="0064392B" w:rsidRDefault="0064392B" w:rsidP="00C61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1DE"/>
    <w:multiLevelType w:val="hybridMultilevel"/>
    <w:tmpl w:val="1464ACE0"/>
    <w:lvl w:ilvl="0" w:tplc="915874DC">
      <w:start w:val="1"/>
      <w:numFmt w:val="decimal"/>
      <w:lvlText w:val="%1."/>
      <w:lvlJc w:val="left"/>
      <w:pPr>
        <w:ind w:left="1079" w:hanging="54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EC65BB8">
      <w:numFmt w:val="bullet"/>
      <w:lvlText w:val="•"/>
      <w:lvlJc w:val="left"/>
      <w:pPr>
        <w:ind w:left="2052" w:hanging="544"/>
      </w:pPr>
      <w:rPr>
        <w:rFonts w:hint="default"/>
        <w:lang w:val="en-US" w:eastAsia="en-US" w:bidi="ar-SA"/>
      </w:rPr>
    </w:lvl>
    <w:lvl w:ilvl="2" w:tplc="1D6AE59C">
      <w:numFmt w:val="bullet"/>
      <w:lvlText w:val="•"/>
      <w:lvlJc w:val="left"/>
      <w:pPr>
        <w:ind w:left="3024" w:hanging="544"/>
      </w:pPr>
      <w:rPr>
        <w:rFonts w:hint="default"/>
        <w:lang w:val="en-US" w:eastAsia="en-US" w:bidi="ar-SA"/>
      </w:rPr>
    </w:lvl>
    <w:lvl w:ilvl="3" w:tplc="1700D58E">
      <w:numFmt w:val="bullet"/>
      <w:lvlText w:val="•"/>
      <w:lvlJc w:val="left"/>
      <w:pPr>
        <w:ind w:left="3996" w:hanging="544"/>
      </w:pPr>
      <w:rPr>
        <w:rFonts w:hint="default"/>
        <w:lang w:val="en-US" w:eastAsia="en-US" w:bidi="ar-SA"/>
      </w:rPr>
    </w:lvl>
    <w:lvl w:ilvl="4" w:tplc="2BC45770">
      <w:numFmt w:val="bullet"/>
      <w:lvlText w:val="•"/>
      <w:lvlJc w:val="left"/>
      <w:pPr>
        <w:ind w:left="4968" w:hanging="544"/>
      </w:pPr>
      <w:rPr>
        <w:rFonts w:hint="default"/>
        <w:lang w:val="en-US" w:eastAsia="en-US" w:bidi="ar-SA"/>
      </w:rPr>
    </w:lvl>
    <w:lvl w:ilvl="5" w:tplc="C2444C4E">
      <w:numFmt w:val="bullet"/>
      <w:lvlText w:val="•"/>
      <w:lvlJc w:val="left"/>
      <w:pPr>
        <w:ind w:left="5940" w:hanging="544"/>
      </w:pPr>
      <w:rPr>
        <w:rFonts w:hint="default"/>
        <w:lang w:val="en-US" w:eastAsia="en-US" w:bidi="ar-SA"/>
      </w:rPr>
    </w:lvl>
    <w:lvl w:ilvl="6" w:tplc="CA6071CE">
      <w:numFmt w:val="bullet"/>
      <w:lvlText w:val="•"/>
      <w:lvlJc w:val="left"/>
      <w:pPr>
        <w:ind w:left="6912" w:hanging="544"/>
      </w:pPr>
      <w:rPr>
        <w:rFonts w:hint="default"/>
        <w:lang w:val="en-US" w:eastAsia="en-US" w:bidi="ar-SA"/>
      </w:rPr>
    </w:lvl>
    <w:lvl w:ilvl="7" w:tplc="63227F90">
      <w:numFmt w:val="bullet"/>
      <w:lvlText w:val="•"/>
      <w:lvlJc w:val="left"/>
      <w:pPr>
        <w:ind w:left="7884" w:hanging="544"/>
      </w:pPr>
      <w:rPr>
        <w:rFonts w:hint="default"/>
        <w:lang w:val="en-US" w:eastAsia="en-US" w:bidi="ar-SA"/>
      </w:rPr>
    </w:lvl>
    <w:lvl w:ilvl="8" w:tplc="13C00CD6">
      <w:numFmt w:val="bullet"/>
      <w:lvlText w:val="•"/>
      <w:lvlJc w:val="left"/>
      <w:pPr>
        <w:ind w:left="8856" w:hanging="544"/>
      </w:pPr>
      <w:rPr>
        <w:rFonts w:hint="default"/>
        <w:lang w:val="en-US" w:eastAsia="en-US" w:bidi="ar-SA"/>
      </w:rPr>
    </w:lvl>
  </w:abstractNum>
  <w:abstractNum w:abstractNumId="1" w15:restartNumberingAfterBreak="0">
    <w:nsid w:val="761A1788"/>
    <w:multiLevelType w:val="hybridMultilevel"/>
    <w:tmpl w:val="D68A128E"/>
    <w:lvl w:ilvl="0" w:tplc="219CBBB6">
      <w:numFmt w:val="bullet"/>
      <w:lvlText w:val="o"/>
      <w:lvlJc w:val="left"/>
      <w:pPr>
        <w:ind w:left="14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D566288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6A56BB4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3" w:tplc="48CE90FE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4" w:tplc="F25C579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5" w:tplc="464C434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1D6ACD04"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  <w:lvl w:ilvl="7" w:tplc="CE20192C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  <w:lvl w:ilvl="8" w:tplc="205CAE9C">
      <w:numFmt w:val="bullet"/>
      <w:lvlText w:val="•"/>
      <w:lvlJc w:val="left"/>
      <w:pPr>
        <w:ind w:left="8928" w:hanging="360"/>
      </w:pPr>
      <w:rPr>
        <w:rFonts w:hint="default"/>
        <w:lang w:val="en-US" w:eastAsia="en-US" w:bidi="ar-SA"/>
      </w:rPr>
    </w:lvl>
  </w:abstractNum>
  <w:num w:numId="1" w16cid:durableId="1627661429">
    <w:abstractNumId w:val="0"/>
  </w:num>
  <w:num w:numId="2" w16cid:durableId="180292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D6"/>
    <w:rsid w:val="000C665C"/>
    <w:rsid w:val="00611BC8"/>
    <w:rsid w:val="0064392B"/>
    <w:rsid w:val="00954F10"/>
    <w:rsid w:val="009B4ED6"/>
    <w:rsid w:val="00A800B3"/>
    <w:rsid w:val="00B201C0"/>
    <w:rsid w:val="00C618B5"/>
    <w:rsid w:val="00E13619"/>
    <w:rsid w:val="1D5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2E7F0"/>
  <w15:chartTrackingRefBased/>
  <w15:docId w15:val="{F9F4DB2D-380F-4C90-AD7F-331B1528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E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4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ED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4ED6"/>
  </w:style>
  <w:style w:type="character" w:customStyle="1" w:styleId="BodyTextChar">
    <w:name w:val="Body Text Char"/>
    <w:basedOn w:val="DefaultParagraphFont"/>
    <w:link w:val="BodyText"/>
    <w:uiPriority w:val="1"/>
    <w:rsid w:val="009B4ED6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B4ED6"/>
    <w:pPr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9B4E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4E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4ED6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618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8B5"/>
    <w:rPr>
      <w:rFonts w:ascii="Arial" w:eastAsia="Arial" w:hAnsi="Arial" w:cs="Arial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18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8B5"/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Valarry [BPU]</dc:creator>
  <cp:keywords/>
  <dc:description/>
  <cp:lastModifiedBy>DiLetto, Robert [BPU]</cp:lastModifiedBy>
  <cp:revision>4</cp:revision>
  <dcterms:created xsi:type="dcterms:W3CDTF">2026-05-04T17:39:00Z</dcterms:created>
  <dcterms:modified xsi:type="dcterms:W3CDTF">2026-06-17T13:53:00Z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0x010100F53E1110A1948049B10D769BEE3AAD82</vt:lpwstr>
  </property>
  <property fmtid="{D5CDD505-2E9C-101B-9397-08002B2CF9AE}" pid="3" name="Order">
    <vt:r8>1411700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