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C3" w:rsidRPr="002C4F95" w:rsidRDefault="00BB60C3" w:rsidP="00BB60C3">
      <w:pPr>
        <w:spacing w:after="0" w:line="240" w:lineRule="auto"/>
        <w:jc w:val="center"/>
        <w:rPr>
          <w:rFonts w:ascii="Times New Roman" w:eastAsia="Times New Roman" w:hAnsi="Times New Roman" w:cs="Times New Roman"/>
          <w:b/>
          <w:sz w:val="24"/>
          <w:szCs w:val="20"/>
        </w:rPr>
      </w:pPr>
      <w:bookmarkStart w:id="0" w:name="_GoBack"/>
      <w:bookmarkEnd w:id="0"/>
      <w:r w:rsidRPr="002C4F95">
        <w:rPr>
          <w:rFonts w:ascii="Times New Roman" w:eastAsia="Times New Roman" w:hAnsi="Times New Roman" w:cs="Times New Roman"/>
          <w:b/>
          <w:sz w:val="24"/>
          <w:szCs w:val="20"/>
        </w:rPr>
        <w:t>EXPLANATION OF BRACKETS</w:t>
      </w:r>
    </w:p>
    <w:p w:rsidR="00BB60C3" w:rsidRPr="002C4F95" w:rsidRDefault="00BB60C3" w:rsidP="00BB60C3">
      <w:pPr>
        <w:spacing w:after="0" w:line="240" w:lineRule="auto"/>
        <w:jc w:val="center"/>
        <w:rPr>
          <w:rFonts w:ascii="Times New Roman" w:eastAsia="Times New Roman" w:hAnsi="Times New Roman" w:cs="Times New Roman"/>
          <w:b/>
          <w:sz w:val="24"/>
          <w:szCs w:val="20"/>
        </w:rPr>
      </w:pPr>
    </w:p>
    <w:p w:rsidR="00BB60C3" w:rsidRPr="002C4F95" w:rsidRDefault="00BB60C3" w:rsidP="00BB60C3">
      <w:pPr>
        <w:keepNext/>
        <w:spacing w:after="0" w:line="240" w:lineRule="auto"/>
        <w:outlineLvl w:val="1"/>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Plans B through E Policy and Certificate</w:t>
      </w:r>
    </w:p>
    <w:p w:rsidR="00BB60C3" w:rsidRPr="002C4F95" w:rsidRDefault="00BB60C3" w:rsidP="00BB60C3">
      <w:pPr>
        <w:spacing w:after="0" w:line="240" w:lineRule="auto"/>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(Appendix Exhibits F and W for Plans B – E)</w:t>
      </w: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Pr="002C4F95" w:rsidRDefault="00BB60C3" w:rsidP="00BB60C3">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All text which is enclosed in brackets [ ] is variable.  Enclosure in Brackets does </w:t>
      </w:r>
      <w:r w:rsidRPr="002C4F95">
        <w:rPr>
          <w:rFonts w:ascii="Times New Roman" w:eastAsia="Times New Roman" w:hAnsi="Times New Roman" w:cs="Times New Roman"/>
          <w:b/>
          <w:sz w:val="24"/>
          <w:szCs w:val="20"/>
        </w:rPr>
        <w:t>not</w:t>
      </w:r>
      <w:r w:rsidRPr="002C4F95">
        <w:rPr>
          <w:rFonts w:ascii="Times New Roman" w:eastAsia="Times New Roman" w:hAnsi="Times New Roman" w:cs="Times New Roman"/>
          <w:sz w:val="24"/>
          <w:szCs w:val="20"/>
        </w:rPr>
        <w:t xml:space="preserve"> give Carriers liberty to deviate from the standard text which is enclosed in brackets, except as expressly stated.  In many instances, variable text is text which a carrier elects to either include or exclude.  When the forms are prepared as issue documents, no brackets should appear, since the forms, as issued, should specify all the elections the Carrier has made.  Such text may generally be categorized in the following ways.</w:t>
      </w: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Pr="002C4F95" w:rsidRDefault="00BB60C3" w:rsidP="00BB60C3">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self-explanatory.  Examples include:  [Carrier], [Policyholder], and [ABC]</w:t>
      </w:r>
    </w:p>
    <w:p w:rsidR="00BB60C3" w:rsidRPr="002C4F95" w:rsidRDefault="00BB60C3" w:rsidP="00BB60C3">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noted with brief explanations within the text.  Examples include:  use of PPO, EPO and POS text.</w:t>
      </w:r>
    </w:p>
    <w:p w:rsidR="00BB60C3" w:rsidRPr="002C4F95" w:rsidRDefault="00BB60C3" w:rsidP="00BB60C3">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intended to allow for flexibility in terms of a carrier’s administrative practices.</w:t>
      </w:r>
    </w:p>
    <w:p w:rsidR="00BB60C3" w:rsidRPr="002C4F95" w:rsidRDefault="00BB60C3" w:rsidP="00BB60C3">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subject to ranges and parameters specified in statute and/or regulation</w:t>
      </w:r>
    </w:p>
    <w:p w:rsidR="00BB60C3" w:rsidRPr="002C4F95" w:rsidRDefault="00BB60C3" w:rsidP="00BB60C3">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determined by the election made by a Carrier.</w:t>
      </w:r>
    </w:p>
    <w:p w:rsidR="00BB60C3" w:rsidRPr="002C4F95" w:rsidRDefault="00BB60C3" w:rsidP="00BB60C3">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intended solely to accommodate plans that only allow coverage for employees.  That is, no dependent coverage is available.  In such circumstances, references to dependents and provisions that apply to dependents, as enclosed in brackets, may be omitted.  When dependent coverage is provided under the plan, all dependent text must be included in the plan.</w:t>
      </w:r>
    </w:p>
    <w:p w:rsidR="00BB60C3" w:rsidRPr="002C4F95" w:rsidRDefault="00BB60C3" w:rsidP="00BB60C3">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determined by the delivery system (i.e., indemnity, PPO, POS or EPO)</w:t>
      </w:r>
    </w:p>
    <w:p w:rsidR="00BB60C3" w:rsidRPr="002C4F95" w:rsidRDefault="00BB60C3" w:rsidP="00BB60C3">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Variable text is included throughout the forms to address the potential for coverage for domestic partners.  Carriers should include the text only if the employer elects coverage for domestic partners on the employer application.  In lieu of including the text in the body of the form, carriers may use the Open Face Rider (Exhibit D) to include the domestic partner text as included in the standard plans.</w:t>
      </w:r>
    </w:p>
    <w:p w:rsidR="00BB60C3" w:rsidRPr="002C4F95" w:rsidRDefault="00BB60C3" w:rsidP="00BB60C3">
      <w:pPr>
        <w:numPr>
          <w:ilvl w:val="0"/>
          <w:numId w:val="2"/>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Some areas of variability apply to the limited circumstance of plans to be issued in the Small Business Health Options Program created under the Patient Protection and Affordable Care Act, Public Law 111-148, as amended by the Health Care and Education Reconciliation Act, Public Law 111-152 (SHOP).  </w:t>
      </w: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Pr="002C4F95" w:rsidRDefault="00BB60C3" w:rsidP="00BB60C3">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b/>
          <w:sz w:val="24"/>
          <w:szCs w:val="20"/>
        </w:rPr>
        <w:t>Note:</w:t>
      </w:r>
      <w:r w:rsidRPr="002C4F95">
        <w:rPr>
          <w:rFonts w:ascii="Times New Roman" w:eastAsia="Times New Roman" w:hAnsi="Times New Roman" w:cs="Times New Roman"/>
          <w:sz w:val="24"/>
          <w:szCs w:val="20"/>
        </w:rPr>
        <w:t xml:space="preserve">  Due to the complexity of issuing plans through or in conjunction with an approved Selective Contracting Arrangement, commonly known as PPO or POS or EPO plans, explicit guidance is set forth in item 29 below.  </w:t>
      </w:r>
    </w:p>
    <w:p w:rsidR="00BB60C3" w:rsidRPr="002C4F95" w:rsidRDefault="00BB60C3" w:rsidP="00BB60C3">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Areas of variability, which may require clarification and explanation as to use, are explained below.  The order of the list is generally consistent with the order of appearance in the policy and certificate forms.</w:t>
      </w: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lastRenderedPageBreak/>
        <w:t>Dividend text which appears both on the Face Page and in the General Provisions should only be included by carriers that could pay dividends.</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Health Care Quality Act requires carriers to specify the legal name, trade name, e-mail and fax numbers.  Carriers may include this information on a separate page, immediately following the face page, as illustrated in the standard forms.  Alternatively, carriers may include this information directly on the face page.  </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Although the schedule pages specify the plan letter in the upper right corner this identification is intended solely to identify which plan letter the page illustrates.  Carriers need not specify the plan letter on the schedule pages of plans being issued.  </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Deductible, Co-Insurance, and Copayments may be elected by the Employer, subject to the availability specified in regulation.</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There are alternate PPO and POS schedule pages that allow carriers to use separate or common deductible and maximum out of pocket provisions.  These features may be used, at the option of the carrier.  There are corresponding provisions in the benefit provisions.  </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One of the schedule pages illustrates a tiered network design.  Carriers should adapt the schedule page to illustrate the services for which a tiered network design is applicable.  Additional variable text addressing a tiered network is included in the PPO, POS and EPO descriptions and other coverage sections of the policy.  </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list of services and supplies for which pre-approval is required includes two items, included in brackets: specified therapies and prescription drugs.  The benefit </w:t>
      </w:r>
      <w:proofErr w:type="gramStart"/>
      <w:r w:rsidRPr="002C4F95">
        <w:rPr>
          <w:rFonts w:ascii="Times New Roman" w:eastAsia="Times New Roman" w:hAnsi="Times New Roman" w:cs="Times New Roman"/>
          <w:sz w:val="24"/>
          <w:szCs w:val="20"/>
        </w:rPr>
        <w:t>provisions for these services and supplies also includes</w:t>
      </w:r>
      <w:proofErr w:type="gramEnd"/>
      <w:r w:rsidRPr="002C4F95">
        <w:rPr>
          <w:rFonts w:ascii="Times New Roman" w:eastAsia="Times New Roman" w:hAnsi="Times New Roman" w:cs="Times New Roman"/>
          <w:sz w:val="24"/>
          <w:szCs w:val="20"/>
        </w:rPr>
        <w:t xml:space="preserve"> text in brackets concerning pre-approval.  Carriers that elect to require pre-approval for these services and supplies must include them on the list on the schedule page in addition to using the pre-approval text in the benefit provision.  </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Reinstatement provision may be included or omitted, at the option of the carrier.  The provision includes two options for a reinstatement fee.  Carriers should include the applicable text.</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Percentage participation requirements as noted in the Participation Requirements and in the Termination of the Policy - Renewal Privilege provisions of the General Provisions may be determined by the Carrier, provided the requirements comply with the requirements permitted in Statute and regulation.</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Notice of Loss provision of the Claims Provisions may be omitted at the option of the Carrier.</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Payment of Claims provision of the Claims Provisions should include the second or third sentence of the last paragraph, as appropriate.</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definition of an Approved Cancer Clinical Trial and the corresponding benefit provision should be included only by those carriers that wish to make such coverage available and want to specify such coverage in the policy form.  </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definition of Referral should be included in POS plans that require referrals.  </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“Actively at Work” requirement may be deleted.  To accomplish the deletion of the actively at work requirement, carriers must delete the definition of Actively at Work, and delete the bracketed text in the following sections:  Eligible Employees, Full-Time Requirement, When Employee Coverage Starts, Exception to the Actively at Work Requirement, and When Employee Coverage Ends.</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lastRenderedPageBreak/>
        <w:t>The definition of Reasonable and Customary should only include a reference to the negotiated fee schedule if the Carrier is offering the plan using a Preferred Provider Option or a Point of Service delivery system.</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Waiting Period provision of the Employee Coverage Provision may be omitted or included at the option of the Employer.  If included, the period may not exceed 90 days and must satisfy the requirements of regulation.  The text may address a date certain following a waiting period, such as first of the month following 2months.  If included, the carrier may include the bracketed definition of Waiting Period in the Definitions section.</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date Employee and Dependent coverage begins or ends may vary to accommodate Employer and/or Carrier administration practices.  For example, Coverage may begin as of the first of the month following any waiting period, or coverage may end immediately or may end at the end of the month following a termination event.</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text describing provider compensation in the PPO and POS sections contains a number of bracketed words and phrases.  Include the words and </w:t>
      </w:r>
      <w:proofErr w:type="spellStart"/>
      <w:r w:rsidRPr="002C4F95">
        <w:rPr>
          <w:rFonts w:ascii="Times New Roman" w:eastAsia="Times New Roman" w:hAnsi="Times New Roman" w:cs="Times New Roman"/>
          <w:sz w:val="24"/>
          <w:szCs w:val="20"/>
        </w:rPr>
        <w:t>phases</w:t>
      </w:r>
      <w:proofErr w:type="spellEnd"/>
      <w:r w:rsidRPr="002C4F95">
        <w:rPr>
          <w:rFonts w:ascii="Times New Roman" w:eastAsia="Times New Roman" w:hAnsi="Times New Roman" w:cs="Times New Roman"/>
          <w:sz w:val="24"/>
          <w:szCs w:val="20"/>
        </w:rPr>
        <w:t xml:space="preserve"> that describe the arrangement carrier </w:t>
      </w:r>
      <w:proofErr w:type="gramStart"/>
      <w:r w:rsidRPr="002C4F95">
        <w:rPr>
          <w:rFonts w:ascii="Times New Roman" w:eastAsia="Times New Roman" w:hAnsi="Times New Roman" w:cs="Times New Roman"/>
          <w:sz w:val="24"/>
          <w:szCs w:val="20"/>
        </w:rPr>
        <w:t>has</w:t>
      </w:r>
      <w:proofErr w:type="gramEnd"/>
      <w:r w:rsidRPr="002C4F95">
        <w:rPr>
          <w:rFonts w:ascii="Times New Roman" w:eastAsia="Times New Roman" w:hAnsi="Times New Roman" w:cs="Times New Roman"/>
          <w:sz w:val="24"/>
          <w:szCs w:val="20"/>
        </w:rPr>
        <w:t xml:space="preserve"> with network providers.  </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continuation of care text must be included in all plans that use networks.  </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treatment of hemophilia provision includes variable text that would only be included in </w:t>
      </w:r>
      <w:r w:rsidR="00AE7B5C">
        <w:rPr>
          <w:rFonts w:ascii="Times New Roman" w:eastAsia="Times New Roman" w:hAnsi="Times New Roman" w:cs="Times New Roman"/>
          <w:sz w:val="24"/>
          <w:szCs w:val="20"/>
        </w:rPr>
        <w:t>managed care</w:t>
      </w:r>
      <w:r w:rsidRPr="002C4F95">
        <w:rPr>
          <w:rFonts w:ascii="Times New Roman" w:eastAsia="Times New Roman" w:hAnsi="Times New Roman" w:cs="Times New Roman"/>
          <w:sz w:val="24"/>
          <w:szCs w:val="20"/>
        </w:rPr>
        <w:t xml:space="preserve"> plans.</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prescription drugs provision includes variable text that would be included by carriers that require pre-approval for specified drugs.  </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therapy services provision includes variable text that would be included by carriers that require pre-approval for certain therapy services.</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method a Carrier chooses to make the optional cancer treatment benefits available will determine which transplant benefit text the Carrier would include.  For Carriers electing to include the optional cancer treatment benefits as part of the standard forms, the list of services for which Pre-Approval is required, as it appears in the Schedule of Benefits, must be modified to omit the item for autologous bone marrow transplant and associated dose intensive chemotherapy. </w:t>
      </w:r>
      <w:r w:rsidRPr="002C4F95">
        <w:rPr>
          <w:rFonts w:ascii="Times New Roman" w:eastAsia="Times New Roman" w:hAnsi="Times New Roman" w:cs="Times New Roman"/>
          <w:b/>
          <w:sz w:val="24"/>
          <w:szCs w:val="20"/>
        </w:rPr>
        <w:t xml:space="preserve"> </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Utilization Review Features provisions may be omitted in their entirety, or only one section, the Required Hospital Stay Review or the Required Pre-Surgical Review section may be omitted.  If any portion of Utilization Review Features is to be included, the text must conform to the text of the standard form, except that the penalty for non-compliance may be adjusted to reflect a different percentage, or to utilize a dollar penalty.</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Specialty Case Management provision may be omitted.  Carriers may administratively provide for such provisions.  If included in the policy and certificate, the text must conform to the text of the standard form.</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Centers of Excellence Features provisions may be omitted.  If included in the policy, the text must conform to the text of the standard form.</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Dental Benefits text is enclosed in brackets.  For policies sold on the SHOP the Dental Benefits provision may be </w:t>
      </w:r>
      <w:proofErr w:type="gramStart"/>
      <w:r w:rsidRPr="002C4F95">
        <w:rPr>
          <w:rFonts w:ascii="Times New Roman" w:eastAsia="Times New Roman" w:hAnsi="Times New Roman" w:cs="Times New Roman"/>
          <w:sz w:val="24"/>
          <w:szCs w:val="20"/>
        </w:rPr>
        <w:t>excluded  if</w:t>
      </w:r>
      <w:proofErr w:type="gramEnd"/>
      <w:r w:rsidRPr="002C4F95">
        <w:rPr>
          <w:rFonts w:ascii="Times New Roman" w:eastAsia="Times New Roman" w:hAnsi="Times New Roman" w:cs="Times New Roman"/>
          <w:sz w:val="24"/>
          <w:szCs w:val="20"/>
        </w:rPr>
        <w:t xml:space="preserve"> the SHOP offers a standalone dental plan with a pediatric dental essential health benefit.  Such bracketed text must be included in plans otherwise issued in </w:t>
      </w:r>
      <w:smartTag w:uri="urn:schemas-microsoft-com:office:smarttags" w:element="State">
        <w:smartTag w:uri="urn:schemas-microsoft-com:office:smarttags" w:element="place">
          <w:r w:rsidRPr="002C4F95">
            <w:rPr>
              <w:rFonts w:ascii="Times New Roman" w:eastAsia="Times New Roman" w:hAnsi="Times New Roman" w:cs="Times New Roman"/>
              <w:sz w:val="24"/>
              <w:szCs w:val="20"/>
            </w:rPr>
            <w:t>New Jersey</w:t>
          </w:r>
        </w:smartTag>
      </w:smartTag>
      <w:r w:rsidRPr="002C4F95">
        <w:rPr>
          <w:rFonts w:ascii="Times New Roman" w:eastAsia="Times New Roman" w:hAnsi="Times New Roman" w:cs="Times New Roman"/>
          <w:sz w:val="24"/>
          <w:szCs w:val="20"/>
        </w:rPr>
        <w:t xml:space="preserve"> unless a carrier is reasonably assured that an employer is providing such pediatric dental coverage through a </w:t>
      </w:r>
      <w:r w:rsidRPr="002C4F95">
        <w:rPr>
          <w:rFonts w:ascii="Times New Roman" w:eastAsia="Times New Roman" w:hAnsi="Times New Roman" w:cs="Times New Roman"/>
          <w:sz w:val="24"/>
          <w:szCs w:val="20"/>
        </w:rPr>
        <w:lastRenderedPageBreak/>
        <w:t xml:space="preserve">SHOP-certified stand-alone dental plan.  Dental benefits may be limited to services provided by a network provider.  </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Carriers that issue plans through or in conjunction with an approved Selective Contracting Arrangement must consider the following when creating the plan documents:</w:t>
      </w:r>
    </w:p>
    <w:p w:rsidR="00BB60C3" w:rsidRPr="002C4F95" w:rsidRDefault="00BB60C3" w:rsidP="00BB60C3">
      <w:pPr>
        <w:spacing w:after="0" w:line="240" w:lineRule="auto"/>
        <w:ind w:left="720" w:hanging="720"/>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b/>
      </w:r>
      <w:proofErr w:type="gramStart"/>
      <w:r w:rsidRPr="002C4F95">
        <w:rPr>
          <w:rFonts w:ascii="Times New Roman" w:eastAsia="Times New Roman" w:hAnsi="Times New Roman" w:cs="Times New Roman"/>
          <w:sz w:val="24"/>
          <w:szCs w:val="20"/>
        </w:rPr>
        <w:t>a.  The</w:t>
      </w:r>
      <w:proofErr w:type="gramEnd"/>
      <w:r w:rsidRPr="002C4F95">
        <w:rPr>
          <w:rFonts w:ascii="Times New Roman" w:eastAsia="Times New Roman" w:hAnsi="Times New Roman" w:cs="Times New Roman"/>
          <w:sz w:val="24"/>
          <w:szCs w:val="20"/>
        </w:rPr>
        <w:t xml:space="preserve"> policy and certificate documents contain “SAMPLE” schedule page text.  The dollar amounts for the deductibles and copayments are purely illustrative.  Refer to N.J.A.C. 11:21-3(d) for direction as to which amounts may be substituted for those in the example.  For plans that utilize a copay feature, the copays replace the cash deductible for the particular service, and benefits following the copay must be paid at 100%.  The dollar amounts for the copays must be consistent with those that an HMO carrier may use. </w:t>
      </w:r>
    </w:p>
    <w:p w:rsidR="00BB60C3" w:rsidRPr="002C4F95" w:rsidRDefault="00BB60C3" w:rsidP="00BB60C3">
      <w:pPr>
        <w:spacing w:after="0" w:line="240" w:lineRule="auto"/>
        <w:ind w:left="720" w:hanging="720"/>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b/>
      </w:r>
      <w:proofErr w:type="gramStart"/>
      <w:r w:rsidRPr="002C4F95">
        <w:rPr>
          <w:rFonts w:ascii="Times New Roman" w:eastAsia="Times New Roman" w:hAnsi="Times New Roman" w:cs="Times New Roman"/>
          <w:sz w:val="24"/>
          <w:szCs w:val="20"/>
        </w:rPr>
        <w:t>b.  Include</w:t>
      </w:r>
      <w:proofErr w:type="gramEnd"/>
      <w:r w:rsidRPr="002C4F95">
        <w:rPr>
          <w:rFonts w:ascii="Times New Roman" w:eastAsia="Times New Roman" w:hAnsi="Times New Roman" w:cs="Times New Roman"/>
          <w:sz w:val="24"/>
          <w:szCs w:val="20"/>
        </w:rPr>
        <w:t xml:space="preserve"> the specific page of text describing either the PPO, POS or the EPO mechanism, with specification of the name of the network or provider organization.</w:t>
      </w:r>
    </w:p>
    <w:p w:rsidR="00BB60C3" w:rsidRPr="002C4F95" w:rsidRDefault="00BB60C3" w:rsidP="00BB60C3">
      <w:pPr>
        <w:spacing w:after="0" w:line="240" w:lineRule="auto"/>
        <w:ind w:left="720" w:hanging="720"/>
        <w:jc w:val="both"/>
        <w:rPr>
          <w:rFonts w:ascii="Times New Roman" w:eastAsia="Times New Roman" w:hAnsi="Times New Roman" w:cs="Times New Roman"/>
          <w:sz w:val="24"/>
          <w:szCs w:val="20"/>
        </w:rPr>
      </w:pP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Pr="002C4F95" w:rsidRDefault="00BB60C3" w:rsidP="00BB60C3">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In </w:t>
      </w:r>
      <w:r w:rsidRPr="002C4F95">
        <w:rPr>
          <w:rFonts w:ascii="Times New Roman" w:eastAsia="Times New Roman" w:hAnsi="Times New Roman" w:cs="Times New Roman"/>
          <w:b/>
          <w:sz w:val="24"/>
          <w:szCs w:val="20"/>
        </w:rPr>
        <w:t>addition</w:t>
      </w:r>
      <w:r w:rsidRPr="002C4F95">
        <w:rPr>
          <w:rFonts w:ascii="Times New Roman" w:eastAsia="Times New Roman" w:hAnsi="Times New Roman" w:cs="Times New Roman"/>
          <w:sz w:val="24"/>
          <w:szCs w:val="20"/>
        </w:rPr>
        <w:t xml:space="preserve"> to the above items, Carriers must consider the following in connection with the certificate forms:</w:t>
      </w: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face page text may be modified to be consistent with a carrier’s methods of certificate personalization.  The certificate level data that is illustrated on the face page of the standard forms may appear on a separate schedule, or sticker, or may be incorporated in the body of the certificate.  Carriers may also elect to issue “no-name” certificates, which would fully describe eligibility and effective date provisions such that the covered persons could apply the rules to determine the terms of their coverage.</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term “certificate” may be replaced with certificate booklet, certificate of insurance, employee booklet, booklet certificate, evidence of coverage, or similar titles used to identify the document provided to employees insured under an employer’s group plan.</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Variable schedule data such as </w:t>
      </w:r>
      <w:proofErr w:type="gramStart"/>
      <w:r w:rsidRPr="002C4F95">
        <w:rPr>
          <w:rFonts w:ascii="Times New Roman" w:eastAsia="Times New Roman" w:hAnsi="Times New Roman" w:cs="Times New Roman"/>
          <w:sz w:val="24"/>
          <w:szCs w:val="20"/>
        </w:rPr>
        <w:t>deductible,</w:t>
      </w:r>
      <w:proofErr w:type="gramEnd"/>
      <w:r w:rsidRPr="002C4F95">
        <w:rPr>
          <w:rFonts w:ascii="Times New Roman" w:eastAsia="Times New Roman" w:hAnsi="Times New Roman" w:cs="Times New Roman"/>
          <w:sz w:val="24"/>
          <w:szCs w:val="20"/>
        </w:rPr>
        <w:t xml:space="preserve"> and copayment amounts may be included on the schedule, shown on the face page, sticker or separate schedule.</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Payment of Premiums-Grace Period section may be omitted, at the carrier’s option.</w:t>
      </w:r>
    </w:p>
    <w:p w:rsidR="00BB60C3" w:rsidRPr="002C4F95" w:rsidRDefault="00BB60C3" w:rsidP="00BB60C3">
      <w:pPr>
        <w:numPr>
          <w:ilvl w:val="0"/>
          <w:numId w:val="3"/>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definition of “You, Your and </w:t>
      </w:r>
      <w:proofErr w:type="gramStart"/>
      <w:r w:rsidRPr="002C4F95">
        <w:rPr>
          <w:rFonts w:ascii="Times New Roman" w:eastAsia="Times New Roman" w:hAnsi="Times New Roman" w:cs="Times New Roman"/>
          <w:sz w:val="24"/>
          <w:szCs w:val="20"/>
        </w:rPr>
        <w:t>Yours</w:t>
      </w:r>
      <w:proofErr w:type="gramEnd"/>
      <w:r w:rsidRPr="002C4F95">
        <w:rPr>
          <w:rFonts w:ascii="Times New Roman" w:eastAsia="Times New Roman" w:hAnsi="Times New Roman" w:cs="Times New Roman"/>
          <w:sz w:val="24"/>
          <w:szCs w:val="20"/>
        </w:rPr>
        <w:t>” may be omitted by carriers that elect to refer to the employee as Employee, rather than use the personal “You”.  Throughout the text, the words “You,” “Your” and “Yours” must be replaced with “Employee” terminology.</w:t>
      </w:r>
    </w:p>
    <w:p w:rsidR="00BB60C3" w:rsidRPr="002C4F95" w:rsidRDefault="00BB60C3" w:rsidP="00BB60C3">
      <w:pPr>
        <w:spacing w:after="0" w:line="240" w:lineRule="auto"/>
        <w:ind w:left="720" w:hanging="720"/>
        <w:jc w:val="both"/>
        <w:rPr>
          <w:rFonts w:ascii="Times New Roman" w:eastAsia="Times New Roman" w:hAnsi="Times New Roman" w:cs="Times New Roman"/>
          <w:sz w:val="24"/>
          <w:szCs w:val="20"/>
        </w:rPr>
      </w:pPr>
    </w:p>
    <w:p w:rsidR="00BB60C3" w:rsidRPr="002C4F95" w:rsidRDefault="00BB60C3" w:rsidP="00BB60C3">
      <w:pPr>
        <w:keepNext/>
        <w:spacing w:after="0" w:line="240" w:lineRule="auto"/>
        <w:outlineLvl w:val="1"/>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Plan HMO Contract and Evidence of Coverage</w:t>
      </w:r>
    </w:p>
    <w:p w:rsidR="00BB60C3" w:rsidRPr="002C4F95" w:rsidRDefault="00BB60C3" w:rsidP="00BB60C3">
      <w:pPr>
        <w:spacing w:after="0" w:line="240" w:lineRule="auto"/>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(Appendix Exhibits G and Y)</w:t>
      </w: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Pr="002C4F95" w:rsidRDefault="00BB60C3" w:rsidP="00BB60C3">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All text which is enclosed in brackets [ ] is variable.  Enclosure in Brackets does </w:t>
      </w:r>
      <w:r w:rsidRPr="002C4F95">
        <w:rPr>
          <w:rFonts w:ascii="Times New Roman" w:eastAsia="Times New Roman" w:hAnsi="Times New Roman" w:cs="Times New Roman"/>
          <w:b/>
          <w:i/>
          <w:sz w:val="24"/>
          <w:szCs w:val="20"/>
        </w:rPr>
        <w:t xml:space="preserve">not </w:t>
      </w:r>
      <w:r w:rsidRPr="002C4F95">
        <w:rPr>
          <w:rFonts w:ascii="Times New Roman" w:eastAsia="Times New Roman" w:hAnsi="Times New Roman" w:cs="Times New Roman"/>
          <w:sz w:val="24"/>
          <w:szCs w:val="20"/>
        </w:rPr>
        <w:t xml:space="preserve">give Carriers liberty to deviate from the standard text which is enclosed in brackets, except as expressly stated.  In many instances, variable text is text which a carrier elects to either </w:t>
      </w:r>
      <w:r w:rsidRPr="002C4F95">
        <w:rPr>
          <w:rFonts w:ascii="Times New Roman" w:eastAsia="Times New Roman" w:hAnsi="Times New Roman" w:cs="Times New Roman"/>
          <w:sz w:val="24"/>
          <w:szCs w:val="20"/>
        </w:rPr>
        <w:lastRenderedPageBreak/>
        <w:t>include or exclude.  When the forms are prepared as issue documents, no brackets should appear, since the forms, as issued, should specify all the elections the Carrier has made.  Such text may generally be categorized in the following ways.</w:t>
      </w: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Pr="002C4F95" w:rsidRDefault="00BB60C3" w:rsidP="00BB60C3">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self-explanatory.  Examples include:  [Carrier], [</w:t>
      </w:r>
      <w:proofErr w:type="spellStart"/>
      <w:r w:rsidRPr="002C4F95">
        <w:rPr>
          <w:rFonts w:ascii="Times New Roman" w:eastAsia="Times New Roman" w:hAnsi="Times New Roman" w:cs="Times New Roman"/>
          <w:sz w:val="24"/>
          <w:szCs w:val="20"/>
        </w:rPr>
        <w:t>Contractholder</w:t>
      </w:r>
      <w:proofErr w:type="spellEnd"/>
      <w:r w:rsidRPr="002C4F95">
        <w:rPr>
          <w:rFonts w:ascii="Times New Roman" w:eastAsia="Times New Roman" w:hAnsi="Times New Roman" w:cs="Times New Roman"/>
          <w:sz w:val="24"/>
          <w:szCs w:val="20"/>
        </w:rPr>
        <w:t>], and [ABC].</w:t>
      </w:r>
    </w:p>
    <w:p w:rsidR="00BB60C3" w:rsidRPr="002C4F95" w:rsidRDefault="00BB60C3" w:rsidP="00BB60C3">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noted with brief explanations within the text.</w:t>
      </w:r>
    </w:p>
    <w:p w:rsidR="00BB60C3" w:rsidRPr="002C4F95" w:rsidRDefault="00BB60C3" w:rsidP="00BB60C3">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intended to allow for flexibility in terms of a carrier’s administrative practices.</w:t>
      </w:r>
    </w:p>
    <w:p w:rsidR="00BB60C3" w:rsidRPr="002C4F95" w:rsidRDefault="00BB60C3" w:rsidP="00BB60C3">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subject to ranges and parameters specified in statute and/or regulation.</w:t>
      </w:r>
    </w:p>
    <w:p w:rsidR="00BB60C3" w:rsidRPr="002C4F95" w:rsidRDefault="00BB60C3" w:rsidP="00BB60C3">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intended solely to accommodate plans that only allow coverage for employees.  That is, no dependent coverage is available.  In such circumstances, references to dependents and provisions that apply to dependents, as enclosed in brackets, may be omitted.  When dependent coverage is provided under the plan, all dependent text must be included in the plan.</w:t>
      </w:r>
    </w:p>
    <w:p w:rsidR="00BB60C3" w:rsidRPr="002C4F95" w:rsidRDefault="00BB60C3" w:rsidP="00BB60C3">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Variable text is included throughout the forms to address the potential for coverage for domestic partners.  Carriers should include the text only if the employer elects coverage for domestic partners on the employer application.  In lieu of including the text in the body of the form, carriers may use the Open Face Rider (Exhibit D) to include the domestic partner text as included in the standard plans.</w:t>
      </w:r>
    </w:p>
    <w:p w:rsidR="00BB60C3" w:rsidRPr="002C4F95" w:rsidRDefault="00BB60C3" w:rsidP="00BB60C3">
      <w:pPr>
        <w:numPr>
          <w:ilvl w:val="0"/>
          <w:numId w:val="4"/>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Some areas of variability apply to the limited circumstance of plans to be issued in the Small Business Health Options Program created under the Patient Protection and Affordable Care Act, Public Law 111-148, as amended by the Health Care and Education Reconciliation Act, Public Law 111-152 (SHOP).  </w:t>
      </w: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Pr="002C4F95" w:rsidRDefault="00BB60C3" w:rsidP="00BB60C3">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Areas of variability, which may require clarification and explanation as to use, are explained below.  The order of the list is consistent with the order of appearance in Contract and Evidence of Coverage forms.</w:t>
      </w: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Health Care Quality Act requires carriers to specify the legal name, trade name fax and e-mail numbers.  Carriers may include this information on a separate page, immediately following the face page, as illustrated in the standard forms.  Alternatively, carriers may include this information directly on the face page.  </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definition of an Approved Cancer Clinical Trial and the corresponding benefit provision should be included only by those carriers that wish to make such coverage available and want to specify such coverage in the contract form.</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Copayments may be elected by the Employer, subject to the availability specified in regulation.</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Deductible, coinsurance and maximum out of pocket provisions may be included for network benefits.  Applicable text to address the deductible, coinsurance and maximum out of pocket features must be included on the schedule page and in the benefit provisions.  </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One of the schedule pages illustrates a tiered network design.  Carriers should adapt the schedule page to illustrate the services for which a tiered network design is </w:t>
      </w:r>
      <w:r w:rsidRPr="002C4F95">
        <w:rPr>
          <w:rFonts w:ascii="Times New Roman" w:eastAsia="Times New Roman" w:hAnsi="Times New Roman" w:cs="Times New Roman"/>
          <w:sz w:val="24"/>
          <w:szCs w:val="20"/>
        </w:rPr>
        <w:lastRenderedPageBreak/>
        <w:t>applicable.  Additional variable text addressing a tiered network is included in other coverage sections of the contract.</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Actively </w:t>
      </w:r>
      <w:proofErr w:type="gramStart"/>
      <w:r w:rsidRPr="002C4F95">
        <w:rPr>
          <w:rFonts w:ascii="Times New Roman" w:eastAsia="Times New Roman" w:hAnsi="Times New Roman" w:cs="Times New Roman"/>
          <w:sz w:val="24"/>
          <w:szCs w:val="20"/>
        </w:rPr>
        <w:t>At</w:t>
      </w:r>
      <w:proofErr w:type="gramEnd"/>
      <w:r w:rsidRPr="002C4F95">
        <w:rPr>
          <w:rFonts w:ascii="Times New Roman" w:eastAsia="Times New Roman" w:hAnsi="Times New Roman" w:cs="Times New Roman"/>
          <w:sz w:val="24"/>
          <w:szCs w:val="20"/>
        </w:rPr>
        <w:t xml:space="preserve"> Work requirement can be deleted.  Federally Qualified HMOs cannot apply Active Work Requirements.  To accomplish the deletion of the actively at work requirement, carriers must delete the definition of Actively at Work, and delete the bracketed text in the following sections:  Eligible Employees, Full-Time Requirement, When Employee Coverage Starts, Exception to the Actively at Work Requirement, and When Employee Coverage Ends.</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method a Carrier chooses to make the optional cancer treatment benefits available will determine which transplant benefit text the Carrier would include.  </w:t>
      </w:r>
      <w:r w:rsidRPr="002C4F95">
        <w:rPr>
          <w:rFonts w:ascii="Times New Roman" w:eastAsia="Times New Roman" w:hAnsi="Times New Roman" w:cs="Times New Roman"/>
          <w:b/>
          <w:sz w:val="24"/>
          <w:szCs w:val="20"/>
        </w:rPr>
        <w:t>NOTE:</w:t>
      </w:r>
      <w:r w:rsidRPr="002C4F95">
        <w:rPr>
          <w:rFonts w:ascii="Times New Roman" w:eastAsia="Times New Roman" w:hAnsi="Times New Roman" w:cs="Times New Roman"/>
          <w:sz w:val="24"/>
          <w:szCs w:val="20"/>
        </w:rPr>
        <w:t xml:space="preserve">  ALL plans issued by a Carrier must make the optional benefit available in the same manner.</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bracketed dispensing limit text contained in the prescription drug coverage should be deleted by carriers that provide the in-plan prescription drug coverage subject to coinsurance.</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Eligible class references can be removed.</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Waiting Period provision of the Employee Coverage Provision may be omitted or included at the option of the Carrier.  If included, the period may not exceed 90 days and must satisfy the requirements of regulation.  The text may address a date certain following a waiting period, such as first of the month following 60 days.  If included, the carrier may include the bracketed definition of Waiting Period in the Definitions section.</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date Employee and Dependent coverage begins or ends may vary to accommodate Employer and/or Carrier administration practices.  For example, Coverage may begin as of the first of the month following any waiting period, </w:t>
      </w:r>
      <w:proofErr w:type="gramStart"/>
      <w:r w:rsidRPr="002C4F95">
        <w:rPr>
          <w:rFonts w:ascii="Times New Roman" w:eastAsia="Times New Roman" w:hAnsi="Times New Roman" w:cs="Times New Roman"/>
          <w:sz w:val="24"/>
          <w:szCs w:val="20"/>
        </w:rPr>
        <w:t>or  coverage</w:t>
      </w:r>
      <w:proofErr w:type="gramEnd"/>
      <w:r w:rsidRPr="002C4F95">
        <w:rPr>
          <w:rFonts w:ascii="Times New Roman" w:eastAsia="Times New Roman" w:hAnsi="Times New Roman" w:cs="Times New Roman"/>
          <w:sz w:val="24"/>
          <w:szCs w:val="20"/>
        </w:rPr>
        <w:t xml:space="preserve"> may end immediately or may end at the end of the month following a termination event.</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Percentage participation requirement as noted in the Participation Requirements and in the Termination of the Policy Renewal Privilege provisions of the General Provisions may be determined by the </w:t>
      </w:r>
      <w:proofErr w:type="gramStart"/>
      <w:r w:rsidRPr="002C4F95">
        <w:rPr>
          <w:rFonts w:ascii="Times New Roman" w:eastAsia="Times New Roman" w:hAnsi="Times New Roman" w:cs="Times New Roman"/>
          <w:sz w:val="24"/>
          <w:szCs w:val="20"/>
        </w:rPr>
        <w:t>Carrier,</w:t>
      </w:r>
      <w:proofErr w:type="gramEnd"/>
      <w:r w:rsidRPr="002C4F95">
        <w:rPr>
          <w:rFonts w:ascii="Times New Roman" w:eastAsia="Times New Roman" w:hAnsi="Times New Roman" w:cs="Times New Roman"/>
          <w:sz w:val="24"/>
          <w:szCs w:val="20"/>
        </w:rPr>
        <w:t xml:space="preserve"> provided the requirements comply with the requirements permitted in Statute and regulation.</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Transfer of Primary Care Physician can occur according to carrier administration, but may not be more restrictive to the member than stated in the form.</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Carriers should include variable material contained in the Provider Payment section to correctly address the compensation arrangement the carriers have with the network.</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Carriers that wish to apply pre-approval requirements to the Prescription Drugs coverage should include the variable pre-approval text.  </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Reinstatement provision should be included by carriers that will allow reinstatement.  The provision includes two options for a reinstatement fee.  Carriers should include the applicable text.</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Dental Benefits text is enclosed in brackets.  For policies sold on the SHOP the Dental Benefits provision may be excluded if the SHOP offers a standalone dental plan with a pediatric dental essential health benefit.  Such bracketed text must be included in plans otherwise issued in </w:t>
      </w:r>
      <w:smartTag w:uri="urn:schemas-microsoft-com:office:smarttags" w:element="State">
        <w:smartTag w:uri="urn:schemas-microsoft-com:office:smarttags" w:element="place">
          <w:r w:rsidRPr="002C4F95">
            <w:rPr>
              <w:rFonts w:ascii="Times New Roman" w:eastAsia="Times New Roman" w:hAnsi="Times New Roman" w:cs="Times New Roman"/>
              <w:sz w:val="24"/>
              <w:szCs w:val="20"/>
            </w:rPr>
            <w:t>New Jersey</w:t>
          </w:r>
        </w:smartTag>
      </w:smartTag>
      <w:r w:rsidRPr="002C4F95">
        <w:rPr>
          <w:rFonts w:ascii="Times New Roman" w:eastAsia="Times New Roman" w:hAnsi="Times New Roman" w:cs="Times New Roman"/>
          <w:sz w:val="24"/>
          <w:szCs w:val="20"/>
        </w:rPr>
        <w:t xml:space="preserve"> unless a carrier is reasonably assured that an employer is providing such pediatric dental coverage through a </w:t>
      </w:r>
      <w:r w:rsidRPr="002C4F95">
        <w:rPr>
          <w:rFonts w:ascii="Times New Roman" w:eastAsia="Times New Roman" w:hAnsi="Times New Roman" w:cs="Times New Roman"/>
          <w:sz w:val="24"/>
          <w:szCs w:val="20"/>
        </w:rPr>
        <w:lastRenderedPageBreak/>
        <w:t xml:space="preserve">SHOP-certified stand-alone dental plan.  Dental benefits may be limited to services provided by a network provider.  </w:t>
      </w: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Pr="002C4F95" w:rsidRDefault="00BB60C3" w:rsidP="00BB60C3">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b/>
          <w:sz w:val="24"/>
          <w:szCs w:val="20"/>
        </w:rPr>
        <w:t>In addition</w:t>
      </w:r>
      <w:r w:rsidRPr="002C4F95">
        <w:rPr>
          <w:rFonts w:ascii="Times New Roman" w:eastAsia="Times New Roman" w:hAnsi="Times New Roman" w:cs="Times New Roman"/>
          <w:sz w:val="24"/>
          <w:szCs w:val="20"/>
        </w:rPr>
        <w:t xml:space="preserve"> to the above items, Carriers must consider the following in connection with the evidence of coverage forms:</w:t>
      </w: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face page text may be modified to be consistent with a carrier’s methods of evidence of coverage personalization.  The evidence of coverage level data that is illustrated on the face page of the standard forms may appear on a separate schedule, or sticker, or may be incorporated in the body of the document.  Carriers may also elect to issue “no-name” certificates, which would fully describe eligibility and effective date provisions such that the covered persons could apply the rules to determine the terms of their coverage.</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term “evidence of coverage” may be replaced with a similar term used to identify the document provided to employees covered under an employer’s group plan.</w:t>
      </w:r>
    </w:p>
    <w:p w:rsidR="00BB60C3" w:rsidRPr="002C4F95" w:rsidRDefault="00BB60C3" w:rsidP="00BB60C3">
      <w:pPr>
        <w:spacing w:after="0" w:line="240" w:lineRule="auto"/>
        <w:ind w:left="720" w:hanging="720"/>
        <w:jc w:val="both"/>
        <w:rPr>
          <w:rFonts w:ascii="Times New Roman" w:eastAsia="Times New Roman" w:hAnsi="Times New Roman" w:cs="Times New Roman"/>
          <w:sz w:val="24"/>
          <w:szCs w:val="20"/>
        </w:rPr>
      </w:pPr>
    </w:p>
    <w:p w:rsidR="00BB60C3" w:rsidRPr="002C4F95" w:rsidRDefault="00BB60C3" w:rsidP="00BB60C3">
      <w:pPr>
        <w:keepNext/>
        <w:spacing w:after="0" w:line="240" w:lineRule="auto"/>
        <w:outlineLvl w:val="1"/>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Plan HMO-POS Contract and Evidence of Coverage</w:t>
      </w:r>
    </w:p>
    <w:p w:rsidR="00BB60C3" w:rsidRPr="002C4F95" w:rsidRDefault="00BB60C3" w:rsidP="00BB60C3">
      <w:pPr>
        <w:spacing w:after="0" w:line="240" w:lineRule="auto"/>
        <w:rPr>
          <w:rFonts w:ascii="Times New Roman" w:eastAsia="Times New Roman" w:hAnsi="Times New Roman" w:cs="Times New Roman"/>
          <w:b/>
          <w:sz w:val="24"/>
          <w:szCs w:val="20"/>
        </w:rPr>
      </w:pPr>
      <w:r w:rsidRPr="002C4F95">
        <w:rPr>
          <w:rFonts w:ascii="Times New Roman" w:eastAsia="Times New Roman" w:hAnsi="Times New Roman" w:cs="Times New Roman"/>
          <w:b/>
          <w:sz w:val="24"/>
          <w:szCs w:val="20"/>
        </w:rPr>
        <w:t>(Appendix Exhibits HH and II)</w:t>
      </w:r>
    </w:p>
    <w:p w:rsidR="00BB60C3" w:rsidRPr="002C4F95" w:rsidRDefault="00BB60C3" w:rsidP="00BB60C3">
      <w:pPr>
        <w:spacing w:after="0" w:line="240" w:lineRule="auto"/>
        <w:rPr>
          <w:rFonts w:ascii="Times New Roman" w:eastAsia="Times New Roman" w:hAnsi="Times New Roman" w:cs="Times New Roman"/>
          <w:b/>
          <w:sz w:val="24"/>
          <w:szCs w:val="20"/>
        </w:rPr>
      </w:pPr>
    </w:p>
    <w:p w:rsidR="00BB60C3" w:rsidRPr="002C4F95" w:rsidRDefault="00BB60C3" w:rsidP="00BB60C3">
      <w:pPr>
        <w:tabs>
          <w:tab w:val="left" w:pos="6300"/>
        </w:tabs>
        <w:spacing w:after="0" w:line="240" w:lineRule="auto"/>
        <w:jc w:val="both"/>
        <w:rPr>
          <w:rFonts w:ascii="Times New Roman" w:eastAsia="Times New Roman" w:hAnsi="Times New Roman" w:cs="Times New Roman"/>
          <w:b/>
          <w:i/>
          <w:sz w:val="24"/>
          <w:szCs w:val="20"/>
        </w:rPr>
      </w:pPr>
      <w:r w:rsidRPr="002C4F95">
        <w:rPr>
          <w:rFonts w:ascii="Times New Roman" w:eastAsia="Times New Roman" w:hAnsi="Times New Roman" w:cs="Times New Roman"/>
          <w:sz w:val="24"/>
          <w:szCs w:val="20"/>
        </w:rPr>
        <w:t xml:space="preserve">All text which is enclosed in brackets is variable.  Enclosure in Brackets does </w:t>
      </w:r>
      <w:r w:rsidRPr="002C4F95">
        <w:rPr>
          <w:rFonts w:ascii="Times New Roman" w:eastAsia="Times New Roman" w:hAnsi="Times New Roman" w:cs="Times New Roman"/>
          <w:b/>
          <w:sz w:val="24"/>
          <w:szCs w:val="20"/>
        </w:rPr>
        <w:t>not</w:t>
      </w:r>
      <w:r w:rsidRPr="002C4F95">
        <w:rPr>
          <w:rFonts w:ascii="Times New Roman" w:eastAsia="Times New Roman" w:hAnsi="Times New Roman" w:cs="Times New Roman"/>
          <w:sz w:val="24"/>
          <w:szCs w:val="20"/>
        </w:rPr>
        <w:t xml:space="preserve"> give Carriers liberty to deviate from the standard text which is enclosed in brackets, except as expressly stated.  In many instances, variable text is text which a carrier elects to either include or exclude.  When the forms are prepared as issue documents, no brackets should appear, since the forms, as issued, should specify all the elections the Carrier has made.  Such text may generally be categorized in five ways.</w:t>
      </w: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Pr="002C4F95" w:rsidRDefault="00BB60C3" w:rsidP="00BB60C3">
      <w:pPr>
        <w:numPr>
          <w:ilvl w:val="0"/>
          <w:numId w:val="6"/>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self-explanatory.  Examples include:  [Carrier], [</w:t>
      </w:r>
      <w:proofErr w:type="spellStart"/>
      <w:r w:rsidRPr="002C4F95">
        <w:rPr>
          <w:rFonts w:ascii="Times New Roman" w:eastAsia="Times New Roman" w:hAnsi="Times New Roman" w:cs="Times New Roman"/>
          <w:sz w:val="24"/>
          <w:szCs w:val="20"/>
        </w:rPr>
        <w:t>Contractholder</w:t>
      </w:r>
      <w:proofErr w:type="spellEnd"/>
      <w:r w:rsidRPr="002C4F95">
        <w:rPr>
          <w:rFonts w:ascii="Times New Roman" w:eastAsia="Times New Roman" w:hAnsi="Times New Roman" w:cs="Times New Roman"/>
          <w:sz w:val="24"/>
          <w:szCs w:val="20"/>
        </w:rPr>
        <w:t xml:space="preserve">], </w:t>
      </w:r>
      <w:proofErr w:type="gramStart"/>
      <w:r w:rsidRPr="002C4F95">
        <w:rPr>
          <w:rFonts w:ascii="Times New Roman" w:eastAsia="Times New Roman" w:hAnsi="Times New Roman" w:cs="Times New Roman"/>
          <w:sz w:val="24"/>
          <w:szCs w:val="20"/>
        </w:rPr>
        <w:t>[</w:t>
      </w:r>
      <w:proofErr w:type="gramEnd"/>
      <w:r w:rsidRPr="002C4F95">
        <w:rPr>
          <w:rFonts w:ascii="Times New Roman" w:eastAsia="Times New Roman" w:hAnsi="Times New Roman" w:cs="Times New Roman"/>
          <w:sz w:val="24"/>
          <w:szCs w:val="20"/>
        </w:rPr>
        <w:t>date].</w:t>
      </w:r>
    </w:p>
    <w:p w:rsidR="00BB60C3" w:rsidRPr="002C4F95" w:rsidRDefault="00BB60C3" w:rsidP="00BB60C3">
      <w:pPr>
        <w:numPr>
          <w:ilvl w:val="0"/>
          <w:numId w:val="6"/>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noted with brief explanations within the text.</w:t>
      </w:r>
    </w:p>
    <w:p w:rsidR="00BB60C3" w:rsidRPr="002C4F95" w:rsidRDefault="00BB60C3" w:rsidP="00BB60C3">
      <w:pPr>
        <w:numPr>
          <w:ilvl w:val="0"/>
          <w:numId w:val="6"/>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intended to allow for flexibility in terms of a Carrier’s administrative practices.</w:t>
      </w:r>
    </w:p>
    <w:p w:rsidR="00BB60C3" w:rsidRPr="002C4F95" w:rsidRDefault="00BB60C3" w:rsidP="00BB60C3">
      <w:pPr>
        <w:numPr>
          <w:ilvl w:val="0"/>
          <w:numId w:val="6"/>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subject to ranges specified in statute or regulation.</w:t>
      </w:r>
    </w:p>
    <w:p w:rsidR="00BB60C3" w:rsidRPr="002C4F95" w:rsidRDefault="00BB60C3" w:rsidP="00BB60C3">
      <w:pPr>
        <w:numPr>
          <w:ilvl w:val="0"/>
          <w:numId w:val="6"/>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are determined by Carrier elections.  [Examples include terms to identify the member, network and non-network benefits.]</w:t>
      </w:r>
    </w:p>
    <w:p w:rsidR="00BB60C3" w:rsidRPr="002C4F95" w:rsidRDefault="00BB60C3" w:rsidP="00BB60C3">
      <w:pPr>
        <w:numPr>
          <w:ilvl w:val="0"/>
          <w:numId w:val="6"/>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Variable text is included throughout the forms to address the potential for coverage for domestic partners.  Carriers should include the text only if the employer elects coverage for domestic partners on the employer application.  In lieu of including the text in the body of the form, carriers may use the Open Face Rider (Exhibit D) to include the domestic partner text as included in the standard plans.</w:t>
      </w:r>
    </w:p>
    <w:p w:rsidR="00BB60C3" w:rsidRPr="002C4F95" w:rsidRDefault="00BB60C3" w:rsidP="00BB60C3">
      <w:pPr>
        <w:numPr>
          <w:ilvl w:val="0"/>
          <w:numId w:val="6"/>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Some areas of variability apply to the limited circumstance of plans to be issued in the Small Business Health Options Program created under the Patient Protection and Affordable Care Act, Public Law 111-148, as amended by</w:t>
      </w:r>
    </w:p>
    <w:p w:rsidR="00BB60C3" w:rsidRPr="002C4F95" w:rsidRDefault="00BB60C3" w:rsidP="00BB60C3">
      <w:pPr>
        <w:numPr>
          <w:ilvl w:val="12"/>
          <w:numId w:val="0"/>
        </w:numPr>
        <w:spacing w:after="0" w:line="240" w:lineRule="auto"/>
        <w:ind w:left="360" w:hanging="360"/>
        <w:jc w:val="both"/>
        <w:rPr>
          <w:rFonts w:ascii="Times New Roman" w:eastAsia="Times New Roman" w:hAnsi="Times New Roman" w:cs="Times New Roman"/>
          <w:sz w:val="24"/>
          <w:szCs w:val="20"/>
        </w:rPr>
      </w:pPr>
    </w:p>
    <w:p w:rsidR="00BB60C3" w:rsidRPr="002C4F95" w:rsidRDefault="00BB60C3" w:rsidP="00BB60C3">
      <w:p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following explanations apply to the Contract and Evidence of Coverage, unless otherwise stated.</w:t>
      </w: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lastRenderedPageBreak/>
        <w:t xml:space="preserve">The Health Care Quality Act requires carriers to specify the legal name, trade name, e-mail and fax numbers.  Carriers may include this information on a separate page, immediately following the face page, as illustrated in the standard forms.  Alternatively, carriers may include this information directly on the face page.  </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definition of an Approved Cancer Clinical Trial and the corresponding benefit provision should be included only by those carriers that wish to make such coverage available and want to specify such coverage in the contract form.</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forms define and use the terms “Network” or “In-Network” and “Non-Network” or “Out-of-Network.”  Carriers may replace those terms as they appear in the definitions section, and elsewhere throughout the forms, with alternate terms.  (Example:  Participating, Non-Participating)</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forms define and use the term “Member.”  Carriers may replace that term as it appears in the definitions section, and elsewhere throughout the forms, with an alternate term.  (Examples:  Subscriber, Enrollee)</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plan may be issued as employee only coverage.  Text which addresses dependent coverage, as enclosed in brackets, may be deleted for plans which only make coverage available to employees.</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Carriers should include variable material contained in the Provider Payment section to correctly address the compensation arrangement the carriers have with the network.</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Copayment, deductible, coinsurance and maximum out of pocket amounts may be elected by the </w:t>
      </w:r>
      <w:proofErr w:type="spellStart"/>
      <w:r w:rsidRPr="002C4F95">
        <w:rPr>
          <w:rFonts w:ascii="Times New Roman" w:eastAsia="Times New Roman" w:hAnsi="Times New Roman" w:cs="Times New Roman"/>
          <w:sz w:val="24"/>
          <w:szCs w:val="20"/>
        </w:rPr>
        <w:t>Contractholder</w:t>
      </w:r>
      <w:proofErr w:type="spellEnd"/>
      <w:r w:rsidRPr="002C4F95">
        <w:rPr>
          <w:rFonts w:ascii="Times New Roman" w:eastAsia="Times New Roman" w:hAnsi="Times New Roman" w:cs="Times New Roman"/>
          <w:sz w:val="24"/>
          <w:szCs w:val="20"/>
        </w:rPr>
        <w:t>, subject to the availability specified in regulation.  The applicable schedule page and benefit provision text should be included, consistent with whether deductible and coinsurance provision applies to both network and non-network benefits or only to non-network benefits.</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One of the schedule pages illustrates a tiered network design.  Carriers should adapt the schedule page to illustrate the services for which a tiered network design is applicable.  Additional variable text addressing a tiered network is included in other coverage sections of the contract.</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“Actively at Work” requirement may be deleted.  To accomplish the deletion of the actively at work requirement, carriers must delete the definition of Actively at Work, and delete the bracketed text in the following sections:  Eligible Employees, Full-Time Requirement, When Employee Coverage Starts, Exception to the Actively at Work Requirement, and When Employee Coverage Ends.</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definition of “Employer” should identify the name of the employer or specify the location in the Contract and Evidence of Coverage where the employer name is specified.</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“Waiting Period” provision may be omitted, or included, at the option of the </w:t>
      </w:r>
      <w:proofErr w:type="spellStart"/>
      <w:r w:rsidRPr="002C4F95">
        <w:rPr>
          <w:rFonts w:ascii="Times New Roman" w:eastAsia="Times New Roman" w:hAnsi="Times New Roman" w:cs="Times New Roman"/>
          <w:sz w:val="24"/>
          <w:szCs w:val="20"/>
        </w:rPr>
        <w:t>Contractholder</w:t>
      </w:r>
      <w:proofErr w:type="spellEnd"/>
      <w:r w:rsidRPr="002C4F95">
        <w:rPr>
          <w:rFonts w:ascii="Times New Roman" w:eastAsia="Times New Roman" w:hAnsi="Times New Roman" w:cs="Times New Roman"/>
          <w:sz w:val="24"/>
          <w:szCs w:val="20"/>
        </w:rPr>
        <w:t>.  If included, the duration of the waiting period may not exceed 90 days.  The text may address a date certain following a waiting period, such as first of the month following 60 days.  If included, the carrier may include the bracketed definition of Waiting Period in the Definitions section.</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date employee or dependent coverage begins or ends may vary, to accommodate </w:t>
      </w:r>
      <w:proofErr w:type="spellStart"/>
      <w:r w:rsidRPr="002C4F95">
        <w:rPr>
          <w:rFonts w:ascii="Times New Roman" w:eastAsia="Times New Roman" w:hAnsi="Times New Roman" w:cs="Times New Roman"/>
          <w:sz w:val="24"/>
          <w:szCs w:val="20"/>
        </w:rPr>
        <w:t>Contractholder</w:t>
      </w:r>
      <w:proofErr w:type="spellEnd"/>
      <w:r w:rsidRPr="002C4F95">
        <w:rPr>
          <w:rFonts w:ascii="Times New Roman" w:eastAsia="Times New Roman" w:hAnsi="Times New Roman" w:cs="Times New Roman"/>
          <w:sz w:val="24"/>
          <w:szCs w:val="20"/>
        </w:rPr>
        <w:t>, or Carrier administration practices.  (Example:  Coverage may begin as of the first of the month following any waiting period.  Coverage may end immediately, or at the end of the month in which the termination event occurs.)</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lastRenderedPageBreak/>
        <w:t xml:space="preserve">The Selection or Change of a Primary Care Physician or </w:t>
      </w:r>
      <w:smartTag w:uri="urn:schemas-microsoft-com:office:smarttags" w:element="place">
        <w:smartTag w:uri="urn:schemas-microsoft-com:office:smarttags" w:element="PlaceName">
          <w:r w:rsidRPr="002C4F95">
            <w:rPr>
              <w:rFonts w:ascii="Times New Roman" w:eastAsia="Times New Roman" w:hAnsi="Times New Roman" w:cs="Times New Roman"/>
              <w:sz w:val="24"/>
              <w:szCs w:val="20"/>
            </w:rPr>
            <w:t>Health</w:t>
          </w:r>
        </w:smartTag>
        <w:r w:rsidRPr="002C4F95">
          <w:rPr>
            <w:rFonts w:ascii="Times New Roman" w:eastAsia="Times New Roman" w:hAnsi="Times New Roman" w:cs="Times New Roman"/>
            <w:sz w:val="24"/>
            <w:szCs w:val="20"/>
          </w:rPr>
          <w:t xml:space="preserve"> </w:t>
        </w:r>
        <w:smartTag w:uri="urn:schemas-microsoft-com:office:smarttags" w:element="PlaceType">
          <w:r w:rsidRPr="002C4F95">
            <w:rPr>
              <w:rFonts w:ascii="Times New Roman" w:eastAsia="Times New Roman" w:hAnsi="Times New Roman" w:cs="Times New Roman"/>
              <w:sz w:val="24"/>
              <w:szCs w:val="20"/>
            </w:rPr>
            <w:t>Center</w:t>
          </w:r>
        </w:smartTag>
      </w:smartTag>
      <w:r w:rsidRPr="002C4F95">
        <w:rPr>
          <w:rFonts w:ascii="Times New Roman" w:eastAsia="Times New Roman" w:hAnsi="Times New Roman" w:cs="Times New Roman"/>
          <w:sz w:val="24"/>
          <w:szCs w:val="20"/>
        </w:rPr>
        <w:t>, and the effective date of the selection or transfer may vary according to Carrier administration, but may not be more restrictive to the member than stated in the form.</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Carriers may elect to make the optional cancer treatment benefit available as part of the standard plan or as an optional benefit rider.  The selected option determines which text the Carrier should include.  </w:t>
      </w:r>
      <w:r w:rsidRPr="002C4F95">
        <w:rPr>
          <w:rFonts w:ascii="Times New Roman" w:eastAsia="Times New Roman" w:hAnsi="Times New Roman" w:cs="Times New Roman"/>
          <w:i/>
          <w:sz w:val="24"/>
          <w:szCs w:val="20"/>
        </w:rPr>
        <w:t>Note</w:t>
      </w:r>
      <w:r w:rsidRPr="002C4F95">
        <w:rPr>
          <w:rFonts w:ascii="Times New Roman" w:eastAsia="Times New Roman" w:hAnsi="Times New Roman" w:cs="Times New Roman"/>
          <w:sz w:val="24"/>
          <w:szCs w:val="20"/>
        </w:rPr>
        <w:t>:  All plans issued by a Carrier must reflect the same Carrier election to either include the optional benefit, or make the benefit available by rider.</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bracketed dispensing limit text contained in the network prescription drug coverage should be deleted by carriers that provide the in-plan prescription drug coverage subject to coinsurance.</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Carriers that wish to apply pre-approval requirements to the Prescription Drugs coverage should include the variable pre-approval text.</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Carriers that wish to apply pre-approval requirements to non-network prescription drug coverage should include the variable pre-approval text.  </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Utilization Review Features may be omitted in its entirety, or specific sections may be omitted.  The penalty for non-compliance may be adjusted to specify a percentage or a dollar penalty.  A Carrier that wishes to use alternate text to describe utilization review provisions must submit the text to the Board and the Department of Insurance, pursuant to N.J.A.C. 11:21-4.2.</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“Specialty Case Management” provision may be omitted.  Carriers may provide for such “case management” administratively.  If included in the form, the text must conform to the text of the standard form.</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“Centers of Excellence” provision may be omitted.  If included in the form, the text must conform to the text of the standard form.</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Percentage participation requirements (specified as 75% in the forms) may be modified by the </w:t>
      </w:r>
      <w:proofErr w:type="gramStart"/>
      <w:r w:rsidRPr="002C4F95">
        <w:rPr>
          <w:rFonts w:ascii="Times New Roman" w:eastAsia="Times New Roman" w:hAnsi="Times New Roman" w:cs="Times New Roman"/>
          <w:sz w:val="24"/>
          <w:szCs w:val="20"/>
        </w:rPr>
        <w:t>Carrier,</w:t>
      </w:r>
      <w:proofErr w:type="gramEnd"/>
      <w:r w:rsidRPr="002C4F95">
        <w:rPr>
          <w:rFonts w:ascii="Times New Roman" w:eastAsia="Times New Roman" w:hAnsi="Times New Roman" w:cs="Times New Roman"/>
          <w:sz w:val="24"/>
          <w:szCs w:val="20"/>
        </w:rPr>
        <w:t xml:space="preserve"> provided the Carrier complies with N.J.A.C. 11:21-7.6.</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Reinstatement provision should be included by carriers that will allow reinstatement.  The provision includes two options for a reinstatement fee.  Carriers should include the applicable text.</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“Notice of Loss” section of the “Claims Provisions” may be omitted, at the option of the Carrier.</w:t>
      </w:r>
    </w:p>
    <w:p w:rsidR="00BB60C3" w:rsidRPr="002C4F95" w:rsidRDefault="00BB60C3" w:rsidP="00BB60C3">
      <w:pPr>
        <w:numPr>
          <w:ilvl w:val="0"/>
          <w:numId w:val="7"/>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third sentence of the “Payment of Claims” section of the “Claims Provisions” should be omitted, if not applicable.</w:t>
      </w:r>
    </w:p>
    <w:p w:rsidR="00BB60C3" w:rsidRPr="002C4F95" w:rsidRDefault="00BB60C3" w:rsidP="00BB60C3">
      <w:pPr>
        <w:numPr>
          <w:ilvl w:val="0"/>
          <w:numId w:val="5"/>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 xml:space="preserve">The Dental Benefits text is enclosed in brackets.  For policies sold on the SHOP the Dental Benefits provision may be </w:t>
      </w:r>
      <w:proofErr w:type="gramStart"/>
      <w:r w:rsidRPr="002C4F95">
        <w:rPr>
          <w:rFonts w:ascii="Times New Roman" w:eastAsia="Times New Roman" w:hAnsi="Times New Roman" w:cs="Times New Roman"/>
          <w:sz w:val="24"/>
          <w:szCs w:val="20"/>
        </w:rPr>
        <w:t>excluded  if</w:t>
      </w:r>
      <w:proofErr w:type="gramEnd"/>
      <w:r w:rsidRPr="002C4F95">
        <w:rPr>
          <w:rFonts w:ascii="Times New Roman" w:eastAsia="Times New Roman" w:hAnsi="Times New Roman" w:cs="Times New Roman"/>
          <w:sz w:val="24"/>
          <w:szCs w:val="20"/>
        </w:rPr>
        <w:t xml:space="preserve"> the SHOP offers a standalone dental plan with a pediatric dental essential health benefit.  Such bracketed text must be included in plans otherwise issued in </w:t>
      </w:r>
      <w:smartTag w:uri="urn:schemas-microsoft-com:office:smarttags" w:element="place">
        <w:smartTag w:uri="urn:schemas-microsoft-com:office:smarttags" w:element="State">
          <w:r w:rsidRPr="002C4F95">
            <w:rPr>
              <w:rFonts w:ascii="Times New Roman" w:eastAsia="Times New Roman" w:hAnsi="Times New Roman" w:cs="Times New Roman"/>
              <w:sz w:val="24"/>
              <w:szCs w:val="20"/>
            </w:rPr>
            <w:t>New Jersey</w:t>
          </w:r>
        </w:smartTag>
      </w:smartTag>
      <w:r w:rsidRPr="002C4F95">
        <w:rPr>
          <w:rFonts w:ascii="Times New Roman" w:eastAsia="Times New Roman" w:hAnsi="Times New Roman" w:cs="Times New Roman"/>
          <w:sz w:val="24"/>
          <w:szCs w:val="20"/>
        </w:rPr>
        <w:t xml:space="preserve"> unless a carrier is reasonably assured that an employer is providing such pediatric dental coverage through a SHOP-certified stand-alone dental plan.  Dental benefits may be limited to services provided by a network provider.  </w:t>
      </w: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Pr="002C4F95" w:rsidRDefault="00BB60C3" w:rsidP="00BB60C3">
      <w:pPr>
        <w:spacing w:after="0" w:line="240" w:lineRule="auto"/>
        <w:jc w:val="both"/>
        <w:rPr>
          <w:rFonts w:ascii="Times New Roman" w:eastAsia="Times New Roman" w:hAnsi="Times New Roman" w:cs="Times New Roman"/>
          <w:b/>
          <w:i/>
          <w:sz w:val="24"/>
          <w:szCs w:val="20"/>
        </w:rPr>
      </w:pPr>
      <w:r w:rsidRPr="002C4F95">
        <w:rPr>
          <w:rFonts w:ascii="Times New Roman" w:eastAsia="Times New Roman" w:hAnsi="Times New Roman" w:cs="Times New Roman"/>
          <w:sz w:val="24"/>
          <w:szCs w:val="20"/>
        </w:rPr>
        <w:t>The following explanations apply only to the Evidence of Coverage.</w:t>
      </w: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Pr="002C4F95" w:rsidRDefault="00BB60C3" w:rsidP="00BB60C3">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lastRenderedPageBreak/>
        <w:t>The face page of the Evidence of Coverage may be modified to reflect a Carrier’s method of personalization.  Only that text which pertains to the manner of identifying the covered person may be modified.</w:t>
      </w:r>
    </w:p>
    <w:p w:rsidR="00BB60C3" w:rsidRPr="002C4F95" w:rsidRDefault="00BB60C3" w:rsidP="00BB60C3">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term “Evidence of Coverage” may be replaced with another term which the Carrier uses to name the document given to covered persons.  If another name is used, the Carrier should make similar name changes in the corresponding Contract form.</w:t>
      </w:r>
    </w:p>
    <w:p w:rsidR="00BB60C3" w:rsidRPr="002C4F95" w:rsidRDefault="00BB60C3" w:rsidP="00BB60C3">
      <w:pPr>
        <w:numPr>
          <w:ilvl w:val="0"/>
          <w:numId w:val="1"/>
        </w:numPr>
        <w:spacing w:after="0" w:line="240" w:lineRule="auto"/>
        <w:jc w:val="both"/>
        <w:rPr>
          <w:rFonts w:ascii="Times New Roman" w:eastAsia="Times New Roman" w:hAnsi="Times New Roman" w:cs="Times New Roman"/>
          <w:sz w:val="24"/>
          <w:szCs w:val="20"/>
        </w:rPr>
      </w:pPr>
      <w:r w:rsidRPr="002C4F95">
        <w:rPr>
          <w:rFonts w:ascii="Times New Roman" w:eastAsia="Times New Roman" w:hAnsi="Times New Roman" w:cs="Times New Roman"/>
          <w:sz w:val="24"/>
          <w:szCs w:val="20"/>
        </w:rPr>
        <w:t>The Introduction contains bracketed areas which should be omitted, if not applicable, or modified to specify appropriate information.</w:t>
      </w: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Pr="002C4F95" w:rsidRDefault="00BB60C3" w:rsidP="00BB60C3">
      <w:pPr>
        <w:spacing w:after="0" w:line="240" w:lineRule="auto"/>
        <w:jc w:val="both"/>
        <w:rPr>
          <w:rFonts w:ascii="Times New Roman" w:eastAsia="Times New Roman" w:hAnsi="Times New Roman" w:cs="Times New Roman"/>
          <w:sz w:val="24"/>
          <w:szCs w:val="20"/>
        </w:rPr>
      </w:pPr>
    </w:p>
    <w:p w:rsidR="00BB60C3" w:rsidRDefault="00BB60C3" w:rsidP="00BB60C3"/>
    <w:p w:rsidR="001F5D45" w:rsidRDefault="001F5D45"/>
    <w:sectPr w:rsidR="001F5D45">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2D84">
      <w:pPr>
        <w:spacing w:after="0" w:line="240" w:lineRule="auto"/>
      </w:pPr>
      <w:r>
        <w:separator/>
      </w:r>
    </w:p>
  </w:endnote>
  <w:endnote w:type="continuationSeparator" w:id="0">
    <w:p w:rsidR="00000000" w:rsidRDefault="0045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33" w:rsidRDefault="00AE7B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1333" w:rsidRDefault="00452D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33" w:rsidRDefault="00AE7B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2D84">
      <w:rPr>
        <w:rStyle w:val="PageNumber"/>
        <w:noProof/>
      </w:rPr>
      <w:t>10</w:t>
    </w:r>
    <w:r>
      <w:rPr>
        <w:rStyle w:val="PageNumber"/>
      </w:rPr>
      <w:fldChar w:fldCharType="end"/>
    </w:r>
  </w:p>
  <w:p w:rsidR="003F1333" w:rsidRDefault="00452D8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2D84">
      <w:pPr>
        <w:spacing w:after="0" w:line="240" w:lineRule="auto"/>
      </w:pPr>
      <w:r>
        <w:separator/>
      </w:r>
    </w:p>
  </w:footnote>
  <w:footnote w:type="continuationSeparator" w:id="0">
    <w:p w:rsidR="00000000" w:rsidRDefault="00452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22D"/>
    <w:multiLevelType w:val="singleLevel"/>
    <w:tmpl w:val="1BA4A6F6"/>
    <w:lvl w:ilvl="0">
      <w:start w:val="1"/>
      <w:numFmt w:val="decimal"/>
      <w:lvlText w:val="%1."/>
      <w:legacy w:legacy="1" w:legacySpace="0" w:legacyIndent="360"/>
      <w:lvlJc w:val="left"/>
      <w:pPr>
        <w:ind w:left="360" w:hanging="360"/>
      </w:pPr>
    </w:lvl>
  </w:abstractNum>
  <w:abstractNum w:abstractNumId="1">
    <w:nsid w:val="05844DDF"/>
    <w:multiLevelType w:val="singleLevel"/>
    <w:tmpl w:val="1BA4A6F6"/>
    <w:lvl w:ilvl="0">
      <w:start w:val="1"/>
      <w:numFmt w:val="decimal"/>
      <w:lvlText w:val="%1."/>
      <w:legacy w:legacy="1" w:legacySpace="0" w:legacyIndent="360"/>
      <w:lvlJc w:val="left"/>
      <w:pPr>
        <w:ind w:left="360" w:hanging="360"/>
      </w:pPr>
    </w:lvl>
  </w:abstractNum>
  <w:abstractNum w:abstractNumId="2">
    <w:nsid w:val="195D42AA"/>
    <w:multiLevelType w:val="singleLevel"/>
    <w:tmpl w:val="99804194"/>
    <w:lvl w:ilvl="0">
      <w:start w:val="1"/>
      <w:numFmt w:val="lowerLetter"/>
      <w:lvlText w:val="%1)"/>
      <w:legacy w:legacy="1" w:legacySpace="0" w:legacyIndent="360"/>
      <w:lvlJc w:val="left"/>
      <w:pPr>
        <w:ind w:left="360" w:hanging="360"/>
      </w:pPr>
    </w:lvl>
  </w:abstractNum>
  <w:abstractNum w:abstractNumId="3">
    <w:nsid w:val="232B57BF"/>
    <w:multiLevelType w:val="singleLevel"/>
    <w:tmpl w:val="1BA4A6F6"/>
    <w:lvl w:ilvl="0">
      <w:start w:val="1"/>
      <w:numFmt w:val="decimal"/>
      <w:lvlText w:val="%1."/>
      <w:legacy w:legacy="1" w:legacySpace="0" w:legacyIndent="360"/>
      <w:lvlJc w:val="left"/>
      <w:pPr>
        <w:ind w:left="360" w:hanging="360"/>
      </w:pPr>
    </w:lvl>
  </w:abstractNum>
  <w:abstractNum w:abstractNumId="4">
    <w:nsid w:val="40152513"/>
    <w:multiLevelType w:val="singleLevel"/>
    <w:tmpl w:val="1BA4A6F6"/>
    <w:lvl w:ilvl="0">
      <w:start w:val="1"/>
      <w:numFmt w:val="decimal"/>
      <w:lvlText w:val="%1."/>
      <w:legacy w:legacy="1" w:legacySpace="0" w:legacyIndent="360"/>
      <w:lvlJc w:val="left"/>
      <w:pPr>
        <w:ind w:left="360" w:hanging="360"/>
      </w:pPr>
    </w:lvl>
  </w:abstractNum>
  <w:abstractNum w:abstractNumId="5">
    <w:nsid w:val="5C6841CA"/>
    <w:multiLevelType w:val="singleLevel"/>
    <w:tmpl w:val="99804194"/>
    <w:lvl w:ilvl="0">
      <w:start w:val="1"/>
      <w:numFmt w:val="lowerLetter"/>
      <w:lvlText w:val="%1)"/>
      <w:legacy w:legacy="1" w:legacySpace="0" w:legacyIndent="360"/>
      <w:lvlJc w:val="left"/>
      <w:pPr>
        <w:ind w:left="360" w:hanging="360"/>
      </w:pPr>
    </w:lvl>
  </w:abstractNum>
  <w:abstractNum w:abstractNumId="6">
    <w:nsid w:val="6B806D2E"/>
    <w:multiLevelType w:val="singleLevel"/>
    <w:tmpl w:val="02A82DA8"/>
    <w:lvl w:ilvl="0">
      <w:start w:val="1"/>
      <w:numFmt w:val="decimal"/>
      <w:lvlText w:val="%1)"/>
      <w:legacy w:legacy="1" w:legacySpace="0" w:legacyIndent="360"/>
      <w:lvlJc w:val="left"/>
      <w:pPr>
        <w:ind w:left="360" w:hanging="360"/>
      </w:p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C3"/>
    <w:rsid w:val="001F5D45"/>
    <w:rsid w:val="00452D84"/>
    <w:rsid w:val="00AE7B5C"/>
    <w:rsid w:val="00BB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B60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60C3"/>
  </w:style>
  <w:style w:type="character" w:styleId="PageNumber">
    <w:name w:val="page number"/>
    <w:basedOn w:val="DefaultParagraphFont"/>
    <w:rsid w:val="00BB6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B60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60C3"/>
  </w:style>
  <w:style w:type="character" w:styleId="PageNumber">
    <w:name w:val="page number"/>
    <w:basedOn w:val="DefaultParagraphFont"/>
    <w:rsid w:val="00BB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4195</Words>
  <Characters>23915</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2014-11-24T17:59:00Z</dcterms:created>
  <dcterms:modified xsi:type="dcterms:W3CDTF">2014-11-24T17:59:00Z</dcterms:modified>
</cp:coreProperties>
</file>