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5A80EB" w14:textId="77777777" w:rsidR="006415C4" w:rsidRPr="00CC1CB4" w:rsidRDefault="00000000" w:rsidP="009C722E">
      <w:pPr>
        <w:spacing w:after="480" w:line="240" w:lineRule="auto"/>
        <w:jc w:val="center"/>
        <w:rPr>
          <w:rStyle w:val="Style1Char"/>
          <w:lang w:val="es-ES"/>
          <w14:shadow w14:blurRad="63500" w14:dist="50800" w14:dir="13500000" w14:sx="0" w14:sy="0" w14:kx="0" w14:ky="0" w14:algn="none">
            <w14:srgbClr w14:val="000000">
              <w14:alpha w14:val="50000"/>
            </w14:srgbClr>
          </w14:shadow>
          <w14:textOutline w14:w="9525" w14:cap="rnd" w14:cmpd="sng" w14:algn="ctr">
            <w14:solidFill>
              <w14:schemeClr w14:val="accent5">
                <w14:lumMod w14:val="60000"/>
                <w14:lumOff w14:val="40000"/>
              </w14:schemeClr>
            </w14:solidFill>
            <w14:prstDash w14:val="solid"/>
            <w14:bevel/>
          </w14:textOutline>
        </w:rPr>
      </w:pPr>
      <w:bookmarkStart w:id="0" w:name="_top"/>
      <w:bookmarkStart w:id="1" w:name="_Hlk155194018"/>
      <w:bookmarkEnd w:id="0"/>
      <w:r>
        <w:rPr>
          <w:rStyle w:val="Style1Char"/>
          <w:rFonts w:ascii="Cambria" w:eastAsia="Cambria" w:hAnsi="Cambria" w:cs="Times New Roman"/>
          <w:color w:val="215868"/>
          <w:lang w:val="pt-BR"/>
        </w:rPr>
        <w:t>Plano estadual da Every Student Succeeds de Nova Jersey (revisado em 2024)</w:t>
      </w:r>
    </w:p>
    <w:p w14:paraId="6810A391" w14:textId="77777777" w:rsidR="000504C2" w:rsidRPr="00CC1CB4" w:rsidRDefault="00000000" w:rsidP="00994FF2">
      <w:pPr>
        <w:spacing w:after="960" w:line="240" w:lineRule="auto"/>
        <w:jc w:val="center"/>
        <w:rPr>
          <w:rStyle w:val="Style1Char"/>
          <w:color w:val="943634" w:themeColor="accent2" w:themeShade="BF"/>
          <w:sz w:val="56"/>
          <w:szCs w:val="56"/>
          <w:lang w:val="es-ES"/>
        </w:rPr>
      </w:pPr>
      <w:r>
        <w:rPr>
          <w:rStyle w:val="Style1Char"/>
          <w:rFonts w:ascii="Cambria" w:eastAsia="Cambria" w:hAnsi="Cambria" w:cs="Times New Roman"/>
          <w:color w:val="943634"/>
          <w:sz w:val="56"/>
          <w:szCs w:val="56"/>
          <w:lang w:val="pt-BR"/>
        </w:rPr>
        <w:t>Aprovado em 27 de maio de 2025</w:t>
      </w:r>
    </w:p>
    <w:p w14:paraId="615FD69A" w14:textId="77777777" w:rsidR="00DB21F4" w:rsidRPr="009C722E" w:rsidRDefault="00000000" w:rsidP="009C722E">
      <w:pPr>
        <w:spacing w:after="0" w:line="240" w:lineRule="auto"/>
        <w:jc w:val="center"/>
        <w:rPr>
          <w:rStyle w:val="10"/>
          <w:rFonts w:asciiTheme="majorHAnsi" w:hAnsiTheme="majorHAnsi" w:cstheme="majorBidi"/>
          <w:color w:val="215868" w:themeColor="accent5" w:themeShade="80"/>
          <w:sz w:val="72"/>
          <w:szCs w:val="72"/>
        </w:rPr>
      </w:pPr>
      <w:r>
        <w:rPr>
          <w:noProof/>
        </w:rPr>
        <w:drawing>
          <wp:inline distT="0" distB="0" distL="0" distR="0" wp14:anchorId="384CAE88" wp14:editId="70D076CA">
            <wp:extent cx="5943600" cy="3561715"/>
            <wp:effectExtent l="0" t="0" r="0" b="635"/>
            <wp:docPr id="307315430" name="Picture 20" descr="Group of smiling young children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15430" name="Picture 20" descr="Group of smiling young children at schoo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561715"/>
                    </a:xfrm>
                    <a:prstGeom prst="rect">
                      <a:avLst/>
                    </a:prstGeom>
                  </pic:spPr>
                </pic:pic>
              </a:graphicData>
            </a:graphic>
          </wp:inline>
        </w:drawing>
      </w:r>
      <w:r>
        <w:rPr>
          <w:rStyle w:val="10"/>
        </w:rPr>
        <w:br w:type="page"/>
      </w:r>
    </w:p>
    <w:p w14:paraId="34B8C57C" w14:textId="77777777" w:rsidR="006415C4" w:rsidRPr="00856537" w:rsidRDefault="00000000" w:rsidP="00856537">
      <w:pPr>
        <w:pStyle w:val="A10"/>
      </w:pPr>
      <w:bookmarkStart w:id="2" w:name="_Toc171333261"/>
      <w:bookmarkStart w:id="3" w:name="_Toc199403553"/>
      <w:bookmarkStart w:id="4" w:name="_Toc199403656"/>
      <w:r w:rsidRPr="00856537">
        <w:lastRenderedPageBreak/>
        <w:t>Cronograma do Plano estadual da Every Student Succeeds Act de Nova Jersey e Envio de 2024</w:t>
      </w:r>
      <w:bookmarkEnd w:id="2"/>
      <w:bookmarkEnd w:id="3"/>
      <w:bookmarkEnd w:id="4"/>
    </w:p>
    <w:p w14:paraId="2F7D0355" w14:textId="77777777" w:rsidR="00527AF9" w:rsidRPr="00CC1CB4" w:rsidRDefault="00000000" w:rsidP="6B71CBC4">
      <w:pPr>
        <w:rPr>
          <w:rFonts w:eastAsia="Calibri" w:cs="Times New Roman"/>
          <w:color w:val="215868"/>
          <w:sz w:val="24"/>
          <w:szCs w:val="24"/>
          <w:lang w:val="es-ES"/>
        </w:rPr>
      </w:pPr>
      <w:r>
        <w:rPr>
          <w:rFonts w:eastAsia="Times New Roman" w:cs="Times New Roman"/>
          <w:lang w:val="pt-BR"/>
        </w:rPr>
        <w:t xml:space="preserve">Em 2015, a Every Student Succeeds Act (ESSA) substituiu a No Child Left Behind (NCLB) e autorizou novamente a Elementary and Secondary Education Act (ESEA) de 1965. </w:t>
      </w:r>
      <w:r>
        <w:rPr>
          <w:rFonts w:eastAsia="Times New Roman" w:cs="Times New Roman"/>
          <w:color w:val="282828"/>
          <w:shd w:val="clear" w:color="auto" w:fill="FFFFFF"/>
          <w:lang w:val="pt-BR"/>
        </w:rPr>
        <w:t xml:space="preserve">O objetivo da ESSA é </w:t>
      </w:r>
      <w:r>
        <w:rPr>
          <w:rFonts w:eastAsia="Times New Roman" w:cs="Times New Roman"/>
          <w:b/>
          <w:bCs/>
          <w:shd w:val="clear" w:color="auto" w:fill="FFFFFF"/>
          <w:lang w:val="pt-BR"/>
        </w:rPr>
        <w:t>oferecer a todos os alunos a oportunidade de “receber uma educação justa, equitativa e de alta qualidade, e preencher lacunas de realização”.</w:t>
      </w:r>
    </w:p>
    <w:p w14:paraId="69F5B32F" w14:textId="77777777" w:rsidR="00527AF9" w:rsidRPr="00CC1CB4" w:rsidRDefault="00000000" w:rsidP="7CC6D296">
      <w:pPr>
        <w:rPr>
          <w:rFonts w:eastAsia="MS Mincho" w:cs="Times New Roman"/>
          <w:lang w:val="es-ES"/>
        </w:rPr>
      </w:pPr>
      <w:r>
        <w:rPr>
          <w:rFonts w:eastAsia="Times New Roman" w:cs="Times New Roman"/>
          <w:lang w:val="pt-BR"/>
        </w:rPr>
        <w:t xml:space="preserve">O Plano estadual da ESSA de 2024 é uma versão atualizada do Plano estadual inicial da ESSA, que foi aprovado pelo departamento de Educação dos Estados Unidos (United States Department of Education, USED) em 2017. Em dezembro de 2023, o USED aprovou uma versão atualizada com alterações do Plano estadual da ESSA de 2017. A versão com alterações destacadas refletiu as mudanças relacionadas ao Relatório de análise de desempenho de Nova Jersey de 2019 e ao plano de ação corretiva, as revisões feitas de acordo com o Adendo ao plano estadual para COVID-19 e as revisões feitas como resultado de um plano de ação corretiva e monitoramento do Programa de educação para migrantes do USED de 2017. </w:t>
      </w:r>
      <w:bookmarkStart w:id="5" w:name="_Hlk167345689"/>
      <w:bookmarkEnd w:id="5"/>
    </w:p>
    <w:p w14:paraId="11E81414" w14:textId="74FA4011" w:rsidR="053B1A0A" w:rsidRDefault="009A349F" w:rsidP="6DCEB8B9">
      <w:pPr>
        <w:spacing w:line="240" w:lineRule="auto"/>
        <w:rPr>
          <w:rFonts w:eastAsia="MS Mincho" w:cs="Times New Roman"/>
          <w:sz w:val="24"/>
          <w:szCs w:val="24"/>
        </w:rPr>
      </w:pPr>
      <w:r>
        <w:rPr>
          <w:rFonts w:eastAsia="MS Mincho" w:cs="Times New Roman"/>
          <w:noProof/>
        </w:rPr>
        <mc:AlternateContent>
          <mc:Choice Requires="wps">
            <w:drawing>
              <wp:anchor distT="0" distB="0" distL="114300" distR="114300" simplePos="0" relativeHeight="251668480" behindDoc="0" locked="0" layoutInCell="1" allowOverlap="1" wp14:anchorId="3E9E1556" wp14:editId="7F536810">
                <wp:simplePos x="0" y="0"/>
                <wp:positionH relativeFrom="column">
                  <wp:posOffset>341630</wp:posOffset>
                </wp:positionH>
                <wp:positionV relativeFrom="paragraph">
                  <wp:posOffset>30480</wp:posOffset>
                </wp:positionV>
                <wp:extent cx="528320" cy="1270000"/>
                <wp:effectExtent l="0" t="0" r="5080" b="0"/>
                <wp:wrapNone/>
                <wp:docPr id="1" name="Text Box 1"/>
                <wp:cNvGraphicFramePr/>
                <a:graphic xmlns:a="http://schemas.openxmlformats.org/drawingml/2006/main">
                  <a:graphicData uri="http://schemas.microsoft.com/office/word/2010/wordprocessingShape">
                    <wps:wsp>
                      <wps:cNvSpPr txBox="1"/>
                      <wps:spPr>
                        <a:xfrm>
                          <a:off x="0" y="0"/>
                          <a:ext cx="528320" cy="1270000"/>
                        </a:xfrm>
                        <a:prstGeom prst="rect">
                          <a:avLst/>
                        </a:prstGeom>
                        <a:solidFill>
                          <a:schemeClr val="bg1"/>
                        </a:solidFill>
                        <a:ln w="6350">
                          <a:noFill/>
                        </a:ln>
                      </wps:spPr>
                      <wps:txbx>
                        <w:txbxContent>
                          <w:p w14:paraId="67295E9C" w14:textId="77777777" w:rsidR="00534C0E" w:rsidRDefault="00534C0E" w:rsidP="009A349F">
                            <w:pPr>
                              <w:spacing w:after="0" w:line="288" w:lineRule="auto"/>
                              <w:jc w:val="center"/>
                              <w:rPr>
                                <w:rFonts w:cs="Arial"/>
                                <w:b/>
                                <w:bCs/>
                                <w:sz w:val="18"/>
                                <w:szCs w:val="18"/>
                                <w:lang w:val="pt-BR" w:eastAsia="zh-CN"/>
                              </w:rPr>
                            </w:pPr>
                          </w:p>
                          <w:p w14:paraId="44CB9065" w14:textId="12587912" w:rsidR="00881C9B" w:rsidRPr="00534C0E" w:rsidRDefault="00000000" w:rsidP="009A349F">
                            <w:pPr>
                              <w:spacing w:after="0" w:line="288" w:lineRule="auto"/>
                              <w:jc w:val="center"/>
                              <w:rPr>
                                <w:rFonts w:hint="eastAsia"/>
                                <w:b/>
                                <w:bCs/>
                                <w:sz w:val="18"/>
                                <w:szCs w:val="18"/>
                                <w:lang w:eastAsia="zh-CN"/>
                              </w:rPr>
                            </w:pPr>
                            <w:r>
                              <w:rPr>
                                <w:rFonts w:eastAsia="Times New Roman" w:cs="Arial"/>
                                <w:b/>
                                <w:bCs/>
                                <w:sz w:val="18"/>
                                <w:szCs w:val="18"/>
                                <w:lang w:val="pt-BR"/>
                              </w:rPr>
                              <w:t>ESSA se torna lei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E9E1556" id="_x0000_t202" coordsize="21600,21600" o:spt="202" path="m,l,21600r21600,l21600,xe">
                <v:stroke joinstyle="miter"/>
                <v:path gradientshapeok="t" o:connecttype="rect"/>
              </v:shapetype>
              <v:shape id="Text Box 1" o:spid="_x0000_s1026" type="#_x0000_t202" style="position:absolute;margin-left:26.9pt;margin-top:2.4pt;width:41.6pt;height:100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" fillcolor="white [3212]" stroked="f" strokeweight=".5pt">
                <v:textbox style="mso-fit-shape-to-text:t" inset="0,0,0,0">
                  <w:txbxContent>
                    <w:p w14:paraId="67295E9C" w14:textId="77777777" w:rsidR="00534C0E" w:rsidRDefault="00534C0E" w:rsidP="009A349F">
                      <w:pPr>
                        <w:spacing w:after="0" w:line="288" w:lineRule="auto"/>
                        <w:jc w:val="center"/>
                        <w:rPr>
                          <w:rFonts w:cs="Arial"/>
                          <w:b/>
                          <w:bCs/>
                          <w:sz w:val="18"/>
                          <w:szCs w:val="18"/>
                          <w:lang w:val="pt-BR" w:eastAsia="zh-CN"/>
                        </w:rPr>
                      </w:pPr>
                    </w:p>
                    <w:p w14:paraId="44CB9065" w14:textId="12587912" w:rsidR="00881C9B" w:rsidRPr="00534C0E" w:rsidRDefault="00000000" w:rsidP="009A349F">
                      <w:pPr>
                        <w:spacing w:after="0" w:line="288" w:lineRule="auto"/>
                        <w:jc w:val="center"/>
                        <w:rPr>
                          <w:rFonts w:hint="eastAsia"/>
                          <w:b/>
                          <w:bCs/>
                          <w:sz w:val="18"/>
                          <w:szCs w:val="18"/>
                          <w:lang w:eastAsia="zh-CN"/>
                        </w:rPr>
                      </w:pPr>
                      <w:r>
                        <w:rPr>
                          <w:rFonts w:eastAsia="Times New Roman" w:cs="Arial"/>
                          <w:b/>
                          <w:bCs/>
                          <w:sz w:val="18"/>
                          <w:szCs w:val="18"/>
                          <w:lang w:val="pt-BR"/>
                        </w:rPr>
                        <w:t>ESSA se torna lei</w:t>
                      </w:r>
                    </w:p>
                  </w:txbxContent>
                </v:textbox>
              </v:shape>
            </w:pict>
          </mc:Fallback>
        </mc:AlternateContent>
      </w:r>
      <w:r>
        <w:rPr>
          <w:rFonts w:eastAsia="MS Mincho" w:cs="Times New Roman"/>
          <w:noProof/>
        </w:rPr>
        <mc:AlternateContent>
          <mc:Choice Requires="wps">
            <w:drawing>
              <wp:anchor distT="0" distB="0" distL="114300" distR="114300" simplePos="0" relativeHeight="251672576" behindDoc="0" locked="0" layoutInCell="1" allowOverlap="1" wp14:anchorId="46050C4C" wp14:editId="5EDCEC4D">
                <wp:simplePos x="0" y="0"/>
                <wp:positionH relativeFrom="column">
                  <wp:posOffset>2171700</wp:posOffset>
                </wp:positionH>
                <wp:positionV relativeFrom="paragraph">
                  <wp:posOffset>36195</wp:posOffset>
                </wp:positionV>
                <wp:extent cx="852805" cy="1270000"/>
                <wp:effectExtent l="0" t="0" r="4445" b="0"/>
                <wp:wrapNone/>
                <wp:docPr id="4" name="Text Box 4"/>
                <wp:cNvGraphicFramePr/>
                <a:graphic xmlns:a="http://schemas.openxmlformats.org/drawingml/2006/main">
                  <a:graphicData uri="http://schemas.microsoft.com/office/word/2010/wordprocessingShape">
                    <wps:wsp>
                      <wps:cNvSpPr txBox="1"/>
                      <wps:spPr>
                        <a:xfrm>
                          <a:off x="0" y="0"/>
                          <a:ext cx="852805" cy="1270000"/>
                        </a:xfrm>
                        <a:prstGeom prst="rect">
                          <a:avLst/>
                        </a:prstGeom>
                        <a:solidFill>
                          <a:schemeClr val="bg1"/>
                        </a:solidFill>
                        <a:ln w="6350">
                          <a:noFill/>
                        </a:ln>
                      </wps:spPr>
                      <wps:txbx>
                        <w:txbxContent>
                          <w:p w14:paraId="4D95601C" w14:textId="77777777" w:rsidR="0032061B" w:rsidRPr="00881C9B" w:rsidRDefault="00000000" w:rsidP="009A349F">
                            <w:pPr>
                              <w:spacing w:after="0" w:line="288" w:lineRule="auto"/>
                              <w:jc w:val="center"/>
                              <w:rPr>
                                <w:b/>
                                <w:bCs/>
                                <w:sz w:val="18"/>
                                <w:szCs w:val="18"/>
                              </w:rPr>
                            </w:pPr>
                            <w:r>
                              <w:rPr>
                                <w:rFonts w:eastAsia="Times New Roman" w:cs="Arial"/>
                                <w:b/>
                                <w:bCs/>
                                <w:sz w:val="18"/>
                                <w:szCs w:val="18"/>
                                <w:lang w:val="pt-BR"/>
                              </w:rPr>
                              <w:t xml:space="preserve">Monitoramento </w:t>
                            </w:r>
                            <w:r>
                              <w:rPr>
                                <w:rFonts w:eastAsia="Times New Roman" w:cs="Arial"/>
                                <w:b/>
                                <w:bCs/>
                                <w:sz w:val="18"/>
                                <w:szCs w:val="18"/>
                                <w:lang w:val="pt-BR"/>
                              </w:rPr>
                              <w:t>abrangente da ESSA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050C4C" id="Text Box 4" o:spid="_x0000_s1027" type="#_x0000_t202" style="position:absolute;margin-left:171pt;margin-top:2.85pt;width:67.15pt;height:100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" fillcolor="white [3212]" stroked="f" strokeweight=".5pt">
                <v:textbox style="mso-fit-shape-to-text:t" inset="0,0,0,0">
                  <w:txbxContent>
                    <w:p w14:paraId="4D95601C" w14:textId="77777777" w:rsidR="0032061B" w:rsidRPr="00881C9B" w:rsidRDefault="00000000" w:rsidP="009A349F">
                      <w:pPr>
                        <w:spacing w:after="0" w:line="288" w:lineRule="auto"/>
                        <w:jc w:val="center"/>
                        <w:rPr>
                          <w:b/>
                          <w:bCs/>
                          <w:sz w:val="18"/>
                          <w:szCs w:val="18"/>
                        </w:rPr>
                      </w:pPr>
                      <w:r>
                        <w:rPr>
                          <w:rFonts w:eastAsia="Times New Roman" w:cs="Arial"/>
                          <w:b/>
                          <w:bCs/>
                          <w:sz w:val="18"/>
                          <w:szCs w:val="18"/>
                          <w:lang w:val="pt-BR"/>
                        </w:rPr>
                        <w:t xml:space="preserve">Monitoramento </w:t>
                      </w:r>
                      <w:r>
                        <w:rPr>
                          <w:rFonts w:eastAsia="Times New Roman" w:cs="Arial"/>
                          <w:b/>
                          <w:bCs/>
                          <w:sz w:val="18"/>
                          <w:szCs w:val="18"/>
                          <w:lang w:val="pt-BR"/>
                        </w:rPr>
                        <w:t>abrangente da ESSA</w:t>
                      </w:r>
                    </w:p>
                  </w:txbxContent>
                </v:textbox>
              </v:shape>
            </w:pict>
          </mc:Fallback>
        </mc:AlternateContent>
      </w:r>
      <w:r>
        <w:rPr>
          <w:rFonts w:eastAsia="MS Mincho" w:cs="Times New Roman"/>
          <w:noProof/>
        </w:rPr>
        <mc:AlternateContent>
          <mc:Choice Requires="wps">
            <w:drawing>
              <wp:anchor distT="0" distB="0" distL="114300" distR="114300" simplePos="0" relativeHeight="251674624" behindDoc="0" locked="0" layoutInCell="1" allowOverlap="1" wp14:anchorId="7B4D17B3" wp14:editId="5C623A69">
                <wp:simplePos x="0" y="0"/>
                <wp:positionH relativeFrom="column">
                  <wp:posOffset>3114040</wp:posOffset>
                </wp:positionH>
                <wp:positionV relativeFrom="paragraph">
                  <wp:posOffset>191135</wp:posOffset>
                </wp:positionV>
                <wp:extent cx="732790" cy="1270000"/>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732790" cy="1270000"/>
                        </a:xfrm>
                        <a:prstGeom prst="rect">
                          <a:avLst/>
                        </a:prstGeom>
                        <a:solidFill>
                          <a:schemeClr val="bg1"/>
                        </a:solidFill>
                        <a:ln w="6350">
                          <a:noFill/>
                        </a:ln>
                      </wps:spPr>
                      <wps:txbx>
                        <w:txbxContent>
                          <w:p w14:paraId="2EF5FA42" w14:textId="77777777" w:rsidR="0032061B" w:rsidRPr="00534C0E" w:rsidRDefault="00000000" w:rsidP="009A349F">
                            <w:pPr>
                              <w:spacing w:after="0" w:line="288" w:lineRule="auto"/>
                              <w:jc w:val="center"/>
                              <w:rPr>
                                <w:rFonts w:hint="eastAsia"/>
                                <w:b/>
                                <w:bCs/>
                                <w:sz w:val="18"/>
                                <w:szCs w:val="18"/>
                                <w:lang w:eastAsia="zh-CN"/>
                              </w:rPr>
                            </w:pPr>
                            <w:r>
                              <w:rPr>
                                <w:rFonts w:eastAsia="Times New Roman" w:cs="Arial"/>
                                <w:b/>
                                <w:bCs/>
                                <w:sz w:val="18"/>
                                <w:szCs w:val="18"/>
                                <w:lang w:val="pt-BR"/>
                              </w:rPr>
                              <w:t xml:space="preserve">Adendo </w:t>
                            </w:r>
                            <w:r>
                              <w:rPr>
                                <w:rFonts w:eastAsia="Times New Roman" w:cs="Arial"/>
                                <w:b/>
                                <w:bCs/>
                                <w:sz w:val="18"/>
                                <w:szCs w:val="18"/>
                                <w:lang w:val="pt-BR"/>
                              </w:rPr>
                              <w:t>à COVID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4D17B3" id="Text Box 5" o:spid="_x0000_s1028" type="#_x0000_t202" style="position:absolute;margin-left:245.2pt;margin-top:15.05pt;width:57.7pt;height:100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" fillcolor="white [3212]" stroked="f" strokeweight=".5pt">
                <v:textbox style="mso-fit-shape-to-text:t" inset="0,0,0,0">
                  <w:txbxContent>
                    <w:p w14:paraId="2EF5FA42" w14:textId="77777777" w:rsidR="0032061B" w:rsidRPr="00534C0E" w:rsidRDefault="00000000" w:rsidP="009A349F">
                      <w:pPr>
                        <w:spacing w:after="0" w:line="288" w:lineRule="auto"/>
                        <w:jc w:val="center"/>
                        <w:rPr>
                          <w:rFonts w:hint="eastAsia"/>
                          <w:b/>
                          <w:bCs/>
                          <w:sz w:val="18"/>
                          <w:szCs w:val="18"/>
                          <w:lang w:eastAsia="zh-CN"/>
                        </w:rPr>
                      </w:pPr>
                      <w:r>
                        <w:rPr>
                          <w:rFonts w:eastAsia="Times New Roman" w:cs="Arial"/>
                          <w:b/>
                          <w:bCs/>
                          <w:sz w:val="18"/>
                          <w:szCs w:val="18"/>
                          <w:lang w:val="pt-BR"/>
                        </w:rPr>
                        <w:t xml:space="preserve">Adendo </w:t>
                      </w:r>
                      <w:r>
                        <w:rPr>
                          <w:rFonts w:eastAsia="Times New Roman" w:cs="Arial"/>
                          <w:b/>
                          <w:bCs/>
                          <w:sz w:val="18"/>
                          <w:szCs w:val="18"/>
                          <w:lang w:val="pt-BR"/>
                        </w:rPr>
                        <w:t>à COVID</w:t>
                      </w:r>
                    </w:p>
                  </w:txbxContent>
                </v:textbox>
              </v:shape>
            </w:pict>
          </mc:Fallback>
        </mc:AlternateContent>
      </w:r>
      <w:r>
        <w:rPr>
          <w:rFonts w:eastAsia="MS Mincho" w:cs="Times New Roman"/>
          <w:noProof/>
        </w:rPr>
        <mc:AlternateContent>
          <mc:Choice Requires="wps">
            <w:drawing>
              <wp:anchor distT="0" distB="0" distL="114300" distR="114300" simplePos="0" relativeHeight="251670528" behindDoc="0" locked="0" layoutInCell="1" allowOverlap="1" wp14:anchorId="3698623F" wp14:editId="3DCC3A14">
                <wp:simplePos x="0" y="0"/>
                <wp:positionH relativeFrom="column">
                  <wp:posOffset>1144905</wp:posOffset>
                </wp:positionH>
                <wp:positionV relativeFrom="paragraph">
                  <wp:posOffset>29845</wp:posOffset>
                </wp:positionV>
                <wp:extent cx="906145" cy="1270000"/>
                <wp:effectExtent l="0" t="0" r="8255" b="0"/>
                <wp:wrapNone/>
                <wp:docPr id="2" name="Text Box 2"/>
                <wp:cNvGraphicFramePr/>
                <a:graphic xmlns:a="http://schemas.openxmlformats.org/drawingml/2006/main">
                  <a:graphicData uri="http://schemas.microsoft.com/office/word/2010/wordprocessingShape">
                    <wps:wsp>
                      <wps:cNvSpPr txBox="1"/>
                      <wps:spPr>
                        <a:xfrm>
                          <a:off x="0" y="0"/>
                          <a:ext cx="906145" cy="1270000"/>
                        </a:xfrm>
                        <a:prstGeom prst="rect">
                          <a:avLst/>
                        </a:prstGeom>
                        <a:solidFill>
                          <a:schemeClr val="bg1"/>
                        </a:solidFill>
                        <a:ln w="6350">
                          <a:noFill/>
                        </a:ln>
                      </wps:spPr>
                      <wps:txbx>
                        <w:txbxContent>
                          <w:p w14:paraId="4CE3C198" w14:textId="77777777" w:rsidR="00881C9B" w:rsidRPr="00CC1CB4" w:rsidRDefault="00000000" w:rsidP="009A349F">
                            <w:pPr>
                              <w:spacing w:after="0" w:line="288" w:lineRule="auto"/>
                              <w:jc w:val="center"/>
                              <w:rPr>
                                <w:b/>
                                <w:bCs/>
                                <w:sz w:val="18"/>
                                <w:szCs w:val="18"/>
                                <w:lang w:val="es-ES"/>
                              </w:rPr>
                            </w:pPr>
                            <w:r>
                              <w:rPr>
                                <w:rFonts w:eastAsia="Times New Roman" w:cs="Arial"/>
                                <w:b/>
                                <w:bCs/>
                                <w:sz w:val="18"/>
                                <w:szCs w:val="18"/>
                                <w:lang w:val="pt-BR"/>
                              </w:rPr>
                              <w:t xml:space="preserve">Plano </w:t>
                            </w:r>
                            <w:r>
                              <w:rPr>
                                <w:rFonts w:eastAsia="Times New Roman" w:cs="Arial"/>
                                <w:b/>
                                <w:bCs/>
                                <w:sz w:val="18"/>
                                <w:szCs w:val="18"/>
                                <w:lang w:val="pt-BR"/>
                              </w:rPr>
                              <w:t>estadual da ESSA de NJ aprovado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98623F" id="Text Box 2" o:spid="_x0000_s1029" type="#_x0000_t202" style="position:absolute;margin-left:90.15pt;margin-top:2.35pt;width:71.35pt;height:100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" fillcolor="white [3212]" stroked="f" strokeweight=".5pt">
                <v:textbox style="mso-fit-shape-to-text:t" inset="0,0,0,0">
                  <w:txbxContent>
                    <w:p w14:paraId="4CE3C198" w14:textId="77777777" w:rsidR="00881C9B" w:rsidRPr="00CC1CB4" w:rsidRDefault="00000000" w:rsidP="009A349F">
                      <w:pPr>
                        <w:spacing w:after="0" w:line="288" w:lineRule="auto"/>
                        <w:jc w:val="center"/>
                        <w:rPr>
                          <w:b/>
                          <w:bCs/>
                          <w:sz w:val="18"/>
                          <w:szCs w:val="18"/>
                          <w:lang w:val="es-ES"/>
                        </w:rPr>
                      </w:pPr>
                      <w:r>
                        <w:rPr>
                          <w:rFonts w:eastAsia="Times New Roman" w:cs="Arial"/>
                          <w:b/>
                          <w:bCs/>
                          <w:sz w:val="18"/>
                          <w:szCs w:val="18"/>
                          <w:lang w:val="pt-BR"/>
                        </w:rPr>
                        <w:t xml:space="preserve">Plano </w:t>
                      </w:r>
                      <w:r>
                        <w:rPr>
                          <w:rFonts w:eastAsia="Times New Roman" w:cs="Arial"/>
                          <w:b/>
                          <w:bCs/>
                          <w:sz w:val="18"/>
                          <w:szCs w:val="18"/>
                          <w:lang w:val="pt-BR"/>
                        </w:rPr>
                        <w:t>estadual da ESSA de NJ aprovado</w:t>
                      </w:r>
                    </w:p>
                  </w:txbxContent>
                </v:textbox>
              </v:shape>
            </w:pict>
          </mc:Fallback>
        </mc:AlternateContent>
      </w:r>
      <w:r>
        <w:rPr>
          <w:rFonts w:eastAsia="MS Mincho" w:cs="Times New Roman"/>
          <w:noProof/>
        </w:rPr>
        <mc:AlternateContent>
          <mc:Choice Requires="wps">
            <w:drawing>
              <wp:anchor distT="0" distB="0" distL="114300" distR="114300" simplePos="0" relativeHeight="251676672" behindDoc="0" locked="0" layoutInCell="1" allowOverlap="1" wp14:anchorId="5026D4C3" wp14:editId="3F67B253">
                <wp:simplePos x="0" y="0"/>
                <wp:positionH relativeFrom="column">
                  <wp:posOffset>3951605</wp:posOffset>
                </wp:positionH>
                <wp:positionV relativeFrom="paragraph">
                  <wp:posOffset>29845</wp:posOffset>
                </wp:positionV>
                <wp:extent cx="732790" cy="1270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732790" cy="1270000"/>
                        </a:xfrm>
                        <a:prstGeom prst="rect">
                          <a:avLst/>
                        </a:prstGeom>
                        <a:solidFill>
                          <a:schemeClr val="bg1"/>
                        </a:solidFill>
                        <a:ln w="6350">
                          <a:noFill/>
                        </a:ln>
                      </wps:spPr>
                      <wps:txbx>
                        <w:txbxContent>
                          <w:p w14:paraId="6B0950A6" w14:textId="77777777" w:rsidR="0032061B" w:rsidRPr="00881C9B" w:rsidRDefault="00000000" w:rsidP="009A349F">
                            <w:pPr>
                              <w:spacing w:after="0" w:line="288" w:lineRule="auto"/>
                              <w:jc w:val="center"/>
                              <w:rPr>
                                <w:b/>
                                <w:bCs/>
                                <w:sz w:val="18"/>
                                <w:szCs w:val="18"/>
                              </w:rPr>
                            </w:pPr>
                            <w:r>
                              <w:rPr>
                                <w:rFonts w:eastAsia="Times New Roman" w:cs="Arial"/>
                                <w:b/>
                                <w:bCs/>
                                <w:sz w:val="18"/>
                                <w:szCs w:val="18"/>
                                <w:lang w:val="pt-BR"/>
                              </w:rPr>
                              <w:t xml:space="preserve">Versão </w:t>
                            </w:r>
                            <w:r>
                              <w:rPr>
                                <w:rFonts w:eastAsia="Times New Roman" w:cs="Arial"/>
                                <w:b/>
                                <w:bCs/>
                                <w:sz w:val="18"/>
                                <w:szCs w:val="18"/>
                                <w:lang w:val="pt-BR"/>
                              </w:rPr>
                              <w:t>com alterações aprovada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26D4C3" id="Text Box 6" o:spid="_x0000_s1030" type="#_x0000_t202" style="position:absolute;margin-left:311.15pt;margin-top:2.35pt;width:57.7pt;height:100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" fillcolor="white [3212]" stroked="f" strokeweight=".5pt">
                <v:textbox style="mso-fit-shape-to-text:t" inset="0,0,0,0">
                  <w:txbxContent>
                    <w:p w14:paraId="6B0950A6" w14:textId="77777777" w:rsidR="0032061B" w:rsidRPr="00881C9B" w:rsidRDefault="00000000" w:rsidP="009A349F">
                      <w:pPr>
                        <w:spacing w:after="0" w:line="288" w:lineRule="auto"/>
                        <w:jc w:val="center"/>
                        <w:rPr>
                          <w:b/>
                          <w:bCs/>
                          <w:sz w:val="18"/>
                          <w:szCs w:val="18"/>
                        </w:rPr>
                      </w:pPr>
                      <w:r>
                        <w:rPr>
                          <w:rFonts w:eastAsia="Times New Roman" w:cs="Arial"/>
                          <w:b/>
                          <w:bCs/>
                          <w:sz w:val="18"/>
                          <w:szCs w:val="18"/>
                          <w:lang w:val="pt-BR"/>
                        </w:rPr>
                        <w:t xml:space="preserve">Versão </w:t>
                      </w:r>
                      <w:r>
                        <w:rPr>
                          <w:rFonts w:eastAsia="Times New Roman" w:cs="Arial"/>
                          <w:b/>
                          <w:bCs/>
                          <w:sz w:val="18"/>
                          <w:szCs w:val="18"/>
                          <w:lang w:val="pt-BR"/>
                        </w:rPr>
                        <w:t>com alterações aprovada</w:t>
                      </w:r>
                    </w:p>
                  </w:txbxContent>
                </v:textbox>
              </v:shape>
            </w:pict>
          </mc:Fallback>
        </mc:AlternateContent>
      </w:r>
      <w:r>
        <w:rPr>
          <w:rFonts w:eastAsia="MS Mincho" w:cs="Times New Roman"/>
          <w:noProof/>
        </w:rPr>
        <mc:AlternateContent>
          <mc:Choice Requires="wps">
            <w:drawing>
              <wp:anchor distT="0" distB="0" distL="114300" distR="114300" simplePos="0" relativeHeight="251678720" behindDoc="0" locked="0" layoutInCell="1" allowOverlap="1" wp14:anchorId="5AE1ED85" wp14:editId="0830EE60">
                <wp:simplePos x="0" y="0"/>
                <wp:positionH relativeFrom="column">
                  <wp:posOffset>4815205</wp:posOffset>
                </wp:positionH>
                <wp:positionV relativeFrom="paragraph">
                  <wp:posOffset>29845</wp:posOffset>
                </wp:positionV>
                <wp:extent cx="889635" cy="1270000"/>
                <wp:effectExtent l="0" t="0" r="5715" b="0"/>
                <wp:wrapNone/>
                <wp:docPr id="9" name="Text Box 9"/>
                <wp:cNvGraphicFramePr/>
                <a:graphic xmlns:a="http://schemas.openxmlformats.org/drawingml/2006/main">
                  <a:graphicData uri="http://schemas.microsoft.com/office/word/2010/wordprocessingShape">
                    <wps:wsp>
                      <wps:cNvSpPr txBox="1"/>
                      <wps:spPr>
                        <a:xfrm>
                          <a:off x="0" y="0"/>
                          <a:ext cx="889635" cy="1270000"/>
                        </a:xfrm>
                        <a:prstGeom prst="rect">
                          <a:avLst/>
                        </a:prstGeom>
                        <a:solidFill>
                          <a:schemeClr val="bg1"/>
                        </a:solidFill>
                        <a:ln w="6350">
                          <a:noFill/>
                        </a:ln>
                      </wps:spPr>
                      <wps:txbx>
                        <w:txbxContent>
                          <w:p w14:paraId="61A233CD" w14:textId="77777777" w:rsidR="0032061B" w:rsidRPr="00CC1CB4" w:rsidRDefault="00000000" w:rsidP="009A349F">
                            <w:pPr>
                              <w:spacing w:after="0" w:line="288" w:lineRule="auto"/>
                              <w:jc w:val="center"/>
                              <w:rPr>
                                <w:b/>
                                <w:bCs/>
                                <w:sz w:val="18"/>
                                <w:szCs w:val="18"/>
                                <w:lang w:val="es-ES"/>
                              </w:rPr>
                            </w:pPr>
                            <w:r>
                              <w:rPr>
                                <w:rFonts w:eastAsia="Times New Roman" w:cs="Arial"/>
                                <w:b/>
                                <w:bCs/>
                                <w:sz w:val="18"/>
                                <w:szCs w:val="18"/>
                                <w:lang w:val="pt-BR"/>
                              </w:rPr>
                              <w:t>Plano estadual da ESSA de NJ revisado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E1ED85" id="Text Box 9" o:spid="_x0000_s1031" type="#_x0000_t202" style="position:absolute;margin-left:379.15pt;margin-top:2.35pt;width:70.05pt;height:100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" fillcolor="white [3212]" stroked="f" strokeweight=".5pt">
                <v:textbox style="mso-fit-shape-to-text:t" inset="0,0,0,0">
                  <w:txbxContent>
                    <w:p w14:paraId="61A233CD" w14:textId="77777777" w:rsidR="0032061B" w:rsidRPr="00CC1CB4" w:rsidRDefault="00000000" w:rsidP="009A349F">
                      <w:pPr>
                        <w:spacing w:after="0" w:line="288" w:lineRule="auto"/>
                        <w:jc w:val="center"/>
                        <w:rPr>
                          <w:b/>
                          <w:bCs/>
                          <w:sz w:val="18"/>
                          <w:szCs w:val="18"/>
                          <w:lang w:val="es-ES"/>
                        </w:rPr>
                      </w:pPr>
                      <w:r>
                        <w:rPr>
                          <w:rFonts w:eastAsia="Times New Roman" w:cs="Arial"/>
                          <w:b/>
                          <w:bCs/>
                          <w:sz w:val="18"/>
                          <w:szCs w:val="18"/>
                          <w:lang w:val="pt-BR"/>
                        </w:rPr>
                        <w:t>Plano estadual da ESSA de NJ revisado</w:t>
                      </w:r>
                    </w:p>
                  </w:txbxContent>
                </v:textbox>
              </v:shape>
            </w:pict>
          </mc:Fallback>
        </mc:AlternateContent>
      </w:r>
      <w:r w:rsidR="00000000">
        <w:rPr>
          <w:rFonts w:eastAsia="MS Mincho" w:cs="Times New Roman"/>
          <w:noProof/>
        </w:rPr>
        <mc:AlternateContent>
          <mc:Choice Requires="wps">
            <w:drawing>
              <wp:anchor distT="0" distB="0" distL="114300" distR="114300" simplePos="0" relativeHeight="251689984" behindDoc="0" locked="0" layoutInCell="1" allowOverlap="1" wp14:anchorId="086A05FE" wp14:editId="5FD1C4D9">
                <wp:simplePos x="0" y="0"/>
                <wp:positionH relativeFrom="column">
                  <wp:posOffset>5013911</wp:posOffset>
                </wp:positionH>
                <wp:positionV relativeFrom="paragraph">
                  <wp:posOffset>939851</wp:posOffset>
                </wp:positionV>
                <wp:extent cx="528762" cy="1270000"/>
                <wp:effectExtent l="0" t="0" r="5080" b="0"/>
                <wp:wrapNone/>
                <wp:docPr id="17" name="Text Box 17"/>
                <wp:cNvGraphicFramePr/>
                <a:graphic xmlns:a="http://schemas.openxmlformats.org/drawingml/2006/main">
                  <a:graphicData uri="http://schemas.microsoft.com/office/word/2010/wordprocessingShape">
                    <wps:wsp>
                      <wps:cNvSpPr txBox="1"/>
                      <wps:spPr>
                        <a:xfrm>
                          <a:off x="0" y="0"/>
                          <a:ext cx="528762" cy="1270000"/>
                        </a:xfrm>
                        <a:prstGeom prst="rect">
                          <a:avLst/>
                        </a:prstGeom>
                        <a:solidFill>
                          <a:srgbClr val="1C847B"/>
                        </a:solidFill>
                        <a:ln w="6350">
                          <a:noFill/>
                        </a:ln>
                      </wps:spPr>
                      <wps:txbx>
                        <w:txbxContent>
                          <w:p w14:paraId="5AB77BAD" w14:textId="77777777" w:rsidR="00A51642" w:rsidRPr="00A51642" w:rsidRDefault="00000000" w:rsidP="00881C9B">
                            <w:pPr>
                              <w:spacing w:after="0"/>
                              <w:jc w:val="center"/>
                              <w:rPr>
                                <w:b/>
                                <w:bCs/>
                                <w:color w:val="FFFFFF" w:themeColor="background1"/>
                              </w:rPr>
                            </w:pPr>
                            <w:r>
                              <w:rPr>
                                <w:rFonts w:eastAsia="Times New Roman" w:cs="Arial"/>
                                <w:b/>
                                <w:bCs/>
                                <w:color w:val="FFFFFF"/>
                                <w:lang w:val="pt-BR"/>
                              </w:rPr>
                              <w:t>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6A05FE" id="Text Box 17" o:spid="_x0000_s1032" type="#_x0000_t202" style="position:absolute;margin-left:394.8pt;margin-top:74pt;width:41.65pt;height:100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" fillcolor="#1c847b" stroked="f" strokeweight=".5pt">
                <v:textbox style="mso-fit-shape-to-text:t" inset="0,0,0,0">
                  <w:txbxContent>
                    <w:p w14:paraId="5AB77BAD" w14:textId="77777777" w:rsidR="00A51642" w:rsidRPr="00A51642" w:rsidRDefault="00000000" w:rsidP="00881C9B">
                      <w:pPr>
                        <w:spacing w:after="0"/>
                        <w:jc w:val="center"/>
                        <w:rPr>
                          <w:b/>
                          <w:bCs/>
                          <w:color w:val="FFFFFF" w:themeColor="background1"/>
                        </w:rPr>
                      </w:pPr>
                      <w:r>
                        <w:rPr>
                          <w:rFonts w:eastAsia="Times New Roman" w:cs="Arial"/>
                          <w:b/>
                          <w:bCs/>
                          <w:color w:val="FFFFFF"/>
                          <w:lang w:val="pt-BR"/>
                        </w:rPr>
                        <w:t>2024</w:t>
                      </w:r>
                    </w:p>
                  </w:txbxContent>
                </v:textbox>
              </v:shape>
            </w:pict>
          </mc:Fallback>
        </mc:AlternateContent>
      </w:r>
      <w:r w:rsidR="00000000">
        <w:rPr>
          <w:rFonts w:eastAsia="MS Mincho" w:cs="Times New Roman"/>
          <w:noProof/>
        </w:rPr>
        <mc:AlternateContent>
          <mc:Choice Requires="wps">
            <w:drawing>
              <wp:anchor distT="0" distB="0" distL="114300" distR="114300" simplePos="0" relativeHeight="251687936" behindDoc="0" locked="0" layoutInCell="1" allowOverlap="1" wp14:anchorId="21B4D8D6" wp14:editId="0D799D9D">
                <wp:simplePos x="0" y="0"/>
                <wp:positionH relativeFrom="column">
                  <wp:posOffset>3997629</wp:posOffset>
                </wp:positionH>
                <wp:positionV relativeFrom="paragraph">
                  <wp:posOffset>940947</wp:posOffset>
                </wp:positionV>
                <wp:extent cx="528762" cy="1270000"/>
                <wp:effectExtent l="0" t="0" r="5080" b="0"/>
                <wp:wrapNone/>
                <wp:docPr id="16" name="Text Box 16"/>
                <wp:cNvGraphicFramePr/>
                <a:graphic xmlns:a="http://schemas.openxmlformats.org/drawingml/2006/main">
                  <a:graphicData uri="http://schemas.microsoft.com/office/word/2010/wordprocessingShape">
                    <wps:wsp>
                      <wps:cNvSpPr txBox="1"/>
                      <wps:spPr>
                        <a:xfrm>
                          <a:off x="0" y="0"/>
                          <a:ext cx="528762" cy="1270000"/>
                        </a:xfrm>
                        <a:prstGeom prst="rect">
                          <a:avLst/>
                        </a:prstGeom>
                        <a:solidFill>
                          <a:srgbClr val="24697B"/>
                        </a:solidFill>
                        <a:ln w="6350">
                          <a:noFill/>
                        </a:ln>
                      </wps:spPr>
                      <wps:txbx>
                        <w:txbxContent>
                          <w:p w14:paraId="31F50AC7" w14:textId="77777777" w:rsidR="00A51642" w:rsidRPr="00A51642" w:rsidRDefault="00000000" w:rsidP="00881C9B">
                            <w:pPr>
                              <w:spacing w:after="0"/>
                              <w:jc w:val="center"/>
                              <w:rPr>
                                <w:b/>
                                <w:bCs/>
                                <w:color w:val="FFFFFF" w:themeColor="background1"/>
                              </w:rPr>
                            </w:pPr>
                            <w:r>
                              <w:rPr>
                                <w:rFonts w:eastAsia="Times New Roman" w:cs="Arial"/>
                                <w:b/>
                                <w:bCs/>
                                <w:color w:val="FFFFFF"/>
                                <w:lang w:val="pt-BR"/>
                              </w:rPr>
                              <w:t>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B4D8D6" id="Text Box 16" o:spid="_x0000_s1033" type="#_x0000_t202" style="position:absolute;margin-left:314.75pt;margin-top:74.1pt;width:41.65pt;height:100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" fillcolor="#24697b" stroked="f" strokeweight=".5pt">
                <v:textbox style="mso-fit-shape-to-text:t" inset="0,0,0,0">
                  <w:txbxContent>
                    <w:p w14:paraId="31F50AC7" w14:textId="77777777" w:rsidR="00A51642" w:rsidRPr="00A51642" w:rsidRDefault="00000000" w:rsidP="00881C9B">
                      <w:pPr>
                        <w:spacing w:after="0"/>
                        <w:jc w:val="center"/>
                        <w:rPr>
                          <w:b/>
                          <w:bCs/>
                          <w:color w:val="FFFFFF" w:themeColor="background1"/>
                        </w:rPr>
                      </w:pPr>
                      <w:r>
                        <w:rPr>
                          <w:rFonts w:eastAsia="Times New Roman" w:cs="Arial"/>
                          <w:b/>
                          <w:bCs/>
                          <w:color w:val="FFFFFF"/>
                          <w:lang w:val="pt-BR"/>
                        </w:rPr>
                        <w:t>2023</w:t>
                      </w:r>
                    </w:p>
                  </w:txbxContent>
                </v:textbox>
              </v:shape>
            </w:pict>
          </mc:Fallback>
        </mc:AlternateContent>
      </w:r>
      <w:r w:rsidR="00000000">
        <w:rPr>
          <w:rFonts w:eastAsia="MS Mincho" w:cs="Times New Roman"/>
          <w:noProof/>
        </w:rPr>
        <mc:AlternateContent>
          <mc:Choice Requires="wps">
            <w:drawing>
              <wp:anchor distT="0" distB="0" distL="114300" distR="114300" simplePos="0" relativeHeight="251685888" behindDoc="0" locked="0" layoutInCell="1" allowOverlap="1" wp14:anchorId="46E06768" wp14:editId="0DA04F47">
                <wp:simplePos x="0" y="0"/>
                <wp:positionH relativeFrom="column">
                  <wp:posOffset>3139163</wp:posOffset>
                </wp:positionH>
                <wp:positionV relativeFrom="paragraph">
                  <wp:posOffset>947140</wp:posOffset>
                </wp:positionV>
                <wp:extent cx="528762" cy="1270000"/>
                <wp:effectExtent l="0" t="0" r="5080" b="0"/>
                <wp:wrapNone/>
                <wp:docPr id="15" name="Text Box 15"/>
                <wp:cNvGraphicFramePr/>
                <a:graphic xmlns:a="http://schemas.openxmlformats.org/drawingml/2006/main">
                  <a:graphicData uri="http://schemas.microsoft.com/office/word/2010/wordprocessingShape">
                    <wps:wsp>
                      <wps:cNvSpPr txBox="1"/>
                      <wps:spPr>
                        <a:xfrm>
                          <a:off x="0" y="0"/>
                          <a:ext cx="528762" cy="1270000"/>
                        </a:xfrm>
                        <a:prstGeom prst="rect">
                          <a:avLst/>
                        </a:prstGeom>
                        <a:solidFill>
                          <a:srgbClr val="1B9D9C"/>
                        </a:solidFill>
                        <a:ln w="6350">
                          <a:noFill/>
                        </a:ln>
                      </wps:spPr>
                      <wps:txbx>
                        <w:txbxContent>
                          <w:p w14:paraId="6651867D" w14:textId="77777777" w:rsidR="00A51642" w:rsidRPr="00A51642" w:rsidRDefault="00000000" w:rsidP="00881C9B">
                            <w:pPr>
                              <w:spacing w:after="0"/>
                              <w:jc w:val="center"/>
                              <w:rPr>
                                <w:b/>
                                <w:bCs/>
                                <w:color w:val="FFFFFF" w:themeColor="background1"/>
                              </w:rPr>
                            </w:pPr>
                            <w:r>
                              <w:rPr>
                                <w:rFonts w:eastAsia="Times New Roman" w:cs="Arial"/>
                                <w:b/>
                                <w:bCs/>
                                <w:color w:val="FFFFFF"/>
                                <w:lang w:val="pt-BR"/>
                              </w:rPr>
                              <w:t>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E06768" id="Text Box 15" o:spid="_x0000_s1034" type="#_x0000_t202" style="position:absolute;margin-left:247.2pt;margin-top:74.6pt;width:41.65pt;height:100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" fillcolor="#1b9d9c" stroked="f" strokeweight=".5pt">
                <v:textbox style="mso-fit-shape-to-text:t" inset="0,0,0,0">
                  <w:txbxContent>
                    <w:p w14:paraId="6651867D" w14:textId="77777777" w:rsidR="00A51642" w:rsidRPr="00A51642" w:rsidRDefault="00000000" w:rsidP="00881C9B">
                      <w:pPr>
                        <w:spacing w:after="0"/>
                        <w:jc w:val="center"/>
                        <w:rPr>
                          <w:b/>
                          <w:bCs/>
                          <w:color w:val="FFFFFF" w:themeColor="background1"/>
                        </w:rPr>
                      </w:pPr>
                      <w:r>
                        <w:rPr>
                          <w:rFonts w:eastAsia="Times New Roman" w:cs="Arial"/>
                          <w:b/>
                          <w:bCs/>
                          <w:color w:val="FFFFFF"/>
                          <w:lang w:val="pt-BR"/>
                        </w:rPr>
                        <w:t>2021</w:t>
                      </w:r>
                    </w:p>
                  </w:txbxContent>
                </v:textbox>
              </v:shape>
            </w:pict>
          </mc:Fallback>
        </mc:AlternateContent>
      </w:r>
      <w:r w:rsidR="00000000">
        <w:rPr>
          <w:rFonts w:eastAsia="MS Mincho" w:cs="Times New Roman"/>
          <w:noProof/>
        </w:rPr>
        <mc:AlternateContent>
          <mc:Choice Requires="wps">
            <w:drawing>
              <wp:anchor distT="0" distB="0" distL="114300" distR="114300" simplePos="0" relativeHeight="251683840" behindDoc="0" locked="0" layoutInCell="1" allowOverlap="1" wp14:anchorId="5703E4E2" wp14:editId="5A0E15F5">
                <wp:simplePos x="0" y="0"/>
                <wp:positionH relativeFrom="column">
                  <wp:posOffset>2302917</wp:posOffset>
                </wp:positionH>
                <wp:positionV relativeFrom="paragraph">
                  <wp:posOffset>940435</wp:posOffset>
                </wp:positionV>
                <wp:extent cx="528762" cy="1270000"/>
                <wp:effectExtent l="0" t="0" r="5080" b="0"/>
                <wp:wrapNone/>
                <wp:docPr id="13" name="Text Box 13"/>
                <wp:cNvGraphicFramePr/>
                <a:graphic xmlns:a="http://schemas.openxmlformats.org/drawingml/2006/main">
                  <a:graphicData uri="http://schemas.microsoft.com/office/word/2010/wordprocessingShape">
                    <wps:wsp>
                      <wps:cNvSpPr txBox="1"/>
                      <wps:spPr>
                        <a:xfrm>
                          <a:off x="0" y="0"/>
                          <a:ext cx="528762" cy="1270000"/>
                        </a:xfrm>
                        <a:prstGeom prst="rect">
                          <a:avLst/>
                        </a:prstGeom>
                        <a:solidFill>
                          <a:srgbClr val="158467"/>
                        </a:solidFill>
                        <a:ln w="6350">
                          <a:noFill/>
                        </a:ln>
                      </wps:spPr>
                      <wps:txbx>
                        <w:txbxContent>
                          <w:p w14:paraId="27AEA821" w14:textId="77777777" w:rsidR="00A51642" w:rsidRPr="00A51642" w:rsidRDefault="00000000" w:rsidP="00881C9B">
                            <w:pPr>
                              <w:spacing w:after="0"/>
                              <w:jc w:val="center"/>
                              <w:rPr>
                                <w:b/>
                                <w:bCs/>
                                <w:color w:val="FFFFFF" w:themeColor="background1"/>
                              </w:rPr>
                            </w:pPr>
                            <w:r>
                              <w:rPr>
                                <w:rFonts w:eastAsia="Times New Roman" w:cs="Arial"/>
                                <w:b/>
                                <w:bCs/>
                                <w:color w:val="FFFFFF"/>
                                <w:lang w:val="pt-BR"/>
                              </w:rPr>
                              <w:t>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03E4E2" id="Text Box 13" o:spid="_x0000_s1035" type="#_x0000_t202" style="position:absolute;margin-left:181.35pt;margin-top:74.05pt;width:41.65pt;height:100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" fillcolor="#158467" stroked="f" strokeweight=".5pt">
                <v:textbox style="mso-fit-shape-to-text:t" inset="0,0,0,0">
                  <w:txbxContent>
                    <w:p w14:paraId="27AEA821" w14:textId="77777777" w:rsidR="00A51642" w:rsidRPr="00A51642" w:rsidRDefault="00000000" w:rsidP="00881C9B">
                      <w:pPr>
                        <w:spacing w:after="0"/>
                        <w:jc w:val="center"/>
                        <w:rPr>
                          <w:b/>
                          <w:bCs/>
                          <w:color w:val="FFFFFF" w:themeColor="background1"/>
                        </w:rPr>
                      </w:pPr>
                      <w:r>
                        <w:rPr>
                          <w:rFonts w:eastAsia="Times New Roman" w:cs="Arial"/>
                          <w:b/>
                          <w:bCs/>
                          <w:color w:val="FFFFFF"/>
                          <w:lang w:val="pt-BR"/>
                        </w:rPr>
                        <w:t>2019</w:t>
                      </w:r>
                    </w:p>
                  </w:txbxContent>
                </v:textbox>
              </v:shape>
            </w:pict>
          </mc:Fallback>
        </mc:AlternateContent>
      </w:r>
      <w:r w:rsidR="00000000">
        <w:rPr>
          <w:rFonts w:eastAsia="MS Mincho" w:cs="Times New Roman"/>
          <w:noProof/>
        </w:rPr>
        <mc:AlternateContent>
          <mc:Choice Requires="wps">
            <w:drawing>
              <wp:anchor distT="0" distB="0" distL="114300" distR="114300" simplePos="0" relativeHeight="251681792" behindDoc="0" locked="0" layoutInCell="1" allowOverlap="1" wp14:anchorId="38A1239E" wp14:editId="696D3690">
                <wp:simplePos x="0" y="0"/>
                <wp:positionH relativeFrom="column">
                  <wp:posOffset>1371445</wp:posOffset>
                </wp:positionH>
                <wp:positionV relativeFrom="paragraph">
                  <wp:posOffset>940435</wp:posOffset>
                </wp:positionV>
                <wp:extent cx="528762" cy="1270000"/>
                <wp:effectExtent l="0" t="0" r="5080" b="0"/>
                <wp:wrapNone/>
                <wp:docPr id="11" name="Text Box 11"/>
                <wp:cNvGraphicFramePr/>
                <a:graphic xmlns:a="http://schemas.openxmlformats.org/drawingml/2006/main">
                  <a:graphicData uri="http://schemas.microsoft.com/office/word/2010/wordprocessingShape">
                    <wps:wsp>
                      <wps:cNvSpPr txBox="1"/>
                      <wps:spPr>
                        <a:xfrm>
                          <a:off x="0" y="0"/>
                          <a:ext cx="528762" cy="1270000"/>
                        </a:xfrm>
                        <a:prstGeom prst="rect">
                          <a:avLst/>
                        </a:prstGeom>
                        <a:solidFill>
                          <a:srgbClr val="1C847B"/>
                        </a:solidFill>
                        <a:ln w="6350">
                          <a:noFill/>
                        </a:ln>
                      </wps:spPr>
                      <wps:txbx>
                        <w:txbxContent>
                          <w:p w14:paraId="0277312A" w14:textId="77777777" w:rsidR="00A51642" w:rsidRPr="00A51642" w:rsidRDefault="00000000" w:rsidP="00881C9B">
                            <w:pPr>
                              <w:spacing w:after="0"/>
                              <w:jc w:val="center"/>
                              <w:rPr>
                                <w:b/>
                                <w:bCs/>
                                <w:color w:val="FFFFFF" w:themeColor="background1"/>
                              </w:rPr>
                            </w:pPr>
                            <w:r>
                              <w:rPr>
                                <w:rFonts w:eastAsia="Times New Roman" w:cs="Arial"/>
                                <w:b/>
                                <w:bCs/>
                                <w:color w:val="FFFFFF"/>
                                <w:lang w:val="pt-BR"/>
                              </w:rPr>
                              <w:t>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A1239E" id="Text Box 11" o:spid="_x0000_s1036" type="#_x0000_t202" style="position:absolute;margin-left:108pt;margin-top:74.05pt;width:41.65pt;height:100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" fillcolor="#1c847b" stroked="f" strokeweight=".5pt">
                <v:textbox style="mso-fit-shape-to-text:t" inset="0,0,0,0">
                  <w:txbxContent>
                    <w:p w14:paraId="0277312A" w14:textId="77777777" w:rsidR="00A51642" w:rsidRPr="00A51642" w:rsidRDefault="00000000" w:rsidP="00881C9B">
                      <w:pPr>
                        <w:spacing w:after="0"/>
                        <w:jc w:val="center"/>
                        <w:rPr>
                          <w:b/>
                          <w:bCs/>
                          <w:color w:val="FFFFFF" w:themeColor="background1"/>
                        </w:rPr>
                      </w:pPr>
                      <w:r>
                        <w:rPr>
                          <w:rFonts w:eastAsia="Times New Roman" w:cs="Arial"/>
                          <w:b/>
                          <w:bCs/>
                          <w:color w:val="FFFFFF"/>
                          <w:lang w:val="pt-BR"/>
                        </w:rPr>
                        <w:t>2017</w:t>
                      </w:r>
                    </w:p>
                  </w:txbxContent>
                </v:textbox>
              </v:shape>
            </w:pict>
          </mc:Fallback>
        </mc:AlternateContent>
      </w:r>
      <w:r w:rsidR="00000000">
        <w:rPr>
          <w:rFonts w:eastAsia="MS Mincho" w:cs="Times New Roman"/>
          <w:noProof/>
        </w:rPr>
        <mc:AlternateContent>
          <mc:Choice Requires="wps">
            <w:drawing>
              <wp:anchor distT="0" distB="0" distL="114300" distR="114300" simplePos="0" relativeHeight="251679744" behindDoc="0" locked="0" layoutInCell="1" allowOverlap="1" wp14:anchorId="6EC8EFEE" wp14:editId="1DD314FF">
                <wp:simplePos x="0" y="0"/>
                <wp:positionH relativeFrom="column">
                  <wp:posOffset>341348</wp:posOffset>
                </wp:positionH>
                <wp:positionV relativeFrom="paragraph">
                  <wp:posOffset>940435</wp:posOffset>
                </wp:positionV>
                <wp:extent cx="528762" cy="1270000"/>
                <wp:effectExtent l="0" t="0" r="5080" b="0"/>
                <wp:wrapNone/>
                <wp:docPr id="10" name="Text Box 10"/>
                <wp:cNvGraphicFramePr/>
                <a:graphic xmlns:a="http://schemas.openxmlformats.org/drawingml/2006/main">
                  <a:graphicData uri="http://schemas.microsoft.com/office/word/2010/wordprocessingShape">
                    <wps:wsp>
                      <wps:cNvSpPr txBox="1"/>
                      <wps:spPr>
                        <a:xfrm>
                          <a:off x="0" y="0"/>
                          <a:ext cx="528762" cy="1270000"/>
                        </a:xfrm>
                        <a:prstGeom prst="rect">
                          <a:avLst/>
                        </a:prstGeom>
                        <a:solidFill>
                          <a:srgbClr val="24697B"/>
                        </a:solidFill>
                        <a:ln w="6350">
                          <a:noFill/>
                        </a:ln>
                      </wps:spPr>
                      <wps:txbx>
                        <w:txbxContent>
                          <w:p w14:paraId="3F0A4E0B" w14:textId="77777777" w:rsidR="00A51642" w:rsidRPr="00A51642" w:rsidRDefault="00000000" w:rsidP="00881C9B">
                            <w:pPr>
                              <w:spacing w:after="0"/>
                              <w:jc w:val="center"/>
                              <w:rPr>
                                <w:b/>
                                <w:bCs/>
                                <w:color w:val="FFFFFF" w:themeColor="background1"/>
                              </w:rPr>
                            </w:pPr>
                            <w:r>
                              <w:rPr>
                                <w:rFonts w:eastAsia="Times New Roman" w:cs="Arial"/>
                                <w:b/>
                                <w:bCs/>
                                <w:color w:val="FFFFFF"/>
                                <w:lang w:val="pt-BR"/>
                              </w:rPr>
                              <w:t>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C8EFEE" id="Text Box 10" o:spid="_x0000_s1037" type="#_x0000_t202" style="position:absolute;margin-left:26.9pt;margin-top:74.05pt;width:41.65pt;height:100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" fillcolor="#24697b" stroked="f" strokeweight=".5pt">
                <v:textbox style="mso-fit-shape-to-text:t" inset="0,0,0,0">
                  <w:txbxContent>
                    <w:p w14:paraId="3F0A4E0B" w14:textId="77777777" w:rsidR="00A51642" w:rsidRPr="00A51642" w:rsidRDefault="00000000" w:rsidP="00881C9B">
                      <w:pPr>
                        <w:spacing w:after="0"/>
                        <w:jc w:val="center"/>
                        <w:rPr>
                          <w:b/>
                          <w:bCs/>
                          <w:color w:val="FFFFFF" w:themeColor="background1"/>
                        </w:rPr>
                      </w:pPr>
                      <w:r>
                        <w:rPr>
                          <w:rFonts w:eastAsia="Times New Roman" w:cs="Arial"/>
                          <w:b/>
                          <w:bCs/>
                          <w:color w:val="FFFFFF"/>
                          <w:lang w:val="pt-BR"/>
                        </w:rPr>
                        <w:t>2015</w:t>
                      </w:r>
                    </w:p>
                  </w:txbxContent>
                </v:textbox>
              </v:shape>
            </w:pict>
          </mc:Fallback>
        </mc:AlternateContent>
      </w:r>
      <w:r w:rsidR="053B1A0A">
        <w:rPr>
          <w:noProof/>
        </w:rPr>
        <w:drawing>
          <wp:inline distT="0" distB="0" distL="0" distR="0" wp14:anchorId="4ECC8C2C" wp14:editId="182A5AF0">
            <wp:extent cx="5943600" cy="1188720"/>
            <wp:effectExtent l="0" t="0" r="0" b="0"/>
            <wp:docPr id="1871563338" name="Picture 1871563338" descr="NJ ESSA Plan Timeline (all content is in text version linked immediately af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63338" name="Picture 1871563338" descr="NJ ESSA Plan Timeline (all content is in text version linked immediately after image.)"/>
                    <pic:cNvPicPr/>
                  </pic:nvPicPr>
                  <pic:blipFill>
                    <a:blip r:embed="rId12">
                      <a:extLst>
                        <a:ext uri="{28A0092B-C50C-407E-A947-70E740481C1C}">
                          <a14:useLocalDpi xmlns:a14="http://schemas.microsoft.com/office/drawing/2010/main" val="0"/>
                        </a:ext>
                      </a:extLst>
                    </a:blip>
                    <a:srcRect t="1" b="14520"/>
                    <a:stretch>
                      <a:fillRect/>
                    </a:stretch>
                  </pic:blipFill>
                  <pic:spPr bwMode="auto">
                    <a:xfrm>
                      <a:off x="0" y="0"/>
                      <a:ext cx="5943600" cy="1188720"/>
                    </a:xfrm>
                    <a:prstGeom prst="rect">
                      <a:avLst/>
                    </a:prstGeom>
                    <a:ln>
                      <a:noFill/>
                    </a:ln>
                    <a:extLst>
                      <a:ext uri="{53640926-AAD7-44D8-BBD7-CCE9431645EC}">
                        <a14:shadowObscured xmlns:a14="http://schemas.microsoft.com/office/drawing/2010/main"/>
                      </a:ext>
                    </a:extLst>
                  </pic:spPr>
                </pic:pic>
              </a:graphicData>
            </a:graphic>
          </wp:inline>
        </w:drawing>
      </w:r>
    </w:p>
    <w:p w14:paraId="0F56FC5D" w14:textId="77777777" w:rsidR="00D625E3" w:rsidRPr="00CC1CB4" w:rsidRDefault="00000000" w:rsidP="007F7C9D">
      <w:pPr>
        <w:rPr>
          <w:rFonts w:cs="Times New Roman"/>
          <w:lang w:val="es-ES"/>
        </w:rPr>
      </w:pPr>
      <w:hyperlink w:anchor="_NJ_ESSA_State" w:history="1">
        <w:r w:rsidR="00D625E3">
          <w:rPr>
            <w:rFonts w:eastAsia="Times New Roman" w:cs="Times New Roman"/>
            <w:color w:val="0000FF"/>
            <w:u w:val="single"/>
            <w:lang w:val="pt-BR"/>
          </w:rPr>
          <w:t>Versão do texto: Cronograma do plano ESSA de NJ</w:t>
        </w:r>
      </w:hyperlink>
      <w:r w:rsidR="00D625E3">
        <w:rPr>
          <w:rFonts w:eastAsia="Times New Roman" w:cs="Times New Roman"/>
          <w:lang w:val="pt-BR"/>
        </w:rPr>
        <w:t xml:space="preserve"> </w:t>
      </w:r>
    </w:p>
    <w:p w14:paraId="171C3F00" w14:textId="77777777" w:rsidR="00527AF9" w:rsidRPr="00856537" w:rsidRDefault="00000000" w:rsidP="00856537">
      <w:pPr>
        <w:pStyle w:val="A20"/>
      </w:pPr>
      <w:bookmarkStart w:id="6" w:name="_Meaningful_Consultation"/>
      <w:bookmarkStart w:id="7" w:name="_Toc171333262"/>
      <w:bookmarkStart w:id="8" w:name="_Toc199403554"/>
      <w:bookmarkStart w:id="9" w:name="_Toc199403657"/>
      <w:bookmarkEnd w:id="6"/>
      <w:r w:rsidRPr="00856537">
        <w:t>Consulta significativa</w:t>
      </w:r>
      <w:bookmarkEnd w:id="7"/>
      <w:bookmarkEnd w:id="8"/>
      <w:bookmarkEnd w:id="9"/>
    </w:p>
    <w:p w14:paraId="31A993DB" w14:textId="77777777" w:rsidR="00527AF9" w:rsidRPr="00CC1CB4" w:rsidRDefault="00000000" w:rsidP="6B71CBC4">
      <w:pPr>
        <w:rPr>
          <w:rFonts w:eastAsia="MS Mincho" w:cs="Times New Roman"/>
          <w:sz w:val="24"/>
          <w:szCs w:val="24"/>
          <w:lang w:val="es-ES"/>
        </w:rPr>
      </w:pPr>
      <w:r>
        <w:rPr>
          <w:rFonts w:eastAsia="Times New Roman" w:cs="Times New Roman"/>
          <w:lang w:val="pt-BR"/>
        </w:rPr>
        <w:t xml:space="preserve">Ao longo de 2023 e 2024, o departamento de Educação de Nova Jersey (NJDOE) analisou e revisou o Plano estadual da ESSA de 2017 em consulta com a equipe interagências, pesquisadores e partes interessadas de Nova Jersey. As partes interessadas foram consultadas por meio de vários caminhos. O NJDOE contratou o Grupo de Trabalho de Partes Interessadas da ESSA por meio de cinco sessões presenciais e virtuais, que incluíram representações de mais de 40 organizações de Nova Jersey, incluindo organizações comunitárias, profissionais e matrizes. Este grupo de trabalho discutiu e forneceu feedback sobre as várias propostas. </w:t>
      </w:r>
      <w:r>
        <w:rPr>
          <w:rFonts w:eastAsia="Times New Roman" w:cs="Arial"/>
          <w:lang w:val="pt-BR"/>
        </w:rPr>
        <w:t xml:space="preserve">A partir do outono de 2023, o NJDOE atualizou o Comitê Consultivo para Programas Financiados pelo Governo Federal (Advisory Committee for Federally Funded Programs, ACFFP) todos os trimestres e buscou feedback em todo o processo de elaboração durante a primavera e o verão. Este comitê inclui administradores, professores de escolas públicas tradicionais e escolas de fretamento, diretores, outros líderes escolares, pais, membros de conselhos locais de educação, pessoal especializado em apoio instrucional, paraprofissionais, representantes de crianças de escolas não públicas e líderes de escolas de fretamento. Além das oportunidades acima, por meio </w:t>
      </w:r>
      <w:r>
        <w:rPr>
          <w:rFonts w:eastAsia="Times New Roman" w:cs="Times New Roman"/>
          <w:lang w:val="pt-BR"/>
        </w:rPr>
        <w:t>de memorandos</w:t>
      </w:r>
      <w:r>
        <w:rPr>
          <w:rFonts w:eastAsia="Times New Roman" w:cs="Arial"/>
          <w:lang w:val="pt-BR"/>
        </w:rPr>
        <w:t xml:space="preserve"> e listas de discussão por e-mail a partir de dezembro de 2023, o NJDOE convidou agências educacionais locais (LEAs) e líderes escolares para participar do processo de revisão da ESSA. De 24 de julho a 28 de agosto de 2024, o NJDOE publicou o rascunho do Plano estadual da ESSA de 2024 em sua totalidade </w:t>
      </w:r>
      <w:hyperlink r:id="rId13" w:history="1">
        <w:r w:rsidR="00527AF9">
          <w:rPr>
            <w:rFonts w:eastAsia="Times New Roman" w:cs="Arial"/>
            <w:color w:val="0000FF"/>
            <w:u w:val="single"/>
            <w:lang w:val="pt-BR"/>
          </w:rPr>
          <w:t>para revisão pública</w:t>
        </w:r>
      </w:hyperlink>
      <w:r>
        <w:rPr>
          <w:rFonts w:eastAsia="Times New Roman" w:cs="Arial"/>
          <w:lang w:val="pt-BR"/>
        </w:rPr>
        <w:t xml:space="preserve">. </w:t>
      </w:r>
      <w:r>
        <w:rPr>
          <w:rFonts w:eastAsia="Times New Roman" w:cs="Times New Roman"/>
          <w:lang w:val="pt-BR"/>
        </w:rPr>
        <w:t xml:space="preserve">Consulte o Anexo D para obter informações adicionais sobre esse processo e resumos das </w:t>
      </w:r>
      <w:r>
        <w:rPr>
          <w:rFonts w:eastAsia="Times New Roman" w:cs="Times New Roman"/>
          <w:lang w:val="pt-BR"/>
        </w:rPr>
        <w:lastRenderedPageBreak/>
        <w:t xml:space="preserve">informações recebidas durante todo o processo de contratação de um ano, incluindo o período de comentários públicos. </w:t>
      </w:r>
    </w:p>
    <w:p w14:paraId="5199FC85" w14:textId="77777777" w:rsidR="00527AF9" w:rsidRPr="00CC1CB4" w:rsidRDefault="00000000" w:rsidP="00856537">
      <w:pPr>
        <w:pStyle w:val="A20"/>
      </w:pPr>
      <w:bookmarkStart w:id="10" w:name="_Toc171333263"/>
      <w:bookmarkStart w:id="11" w:name="_Toc199403555"/>
      <w:bookmarkStart w:id="12" w:name="_Toc199403658"/>
      <w:r>
        <w:t>Modelo de Plano estadual consolidado do USED</w:t>
      </w:r>
      <w:bookmarkEnd w:id="10"/>
      <w:bookmarkEnd w:id="11"/>
      <w:bookmarkEnd w:id="12"/>
    </w:p>
    <w:p w14:paraId="1B794A7E" w14:textId="77777777" w:rsidR="00B0576B" w:rsidRPr="00CC1CB4" w:rsidRDefault="00000000" w:rsidP="6B71CBC4">
      <w:pPr>
        <w:rPr>
          <w:rFonts w:eastAsia="MS Mincho" w:cs="Times New Roman"/>
          <w:sz w:val="24"/>
          <w:szCs w:val="24"/>
          <w:lang w:val="es-ES"/>
        </w:rPr>
      </w:pPr>
      <w:r>
        <w:rPr>
          <w:rFonts w:eastAsia="Times New Roman" w:cs="Times New Roman"/>
          <w:lang w:val="pt-BR"/>
        </w:rPr>
        <w:t xml:space="preserve">O NJDOE utilizou o “Modelo de Plano estadual consolidado revisado” desenvolvido pelo USED para estruturar suas respostas necessárias. O </w:t>
      </w:r>
      <w:r>
        <w:rPr>
          <w:rFonts w:eastAsia="Times New Roman" w:cs="Times New Roman"/>
          <w:b/>
          <w:bCs/>
          <w:color w:val="244061"/>
          <w:lang w:val="pt-BR"/>
        </w:rPr>
        <w:t>texto em azul</w:t>
      </w:r>
      <w:r>
        <w:rPr>
          <w:rFonts w:eastAsia="Times New Roman" w:cs="Times New Roman"/>
          <w:color w:val="244061"/>
          <w:lang w:val="pt-BR"/>
        </w:rPr>
        <w:t xml:space="preserve"> </w:t>
      </w:r>
      <w:r>
        <w:rPr>
          <w:rFonts w:eastAsia="Times New Roman" w:cs="Times New Roman"/>
          <w:lang w:val="pt-BR"/>
        </w:rPr>
        <w:t>é, portanto, o texto extraído do modelo exigido federalmente, enquanto o texto em preto e os títulos em azul-petróleo indicam respostas do NJDOE e/ou informações suplementares.</w:t>
      </w:r>
    </w:p>
    <w:p w14:paraId="172B84E4" w14:textId="77777777" w:rsidR="005F4FFE" w:rsidRPr="00CC1CB4" w:rsidRDefault="00000000" w:rsidP="00856537">
      <w:pPr>
        <w:pStyle w:val="A20"/>
      </w:pPr>
      <w:bookmarkStart w:id="13" w:name="_Toc171333264"/>
      <w:bookmarkStart w:id="14" w:name="_Toc199403556"/>
      <w:bookmarkStart w:id="15" w:name="_Toc199403659"/>
      <w:r>
        <w:t>Observação para pessoas usando leitores de tela ou ferramentas de texto para fala</w:t>
      </w:r>
      <w:bookmarkEnd w:id="13"/>
      <w:bookmarkEnd w:id="14"/>
      <w:bookmarkEnd w:id="15"/>
    </w:p>
    <w:p w14:paraId="7B95CC62" w14:textId="77777777" w:rsidR="006415C4" w:rsidRPr="00CC1CB4" w:rsidRDefault="00000000" w:rsidP="0018278D">
      <w:pPr>
        <w:spacing w:after="120"/>
        <w:rPr>
          <w:lang w:val="es-ES"/>
        </w:rPr>
      </w:pPr>
      <w:r>
        <w:rPr>
          <w:rFonts w:eastAsia="Times New Roman" w:cs="Times New Roman"/>
          <w:lang w:val="pt-BR"/>
        </w:rPr>
        <w:t>Em todo o documento, uma caixa de seleção com um “X” (</w:t>
      </w:r>
      <w:r>
        <w:rPr>
          <w:rFonts w:ascii="Segoe UI Symbol" w:eastAsia="Segoe UI Symbol" w:hAnsi="Segoe UI Symbol" w:cs="Segoe UI Symbol"/>
          <w:lang w:val="pt-BR"/>
        </w:rPr>
        <w:t>☒</w:t>
      </w:r>
      <w:r>
        <w:rPr>
          <w:rFonts w:eastAsia="Times New Roman" w:cs="Times New Roman"/>
          <w:lang w:val="pt-BR"/>
        </w:rPr>
        <w:t>) é usada para indicar que uma caixa foi marcada. Uma caixa de seleção ou de verificação vazia (</w:t>
      </w:r>
      <w:r>
        <w:rPr>
          <w:rFonts w:ascii="Segoe UI Symbol" w:eastAsia="Segoe UI Symbol" w:hAnsi="Segoe UI Symbol" w:cs="Segoe UI Symbol"/>
          <w:lang w:val="pt-BR"/>
        </w:rPr>
        <w:t>☐</w:t>
      </w:r>
      <w:r>
        <w:rPr>
          <w:rFonts w:eastAsia="Times New Roman" w:cs="Times New Roman"/>
          <w:lang w:val="pt-BR"/>
        </w:rPr>
        <w:t xml:space="preserve">) indica que a caixa não foi marcada. No entanto, é possível que algumas tecnologias assistivas ignorem esses símbolos. Consequentemente, o texto “caixa marcada” ou “caixa desmarcada” foi adicionado para indicar o status de todas as caixas de seleção/verificação. Se todo o grupo de caixas estiver marcado ou desmarcado, o grupo será precedido pelo texto “todas as caixas estão marcadas” ou “todas as caixas estão desmarcadas”. </w:t>
      </w:r>
    </w:p>
    <w:p w14:paraId="3CCEB63A" w14:textId="77777777" w:rsidR="006415C4" w:rsidRPr="00856537" w:rsidRDefault="00000000" w:rsidP="00856537">
      <w:pPr>
        <w:pStyle w:val="A10"/>
      </w:pPr>
      <w:bookmarkStart w:id="16" w:name="_Toc171333265"/>
      <w:bookmarkStart w:id="17" w:name="_Toc199403557"/>
      <w:bookmarkStart w:id="18" w:name="_Toc199403660"/>
      <w:r>
        <w:t>Informações de contato e assinaturas</w:t>
      </w:r>
      <w:bookmarkEnd w:id="16"/>
      <w:bookmarkEnd w:id="17"/>
      <w:bookmarkEnd w:id="18"/>
    </w:p>
    <w:p w14:paraId="613194D4" w14:textId="77777777" w:rsidR="00C81DF7" w:rsidRPr="00CC1CB4" w:rsidRDefault="00000000" w:rsidP="0018278D">
      <w:pPr>
        <w:pBdr>
          <w:top w:val="single" w:sz="6" w:space="6" w:color="auto"/>
          <w:left w:val="single" w:sz="6" w:space="6" w:color="auto"/>
          <w:bottom w:val="single" w:sz="6" w:space="6" w:color="auto"/>
          <w:right w:val="single" w:sz="6" w:space="6" w:color="auto"/>
        </w:pBdr>
        <w:spacing w:after="120"/>
        <w:rPr>
          <w:lang w:val="es-ES"/>
        </w:rPr>
      </w:pPr>
      <w:r>
        <w:rPr>
          <w:rFonts w:eastAsia="Times New Roman" w:cs="Arial"/>
          <w:color w:val="002060"/>
          <w:lang w:val="pt-BR"/>
        </w:rPr>
        <w:t>Contato do SEA (nome e cargo):</w:t>
      </w:r>
      <w:r>
        <w:rPr>
          <w:rFonts w:eastAsia="Times New Roman" w:cs="Arial"/>
          <w:lang w:val="pt-BR"/>
        </w:rPr>
        <w:t xml:space="preserve"> Kathy Ehling, Comissária Assistente</w:t>
      </w:r>
    </w:p>
    <w:p w14:paraId="462766FA" w14:textId="77777777" w:rsidR="00C81DF7" w:rsidRPr="00CC1CB4" w:rsidRDefault="00000000" w:rsidP="0018278D">
      <w:pPr>
        <w:pBdr>
          <w:top w:val="single" w:sz="6" w:space="6" w:color="auto"/>
          <w:left w:val="single" w:sz="6" w:space="6" w:color="auto"/>
          <w:bottom w:val="single" w:sz="6" w:space="6" w:color="auto"/>
          <w:right w:val="single" w:sz="6" w:space="6" w:color="auto"/>
        </w:pBdr>
        <w:spacing w:after="120"/>
        <w:rPr>
          <w:lang w:val="es-ES"/>
        </w:rPr>
      </w:pPr>
      <w:r>
        <w:rPr>
          <w:rFonts w:eastAsia="Times New Roman" w:cs="Arial"/>
          <w:color w:val="002060"/>
          <w:lang w:val="pt-BR"/>
        </w:rPr>
        <w:t>Telefone:</w:t>
      </w:r>
      <w:r>
        <w:rPr>
          <w:rFonts w:eastAsia="Times New Roman" w:cs="Arial"/>
          <w:lang w:val="pt-BR"/>
        </w:rPr>
        <w:t xml:space="preserve"> (609) 376-9100</w:t>
      </w:r>
    </w:p>
    <w:p w14:paraId="70A6561D" w14:textId="77777777" w:rsidR="00C81DF7" w:rsidRPr="00CC1CB4" w:rsidRDefault="00000000" w:rsidP="0018278D">
      <w:pPr>
        <w:pBdr>
          <w:top w:val="single" w:sz="6" w:space="6" w:color="auto"/>
          <w:left w:val="single" w:sz="6" w:space="6" w:color="auto"/>
          <w:bottom w:val="single" w:sz="6" w:space="6" w:color="auto"/>
          <w:right w:val="single" w:sz="6" w:space="6" w:color="auto"/>
        </w:pBdr>
        <w:spacing w:after="120"/>
        <w:rPr>
          <w:lang w:val="es-ES"/>
        </w:rPr>
      </w:pPr>
      <w:r>
        <w:rPr>
          <w:rFonts w:eastAsia="Times New Roman" w:cs="Arial"/>
          <w:color w:val="002060"/>
          <w:lang w:val="pt-BR"/>
        </w:rPr>
        <w:t xml:space="preserve">Endereço de e-mail: </w:t>
      </w:r>
      <w:hyperlink r:id="rId14" w:history="1">
        <w:r w:rsidR="00C81DF7">
          <w:rPr>
            <w:rFonts w:eastAsia="Times New Roman" w:cs="Arial"/>
            <w:color w:val="0000FF"/>
            <w:u w:val="single"/>
            <w:lang w:val="pt-BR"/>
          </w:rPr>
          <w:t>essa@doe.nj.gov</w:t>
        </w:r>
      </w:hyperlink>
      <w:r>
        <w:rPr>
          <w:rFonts w:eastAsia="Times New Roman" w:cs="Arial"/>
          <w:lang w:val="pt-BR"/>
        </w:rPr>
        <w:t xml:space="preserve"> </w:t>
      </w:r>
    </w:p>
    <w:p w14:paraId="384299CF" w14:textId="77777777" w:rsidR="00C81DF7" w:rsidRPr="00CC1CB4" w:rsidRDefault="00000000" w:rsidP="00C81DF7">
      <w:pPr>
        <w:pBdr>
          <w:top w:val="single" w:sz="6" w:space="6" w:color="auto"/>
          <w:left w:val="single" w:sz="6" w:space="6" w:color="auto"/>
          <w:bottom w:val="single" w:sz="6" w:space="6" w:color="auto"/>
          <w:right w:val="single" w:sz="6" w:space="6" w:color="auto"/>
        </w:pBdr>
        <w:rPr>
          <w:lang w:val="es-ES"/>
        </w:rPr>
      </w:pPr>
      <w:r>
        <w:rPr>
          <w:rFonts w:eastAsia="Times New Roman" w:cs="Arial"/>
          <w:color w:val="002060"/>
          <w:lang w:val="pt-BR"/>
        </w:rPr>
        <w:t xml:space="preserve">Endereço para correspondência: </w:t>
      </w:r>
      <w:r>
        <w:rPr>
          <w:rFonts w:eastAsia="Times New Roman" w:cs="Arial"/>
          <w:lang w:val="pt-BR"/>
        </w:rPr>
        <w:t>Caixa postal 500 Trenton, NJ 08625</w:t>
      </w:r>
    </w:p>
    <w:p w14:paraId="6E137D07" w14:textId="77777777" w:rsidR="00F37967" w:rsidRPr="00CC1CB4" w:rsidRDefault="00000000" w:rsidP="0018278D">
      <w:pPr>
        <w:pBdr>
          <w:top w:val="single" w:sz="6" w:space="6" w:color="auto"/>
          <w:left w:val="single" w:sz="6" w:space="6" w:color="auto"/>
          <w:bottom w:val="single" w:sz="6" w:space="6" w:color="auto"/>
          <w:right w:val="single" w:sz="6" w:space="6" w:color="auto"/>
        </w:pBdr>
        <w:spacing w:after="120"/>
        <w:ind w:left="-14"/>
        <w:rPr>
          <w:color w:val="002060"/>
          <w:lang w:val="es-ES"/>
        </w:rPr>
      </w:pPr>
      <w:r>
        <w:rPr>
          <w:rFonts w:eastAsia="Times New Roman" w:cs="Arial"/>
          <w:color w:val="002060"/>
          <w:lang w:val="pt-BR"/>
        </w:rPr>
        <w:t xml:space="preserve">Representante autorizado do SEA (nome impresso): </w:t>
      </w:r>
      <w:r>
        <w:rPr>
          <w:rFonts w:eastAsia="Times New Roman" w:cs="Arial"/>
          <w:color w:val="000000"/>
          <w:lang w:val="pt-BR"/>
        </w:rPr>
        <w:t>Kevin Dehmer, Comissário interino</w:t>
      </w:r>
    </w:p>
    <w:p w14:paraId="7CB065C8" w14:textId="77777777" w:rsidR="00F37967" w:rsidRPr="00CC1CB4" w:rsidRDefault="00000000" w:rsidP="0018278D">
      <w:pPr>
        <w:pBdr>
          <w:top w:val="single" w:sz="6" w:space="6" w:color="auto"/>
          <w:left w:val="single" w:sz="6" w:space="6" w:color="auto"/>
          <w:bottom w:val="single" w:sz="6" w:space="6" w:color="auto"/>
          <w:right w:val="single" w:sz="6" w:space="6" w:color="auto"/>
        </w:pBdr>
        <w:spacing w:after="120"/>
        <w:ind w:left="-14"/>
        <w:rPr>
          <w:color w:val="002060"/>
          <w:lang w:val="es-ES"/>
        </w:rPr>
      </w:pPr>
      <w:r>
        <w:rPr>
          <w:rFonts w:eastAsia="Times New Roman" w:cs="Arial"/>
          <w:color w:val="002060"/>
          <w:lang w:val="pt-BR"/>
        </w:rPr>
        <w:t xml:space="preserve">Telefone: </w:t>
      </w:r>
      <w:r>
        <w:rPr>
          <w:rFonts w:eastAsia="Times New Roman" w:cs="Arial"/>
          <w:color w:val="000000"/>
          <w:lang w:val="pt-BR"/>
        </w:rPr>
        <w:t>609-376-9070</w:t>
      </w:r>
    </w:p>
    <w:p w14:paraId="163DADC2" w14:textId="77777777" w:rsidR="00F37967" w:rsidRPr="00CC1CB4" w:rsidRDefault="00000000" w:rsidP="0018278D">
      <w:pPr>
        <w:pBdr>
          <w:top w:val="single" w:sz="6" w:space="6" w:color="auto"/>
          <w:left w:val="single" w:sz="6" w:space="6" w:color="auto"/>
          <w:bottom w:val="single" w:sz="6" w:space="6" w:color="auto"/>
          <w:right w:val="single" w:sz="6" w:space="6" w:color="auto"/>
        </w:pBdr>
        <w:spacing w:after="120"/>
        <w:ind w:left="-14"/>
        <w:rPr>
          <w:noProof/>
          <w:lang w:val="es-ES"/>
        </w:rPr>
      </w:pPr>
      <w:r>
        <w:rPr>
          <w:rFonts w:eastAsia="Times New Roman" w:cs="Arial"/>
          <w:color w:val="002060"/>
          <w:lang w:val="pt-BR"/>
        </w:rPr>
        <w:t xml:space="preserve">Assinatura do representante autorizado do SEA: </w:t>
      </w:r>
    </w:p>
    <w:p w14:paraId="573FA7F1" w14:textId="77777777" w:rsidR="00740716" w:rsidRPr="00C81DF7" w:rsidRDefault="00000000" w:rsidP="00F37967">
      <w:pPr>
        <w:pBdr>
          <w:top w:val="single" w:sz="6" w:space="6" w:color="auto"/>
          <w:left w:val="single" w:sz="6" w:space="6" w:color="auto"/>
          <w:bottom w:val="single" w:sz="6" w:space="6" w:color="auto"/>
          <w:right w:val="single" w:sz="6" w:space="6" w:color="auto"/>
        </w:pBdr>
        <w:ind w:left="-14"/>
        <w:rPr>
          <w:color w:val="002060"/>
        </w:rPr>
      </w:pPr>
      <w:r>
        <w:rPr>
          <w:noProof/>
        </w:rPr>
        <w:drawing>
          <wp:inline distT="0" distB="0" distL="0" distR="0" wp14:anchorId="2BEF72B2" wp14:editId="1C0FD169">
            <wp:extent cx="935832" cy="457200"/>
            <wp:effectExtent l="0" t="0" r="0" b="0"/>
            <wp:docPr id="8" name="Image 8" descr="Signature: Kevin Deh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Signature: Kevin Dehm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5832" cy="457200"/>
                    </a:xfrm>
                    <a:prstGeom prst="rect">
                      <a:avLst/>
                    </a:prstGeom>
                  </pic:spPr>
                </pic:pic>
              </a:graphicData>
            </a:graphic>
          </wp:inline>
        </w:drawing>
      </w:r>
    </w:p>
    <w:p w14:paraId="401AB8CB" w14:textId="77777777" w:rsidR="00F37967" w:rsidRPr="00CC1CB4" w:rsidRDefault="00000000" w:rsidP="00F37967">
      <w:pPr>
        <w:pBdr>
          <w:top w:val="single" w:sz="6" w:space="6" w:color="auto"/>
          <w:left w:val="single" w:sz="6" w:space="6" w:color="auto"/>
          <w:bottom w:val="single" w:sz="6" w:space="6" w:color="auto"/>
          <w:right w:val="single" w:sz="6" w:space="6" w:color="auto"/>
        </w:pBdr>
        <w:ind w:left="-14"/>
        <w:rPr>
          <w:color w:val="002060"/>
          <w:lang w:val="es-ES"/>
        </w:rPr>
      </w:pPr>
      <w:r>
        <w:rPr>
          <w:rFonts w:eastAsia="Times New Roman" w:cs="Arial"/>
          <w:color w:val="002060"/>
          <w:lang w:val="pt-BR"/>
        </w:rPr>
        <w:t xml:space="preserve">Data: </w:t>
      </w:r>
      <w:r>
        <w:rPr>
          <w:rFonts w:eastAsia="Times New Roman" w:cs="Arial"/>
          <w:color w:val="000000"/>
          <w:lang w:val="pt-BR"/>
        </w:rPr>
        <w:t>4 de dezembro de 2024</w:t>
      </w:r>
    </w:p>
    <w:p w14:paraId="5C302155" w14:textId="77777777" w:rsidR="00F37967" w:rsidRPr="00CC1CB4" w:rsidRDefault="00000000" w:rsidP="0018278D">
      <w:pPr>
        <w:pBdr>
          <w:top w:val="single" w:sz="6" w:space="6" w:color="auto"/>
          <w:left w:val="single" w:sz="6" w:space="6" w:color="auto"/>
          <w:bottom w:val="single" w:sz="6" w:space="21" w:color="auto"/>
          <w:right w:val="single" w:sz="6" w:space="6" w:color="auto"/>
        </w:pBdr>
        <w:spacing w:after="120"/>
        <w:rPr>
          <w:color w:val="002060"/>
          <w:lang w:val="es-ES"/>
        </w:rPr>
      </w:pPr>
      <w:r>
        <w:rPr>
          <w:rFonts w:eastAsia="Times New Roman" w:cs="Arial"/>
          <w:color w:val="002060"/>
          <w:lang w:val="pt-BR"/>
        </w:rPr>
        <w:t xml:space="preserve">Governador (nome impresso): </w:t>
      </w:r>
      <w:r>
        <w:rPr>
          <w:rFonts w:eastAsia="Times New Roman" w:cs="Arial"/>
          <w:color w:val="000000"/>
          <w:lang w:val="pt-BR"/>
        </w:rPr>
        <w:t>Philip D. Murphy</w:t>
      </w:r>
    </w:p>
    <w:p w14:paraId="3D7B8EB3" w14:textId="77777777" w:rsidR="00740716" w:rsidRPr="00C81DF7" w:rsidRDefault="00000000" w:rsidP="0018278D">
      <w:pPr>
        <w:pBdr>
          <w:top w:val="single" w:sz="6" w:space="6" w:color="auto"/>
          <w:left w:val="single" w:sz="6" w:space="6" w:color="auto"/>
          <w:bottom w:val="single" w:sz="6" w:space="21" w:color="auto"/>
          <w:right w:val="single" w:sz="6" w:space="6" w:color="auto"/>
        </w:pBdr>
        <w:spacing w:after="120"/>
        <w:rPr>
          <w:color w:val="002060"/>
        </w:rPr>
      </w:pPr>
      <w:r>
        <w:rPr>
          <w:rFonts w:eastAsia="Times New Roman" w:cs="Arial"/>
          <w:color w:val="002060"/>
          <w:lang w:val="pt-BR"/>
        </w:rPr>
        <w:t>Assinatura do Governador:</w:t>
      </w:r>
    </w:p>
    <w:p w14:paraId="481E342E" w14:textId="77777777" w:rsidR="00F37967" w:rsidRPr="00C81DF7" w:rsidRDefault="00000000" w:rsidP="00F37967">
      <w:pPr>
        <w:pBdr>
          <w:top w:val="single" w:sz="6" w:space="6" w:color="auto"/>
          <w:left w:val="single" w:sz="6" w:space="6" w:color="auto"/>
          <w:bottom w:val="single" w:sz="6" w:space="21" w:color="auto"/>
          <w:right w:val="single" w:sz="6" w:space="6" w:color="auto"/>
        </w:pBdr>
        <w:rPr>
          <w:color w:val="002060"/>
        </w:rPr>
      </w:pPr>
      <w:r>
        <w:rPr>
          <w:noProof/>
        </w:rPr>
        <w:drawing>
          <wp:inline distT="0" distB="0" distL="0" distR="0" wp14:anchorId="25E16C35" wp14:editId="5400F688">
            <wp:extent cx="870438" cy="457200"/>
            <wp:effectExtent l="0" t="0" r="6350" b="0"/>
            <wp:docPr id="7" name="Image 7" descr="Signature: Philip D. Mur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Signature: Philip D. Murph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0438" cy="457200"/>
                    </a:xfrm>
                    <a:prstGeom prst="rect">
                      <a:avLst/>
                    </a:prstGeom>
                  </pic:spPr>
                </pic:pic>
              </a:graphicData>
            </a:graphic>
          </wp:inline>
        </w:drawing>
      </w:r>
    </w:p>
    <w:p w14:paraId="49C4A9AB" w14:textId="77777777" w:rsidR="00F37967" w:rsidRPr="00CC1CB4" w:rsidRDefault="00000000" w:rsidP="006B678F">
      <w:pPr>
        <w:pBdr>
          <w:top w:val="single" w:sz="6" w:space="6" w:color="auto"/>
          <w:left w:val="single" w:sz="6" w:space="6" w:color="auto"/>
          <w:bottom w:val="single" w:sz="6" w:space="21" w:color="auto"/>
          <w:right w:val="single" w:sz="6" w:space="6" w:color="auto"/>
        </w:pBdr>
        <w:spacing w:after="120"/>
        <w:rPr>
          <w:color w:val="001F5F"/>
          <w:spacing w:val="-4"/>
          <w:lang w:val="es-ES"/>
        </w:rPr>
      </w:pPr>
      <w:r>
        <w:rPr>
          <w:rFonts w:eastAsia="Times New Roman" w:cs="Arial"/>
          <w:color w:val="002060"/>
          <w:lang w:val="pt-BR"/>
        </w:rPr>
        <w:lastRenderedPageBreak/>
        <w:t xml:space="preserve">Data: </w:t>
      </w:r>
      <w:r>
        <w:rPr>
          <w:rFonts w:eastAsia="Times New Roman" w:cs="Arial"/>
          <w:color w:val="000000"/>
          <w:lang w:val="pt-BR"/>
        </w:rPr>
        <w:t>4 de dezembro de 2024</w:t>
      </w:r>
    </w:p>
    <w:p w14:paraId="18ADE09C" w14:textId="77777777" w:rsidR="003E101B" w:rsidRPr="00CC1CB4" w:rsidRDefault="00000000" w:rsidP="001B3FAB">
      <w:pPr>
        <w:pStyle w:val="BeginUSED"/>
        <w:rPr>
          <w:lang w:val="es-ES"/>
        </w:rPr>
      </w:pPr>
      <w:r>
        <w:rPr>
          <w:rFonts w:eastAsia="Times New Roman"/>
          <w:color w:val="FFFFFF"/>
          <w:szCs w:val="4"/>
          <w:lang w:val="pt-BR"/>
        </w:rPr>
        <w:t xml:space="preserve">[iniciar o texto do USED] </w:t>
      </w:r>
    </w:p>
    <w:p w14:paraId="618E9231" w14:textId="77777777" w:rsidR="00CC7E10" w:rsidRPr="00856537" w:rsidRDefault="00000000" w:rsidP="00856537">
      <w:pPr>
        <w:pStyle w:val="A10"/>
      </w:pPr>
      <w:bookmarkStart w:id="19" w:name="_Toc171333266"/>
      <w:bookmarkStart w:id="20" w:name="_Toc199403558"/>
      <w:bookmarkStart w:id="21" w:name="_Toc199403661"/>
      <w:r w:rsidRPr="00856537">
        <w:t>Programas incluídos no Plano estadual consolidado</w:t>
      </w:r>
      <w:bookmarkEnd w:id="19"/>
      <w:bookmarkEnd w:id="20"/>
      <w:bookmarkEnd w:id="21"/>
    </w:p>
    <w:p w14:paraId="358B539E" w14:textId="77777777" w:rsidR="00485346" w:rsidRPr="00CC1CB4" w:rsidRDefault="00000000" w:rsidP="00856537">
      <w:pPr>
        <w:pStyle w:val="A20"/>
      </w:pPr>
      <w:bookmarkStart w:id="22" w:name="_Toc171333267"/>
      <w:bookmarkStart w:id="23" w:name="_Toc199403559"/>
      <w:bookmarkStart w:id="24" w:name="_Toc199403662"/>
      <w:r>
        <w:t>Instruções</w:t>
      </w:r>
      <w:bookmarkEnd w:id="22"/>
      <w:bookmarkEnd w:id="23"/>
      <w:bookmarkEnd w:id="24"/>
    </w:p>
    <w:p w14:paraId="3D13AADE" w14:textId="77777777" w:rsidR="00485346" w:rsidRPr="00CC1CB4" w:rsidRDefault="00000000" w:rsidP="6B71CBC4">
      <w:pPr>
        <w:rPr>
          <w:rFonts w:eastAsia="Calibri" w:cs="Times New Roman"/>
          <w:bCs/>
          <w:color w:val="244061" w:themeColor="accent1" w:themeShade="80"/>
          <w:sz w:val="24"/>
          <w:szCs w:val="24"/>
          <w:lang w:val="es-ES"/>
        </w:rPr>
      </w:pPr>
      <w:r>
        <w:rPr>
          <w:rFonts w:eastAsia="Times New Roman" w:cs="Times New Roman"/>
          <w:bCs/>
          <w:color w:val="244061"/>
          <w:lang w:val="pt-BR"/>
        </w:rPr>
        <w:t xml:space="preserve">Indique abaixo marcando a(s) caixa(s) apropriada(s) que programa o SEA incluído em seu plano estadual consolidado. Se um SEA optou por não incluir um ou mais dos programas abaixo em seu plano estadual consolidado, mas é elegível e deseja receber fundos de acordo com o(s) programa(s), deve enviar planos de programa individuais para aqueles programas que atendam a todos os requisitos estatutários e regulatórios com seu plano estadual consolidado em um único envio. </w:t>
      </w:r>
    </w:p>
    <w:p w14:paraId="368ED1A7" w14:textId="77777777" w:rsidR="00485346" w:rsidRPr="00CC1CB4" w:rsidRDefault="00000000" w:rsidP="6B71CBC4">
      <w:pPr>
        <w:ind w:left="288" w:hanging="288"/>
        <w:rPr>
          <w:rFonts w:eastAsia="MS Mincho" w:cs="Times New Roman"/>
          <w:color w:val="244061" w:themeColor="accent1" w:themeShade="80"/>
          <w:sz w:val="24"/>
          <w:szCs w:val="24"/>
          <w:lang w:val="es-ES"/>
        </w:rPr>
      </w:pPr>
      <w:r>
        <w:rPr>
          <w:rFonts w:ascii="MS Mincho" w:eastAsia="MS Mincho" w:hAnsi="MS Mincho" w:cs="Times New Roman"/>
          <w:color w:val="244061"/>
          <w:lang w:val="pt-BR" w:eastAsia="ko-KR"/>
        </w:rPr>
        <w:t>☒</w:t>
      </w:r>
      <w:r>
        <w:rPr>
          <w:rFonts w:eastAsia="Times New Roman" w:cs="Times New Roman"/>
          <w:color w:val="244061"/>
          <w:lang w:val="pt-BR" w:eastAsia="ko-KR"/>
        </w:rPr>
        <w:t xml:space="preserve"> Marque esta caixa se o SEA tiver incluído </w:t>
      </w:r>
      <w:r>
        <w:rPr>
          <w:rFonts w:eastAsia="Times New Roman" w:cs="Times New Roman"/>
          <w:i/>
          <w:iCs/>
          <w:color w:val="244061"/>
          <w:lang w:val="pt-BR" w:eastAsia="ko-KR"/>
        </w:rPr>
        <w:t>todos</w:t>
      </w:r>
      <w:r>
        <w:rPr>
          <w:rFonts w:eastAsia="Times New Roman" w:cs="Times New Roman"/>
          <w:color w:val="244061"/>
          <w:lang w:val="pt-BR" w:eastAsia="ko-KR"/>
        </w:rPr>
        <w:t xml:space="preserve"> os seguintes programas em seu plano estadual consolidado. [caixa marcada]</w:t>
      </w:r>
    </w:p>
    <w:p w14:paraId="200DC6B1" w14:textId="77777777" w:rsidR="00485346" w:rsidRPr="00CC1CB4" w:rsidRDefault="00000000" w:rsidP="6B71CBC4">
      <w:pPr>
        <w:rPr>
          <w:rFonts w:eastAsia="Calibri" w:cs="Times New Roman"/>
          <w:b/>
          <w:color w:val="244061" w:themeColor="accent1" w:themeShade="80"/>
          <w:sz w:val="24"/>
          <w:szCs w:val="24"/>
          <w:lang w:val="es-ES"/>
        </w:rPr>
      </w:pPr>
      <w:r>
        <w:rPr>
          <w:rFonts w:eastAsia="Times New Roman" w:cs="Times New Roman"/>
          <w:b/>
          <w:bCs/>
          <w:color w:val="244061"/>
          <w:lang w:val="pt-BR"/>
        </w:rPr>
        <w:t>ou</w:t>
      </w:r>
    </w:p>
    <w:p w14:paraId="4B8C31AB" w14:textId="77777777" w:rsidR="00485346" w:rsidRPr="00CC1CB4" w:rsidRDefault="00000000" w:rsidP="00485346">
      <w:pPr>
        <w:spacing w:line="240" w:lineRule="auto"/>
        <w:rPr>
          <w:rFonts w:eastAsia="Calibri" w:cs="Times New Roman"/>
          <w:color w:val="244061" w:themeColor="accent1" w:themeShade="80"/>
          <w:sz w:val="24"/>
          <w:szCs w:val="24"/>
          <w:lang w:val="es-ES"/>
        </w:rPr>
      </w:pPr>
      <w:r>
        <w:rPr>
          <w:rFonts w:eastAsia="Times New Roman" w:cs="Times New Roman"/>
          <w:color w:val="244061"/>
          <w:sz w:val="24"/>
          <w:szCs w:val="24"/>
          <w:lang w:val="pt-BR"/>
        </w:rPr>
        <w:t>Se todos os programas não estiverem incluídos, verifique cada programa listado abaixo que o SEA inclui em seu plano estadual consolidado:</w:t>
      </w:r>
    </w:p>
    <w:p w14:paraId="5C5A3DE4" w14:textId="77777777" w:rsidR="00485346" w:rsidRPr="00CC1CB4" w:rsidRDefault="00000000" w:rsidP="00774978">
      <w:pPr>
        <w:tabs>
          <w:tab w:val="left" w:pos="810"/>
        </w:tabs>
        <w:spacing w:after="0" w:line="240" w:lineRule="auto"/>
        <w:ind w:left="450"/>
        <w:rPr>
          <w:rFonts w:eastAsia="Calibri" w:cs="Times New Roman"/>
          <w:color w:val="244061" w:themeColor="accent1" w:themeShade="80"/>
          <w:sz w:val="24"/>
          <w:szCs w:val="24"/>
          <w:lang w:val="es-ES"/>
        </w:rPr>
      </w:pPr>
      <w:r>
        <w:rPr>
          <w:rFonts w:ascii="Segoe UI Symbol" w:eastAsia="Segoe UI Symbol" w:hAnsi="Segoe UI Symbol" w:cs="Segoe UI Symbol"/>
          <w:color w:val="244061"/>
          <w:sz w:val="24"/>
          <w:szCs w:val="24"/>
          <w:lang w:val="pt-BR"/>
        </w:rPr>
        <w:t>☐</w:t>
      </w:r>
      <w:r>
        <w:rPr>
          <w:rFonts w:eastAsia="Times New Roman" w:cs="Times New Roman"/>
          <w:color w:val="244061"/>
          <w:sz w:val="24"/>
          <w:szCs w:val="24"/>
          <w:lang w:val="pt-BR"/>
        </w:rPr>
        <w:t xml:space="preserve"> Título I, Parte A: Melhoria dos programas básicos operados por agências educacionais locais</w:t>
      </w:r>
    </w:p>
    <w:p w14:paraId="0D054CB1" w14:textId="77777777" w:rsidR="00485346" w:rsidRPr="00CC1CB4" w:rsidRDefault="00000000" w:rsidP="00774978">
      <w:pPr>
        <w:tabs>
          <w:tab w:val="left" w:pos="810"/>
        </w:tabs>
        <w:spacing w:after="0" w:line="240" w:lineRule="auto"/>
        <w:ind w:left="450"/>
        <w:rPr>
          <w:rFonts w:eastAsia="Calibri" w:cs="Times New Roman"/>
          <w:color w:val="244061" w:themeColor="accent1" w:themeShade="80"/>
          <w:sz w:val="24"/>
          <w:szCs w:val="24"/>
          <w:lang w:val="es-ES"/>
        </w:rPr>
      </w:pPr>
      <w:r>
        <w:rPr>
          <w:rFonts w:ascii="Segoe UI Symbol" w:eastAsia="Segoe UI Symbol" w:hAnsi="Segoe UI Symbol" w:cs="Segoe UI Symbol"/>
          <w:color w:val="244061"/>
          <w:sz w:val="24"/>
          <w:szCs w:val="24"/>
          <w:lang w:val="pt-BR"/>
        </w:rPr>
        <w:t>☐</w:t>
      </w:r>
      <w:r>
        <w:rPr>
          <w:rFonts w:eastAsia="Times New Roman" w:cs="Times New Roman"/>
          <w:color w:val="244061"/>
          <w:sz w:val="24"/>
          <w:szCs w:val="24"/>
          <w:lang w:val="pt-BR"/>
        </w:rPr>
        <w:t xml:space="preserve"> Título I, Parte C: Educação de crianças migratórias</w:t>
      </w:r>
    </w:p>
    <w:p w14:paraId="1F5BD541" w14:textId="77777777" w:rsidR="00485346" w:rsidRPr="00CC1CB4" w:rsidRDefault="00000000" w:rsidP="00C81DF7">
      <w:pPr>
        <w:tabs>
          <w:tab w:val="left" w:pos="360"/>
          <w:tab w:val="left" w:pos="810"/>
        </w:tabs>
        <w:ind w:left="720" w:hanging="288"/>
        <w:contextualSpacing/>
        <w:rPr>
          <w:rFonts w:eastAsia="Calibri" w:cs="Times New Roman"/>
          <w:color w:val="244061" w:themeColor="accent1" w:themeShade="80"/>
          <w:sz w:val="24"/>
          <w:szCs w:val="24"/>
          <w:lang w:val="es-ES"/>
        </w:rPr>
      </w:pPr>
      <w:r>
        <w:rPr>
          <w:rFonts w:ascii="Segoe UI Symbol" w:eastAsia="Segoe UI Symbol" w:hAnsi="Segoe UI Symbol" w:cs="Segoe UI Symbol"/>
          <w:color w:val="244061"/>
          <w:sz w:val="24"/>
          <w:szCs w:val="24"/>
          <w:lang w:val="pt-BR"/>
        </w:rPr>
        <w:t xml:space="preserve">☐ </w:t>
      </w:r>
      <w:r>
        <w:rPr>
          <w:rFonts w:eastAsia="Times New Roman" w:cs="Times New Roman"/>
          <w:color w:val="244061"/>
          <w:sz w:val="24"/>
          <w:szCs w:val="24"/>
          <w:lang w:val="pt-BR"/>
        </w:rPr>
        <w:t>Título I, Parte D: Programas de prevenção e intervenção para crianças e jovens negligenciados, inadimplentes ou em risco</w:t>
      </w:r>
    </w:p>
    <w:p w14:paraId="2110E5DF" w14:textId="77777777" w:rsidR="00485346" w:rsidRPr="00CC1CB4" w:rsidRDefault="00000000" w:rsidP="00774978">
      <w:pPr>
        <w:tabs>
          <w:tab w:val="left" w:pos="432"/>
          <w:tab w:val="left" w:pos="810"/>
        </w:tabs>
        <w:spacing w:after="0" w:line="240" w:lineRule="auto"/>
        <w:ind w:left="450"/>
        <w:contextualSpacing/>
        <w:rPr>
          <w:rFonts w:eastAsia="Calibri" w:cs="Times New Roman"/>
          <w:color w:val="244061" w:themeColor="accent1" w:themeShade="80"/>
          <w:sz w:val="24"/>
          <w:szCs w:val="24"/>
          <w:lang w:val="es-ES"/>
        </w:rPr>
      </w:pPr>
      <w:r>
        <w:rPr>
          <w:rFonts w:ascii="Segoe UI Symbol" w:eastAsia="Segoe UI Symbol" w:hAnsi="Segoe UI Symbol" w:cs="Segoe UI Symbol"/>
          <w:color w:val="244061"/>
          <w:sz w:val="24"/>
          <w:szCs w:val="24"/>
          <w:lang w:val="pt-BR"/>
        </w:rPr>
        <w:t>☐</w:t>
      </w:r>
      <w:r>
        <w:rPr>
          <w:rFonts w:eastAsia="Times New Roman" w:cs="Times New Roman"/>
          <w:color w:val="244061"/>
          <w:sz w:val="24"/>
          <w:szCs w:val="24"/>
          <w:lang w:val="pt-BR"/>
        </w:rPr>
        <w:t xml:space="preserve"> Título II, Parte A: Apoio à instrução eficaz</w:t>
      </w:r>
    </w:p>
    <w:p w14:paraId="204F6BE3" w14:textId="77777777" w:rsidR="00485346" w:rsidRPr="00CC1CB4" w:rsidRDefault="00000000" w:rsidP="00C81DF7">
      <w:pPr>
        <w:tabs>
          <w:tab w:val="left" w:pos="432"/>
          <w:tab w:val="left" w:pos="810"/>
        </w:tabs>
        <w:spacing w:after="0" w:line="240" w:lineRule="auto"/>
        <w:ind w:left="734" w:hanging="288"/>
        <w:contextualSpacing/>
        <w:rPr>
          <w:rFonts w:eastAsia="Calibri" w:cs="Times New Roman"/>
          <w:color w:val="244061" w:themeColor="accent1" w:themeShade="80"/>
          <w:sz w:val="24"/>
          <w:szCs w:val="24"/>
          <w:lang w:val="es-ES"/>
        </w:rPr>
      </w:pPr>
      <w:r>
        <w:rPr>
          <w:rFonts w:ascii="Segoe UI Symbol" w:eastAsia="Segoe UI Symbol" w:hAnsi="Segoe UI Symbol" w:cs="Segoe UI Symbol"/>
          <w:color w:val="244061"/>
          <w:sz w:val="24"/>
          <w:szCs w:val="24"/>
          <w:lang w:val="pt-BR"/>
        </w:rPr>
        <w:t>☐</w:t>
      </w:r>
      <w:r>
        <w:rPr>
          <w:rFonts w:eastAsia="Times New Roman" w:cs="Times New Roman"/>
          <w:color w:val="244061"/>
          <w:sz w:val="24"/>
          <w:szCs w:val="24"/>
          <w:lang w:val="pt-BR"/>
        </w:rPr>
        <w:t xml:space="preserve"> Título III, Parte A: Aquisição de língua inglesa, aprimoramento de língua e realização acadêmica</w:t>
      </w:r>
    </w:p>
    <w:p w14:paraId="21EAAF12" w14:textId="77777777" w:rsidR="00485346" w:rsidRPr="00CC1CB4" w:rsidRDefault="00000000" w:rsidP="00774978">
      <w:pPr>
        <w:tabs>
          <w:tab w:val="left" w:pos="810"/>
        </w:tabs>
        <w:spacing w:after="0" w:line="240" w:lineRule="auto"/>
        <w:ind w:left="450"/>
        <w:rPr>
          <w:rFonts w:eastAsia="Calibri" w:cs="Times New Roman"/>
          <w:color w:val="244061" w:themeColor="accent1" w:themeShade="80"/>
          <w:sz w:val="24"/>
          <w:szCs w:val="24"/>
          <w:lang w:val="es-ES"/>
        </w:rPr>
      </w:pPr>
      <w:r>
        <w:rPr>
          <w:rFonts w:ascii="Segoe UI Symbol" w:eastAsia="Segoe UI Symbol" w:hAnsi="Segoe UI Symbol" w:cs="Segoe UI Symbol"/>
          <w:color w:val="244061"/>
          <w:sz w:val="24"/>
          <w:szCs w:val="24"/>
          <w:lang w:val="pt-BR"/>
        </w:rPr>
        <w:t>☐</w:t>
      </w:r>
      <w:r>
        <w:rPr>
          <w:rFonts w:eastAsia="Times New Roman" w:cs="Times New Roman"/>
          <w:color w:val="244061"/>
          <w:sz w:val="24"/>
          <w:szCs w:val="24"/>
          <w:lang w:val="pt-BR"/>
        </w:rPr>
        <w:t xml:space="preserve"> Título IV, Parte A: Subsídios de apoio ao aluno e enriquecimento acadêmico</w:t>
      </w:r>
    </w:p>
    <w:p w14:paraId="434B0394" w14:textId="77777777" w:rsidR="00485346" w:rsidRPr="00CC1CB4" w:rsidRDefault="00000000" w:rsidP="00774978">
      <w:pPr>
        <w:tabs>
          <w:tab w:val="left" w:pos="432"/>
          <w:tab w:val="left" w:pos="810"/>
        </w:tabs>
        <w:spacing w:after="0" w:line="240" w:lineRule="auto"/>
        <w:ind w:left="450"/>
        <w:contextualSpacing/>
        <w:rPr>
          <w:rFonts w:eastAsia="Calibri" w:cs="Times New Roman"/>
          <w:color w:val="244061" w:themeColor="accent1" w:themeShade="80"/>
          <w:sz w:val="24"/>
          <w:szCs w:val="24"/>
          <w:lang w:val="es-ES"/>
        </w:rPr>
      </w:pPr>
      <w:r>
        <w:rPr>
          <w:rFonts w:ascii="Segoe UI Symbol" w:eastAsia="Segoe UI Symbol" w:hAnsi="Segoe UI Symbol" w:cs="Segoe UI Symbol"/>
          <w:color w:val="244061"/>
          <w:sz w:val="24"/>
          <w:szCs w:val="24"/>
          <w:lang w:val="pt-BR"/>
        </w:rPr>
        <w:t>☐</w:t>
      </w:r>
      <w:r>
        <w:rPr>
          <w:rFonts w:eastAsia="Times New Roman" w:cs="Times New Roman"/>
          <w:color w:val="244061"/>
          <w:sz w:val="24"/>
          <w:szCs w:val="24"/>
          <w:lang w:val="pt-BR"/>
        </w:rPr>
        <w:t xml:space="preserve"> Título IV, Parte B: Centros de aprendizagem comunitários do século XXI</w:t>
      </w:r>
    </w:p>
    <w:p w14:paraId="2FD52DE4" w14:textId="77777777" w:rsidR="00485346" w:rsidRPr="00CC1CB4" w:rsidRDefault="00000000" w:rsidP="00774978">
      <w:pPr>
        <w:tabs>
          <w:tab w:val="left" w:pos="810"/>
        </w:tabs>
        <w:spacing w:after="0" w:line="240" w:lineRule="auto"/>
        <w:ind w:left="450"/>
        <w:rPr>
          <w:rFonts w:eastAsia="Calibri" w:cs="Times New Roman"/>
          <w:color w:val="244061" w:themeColor="accent1" w:themeShade="80"/>
          <w:sz w:val="24"/>
          <w:szCs w:val="24"/>
          <w:lang w:val="es-ES"/>
        </w:rPr>
      </w:pPr>
      <w:r>
        <w:rPr>
          <w:rFonts w:ascii="Segoe UI Symbol" w:eastAsia="Segoe UI Symbol" w:hAnsi="Segoe UI Symbol" w:cs="Segoe UI Symbol"/>
          <w:color w:val="244061"/>
          <w:sz w:val="24"/>
          <w:szCs w:val="24"/>
          <w:lang w:val="pt-BR"/>
        </w:rPr>
        <w:t>☐</w:t>
      </w:r>
      <w:r>
        <w:rPr>
          <w:rFonts w:eastAsia="Times New Roman" w:cs="Times New Roman"/>
          <w:color w:val="244061"/>
          <w:sz w:val="24"/>
          <w:szCs w:val="24"/>
          <w:lang w:val="pt-BR"/>
        </w:rPr>
        <w:t xml:space="preserve"> Título V, Parte B, Subparte 2: Programa escolar rural e de baixa renda</w:t>
      </w:r>
    </w:p>
    <w:p w14:paraId="204E579A" w14:textId="77777777" w:rsidR="00CC7E10" w:rsidRPr="00CC1CB4" w:rsidRDefault="00000000" w:rsidP="00C81DF7">
      <w:pPr>
        <w:tabs>
          <w:tab w:val="left" w:pos="810"/>
        </w:tabs>
        <w:spacing w:line="240" w:lineRule="auto"/>
        <w:ind w:left="734" w:hanging="288"/>
        <w:rPr>
          <w:rFonts w:eastAsia="Calibri" w:cs="Times New Roman"/>
          <w:color w:val="244061" w:themeColor="accent1" w:themeShade="80"/>
          <w:sz w:val="24"/>
          <w:szCs w:val="24"/>
          <w:lang w:val="es-ES"/>
        </w:rPr>
      </w:pPr>
      <w:r>
        <w:rPr>
          <w:rFonts w:ascii="Segoe UI Symbol" w:eastAsia="Segoe UI Symbol" w:hAnsi="Segoe UI Symbol" w:cs="Segoe UI Symbol"/>
          <w:color w:val="244061"/>
          <w:sz w:val="24"/>
          <w:szCs w:val="24"/>
          <w:lang w:val="pt-BR"/>
        </w:rPr>
        <w:t>☐</w:t>
      </w:r>
      <w:r>
        <w:rPr>
          <w:rFonts w:eastAsia="Times New Roman" w:cs="Times New Roman"/>
          <w:color w:val="244061"/>
          <w:sz w:val="24"/>
          <w:szCs w:val="24"/>
          <w:lang w:val="pt-BR"/>
        </w:rPr>
        <w:t xml:space="preserve"> Título VII, Subparte B da Lei McKinney-Vento Homeless Assistance: Programa Educacional para crianças e jovens sem-teto (Lei McKinney-Vento)</w:t>
      </w:r>
    </w:p>
    <w:p w14:paraId="78836544" w14:textId="77777777" w:rsidR="00485346" w:rsidRPr="00CC1CB4" w:rsidRDefault="00000000" w:rsidP="00856537">
      <w:pPr>
        <w:pStyle w:val="A20"/>
      </w:pPr>
      <w:bookmarkStart w:id="25" w:name="_Toc171333268"/>
      <w:bookmarkStart w:id="26" w:name="_Toc199403560"/>
      <w:bookmarkStart w:id="27" w:name="_Toc199403663"/>
      <w:r>
        <w:t>Instruções</w:t>
      </w:r>
      <w:bookmarkEnd w:id="25"/>
      <w:bookmarkEnd w:id="26"/>
      <w:bookmarkEnd w:id="27"/>
    </w:p>
    <w:p w14:paraId="63D0D5FD" w14:textId="77777777" w:rsidR="00485346" w:rsidRPr="00CC1CB4" w:rsidRDefault="00000000" w:rsidP="00B54E85">
      <w:pPr>
        <w:rPr>
          <w:rFonts w:eastAsia="Calibri" w:cs="Times New Roman"/>
          <w:bCs/>
          <w:color w:val="244061" w:themeColor="accent1" w:themeShade="80"/>
          <w:sz w:val="24"/>
          <w:szCs w:val="24"/>
          <w:lang w:val="es-ES"/>
        </w:rPr>
      </w:pPr>
      <w:r>
        <w:rPr>
          <w:rFonts w:eastAsia="Times New Roman" w:cs="Times New Roman"/>
          <w:bCs/>
          <w:color w:val="244061"/>
          <w:lang w:val="pt-BR"/>
        </w:rPr>
        <w:t xml:space="preserve">Cada SEA deve fornecer descrições e outras informações que abordem cada requisito listado abaixo para os programas incluídos em seu plano estadual consolidado. De acordo com a seção 8302 da ESEA, o secretário determinou que os seguintes requisitos são absolutamente necessários para a consideração de um plano estadual consolidado. Um SEA pode adicionar descrições ou outras informações, mas não pode omitir nenhuma das descrições ou informações necessárias para cada programa incluído. </w:t>
      </w:r>
    </w:p>
    <w:p w14:paraId="5DAE4784" w14:textId="77777777" w:rsidR="00485346" w:rsidRPr="00CC1CB4" w:rsidRDefault="00000000" w:rsidP="00A6210A">
      <w:pPr>
        <w:pStyle w:val="EndUSED"/>
        <w:rPr>
          <w:lang w:val="es-ES"/>
        </w:rPr>
      </w:pPr>
      <w:r>
        <w:rPr>
          <w:rFonts w:eastAsia="Times New Roman"/>
          <w:color w:val="FFFFFF"/>
          <w:szCs w:val="4"/>
          <w:lang w:val="pt-BR"/>
        </w:rPr>
        <w:t>[finalizar texto do USED]</w:t>
      </w:r>
    </w:p>
    <w:p w14:paraId="01FA6F6B" w14:textId="77777777" w:rsidR="00A930B6" w:rsidRPr="00856537" w:rsidRDefault="00A930B6" w:rsidP="00856537">
      <w:pPr>
        <w:sectPr w:rsidR="00A930B6" w:rsidRPr="00856537" w:rsidSect="00D1042A">
          <w:headerReference w:type="default" r:id="rId17"/>
          <w:footerReference w:type="default" r:id="rId18"/>
          <w:pgSz w:w="12240" w:h="15840"/>
          <w:pgMar w:top="1440" w:right="1440" w:bottom="1440" w:left="1440" w:header="720" w:footer="720" w:gutter="0"/>
          <w:pgBorders w:display="firstPage" w:offsetFrom="page">
            <w:top w:val="double" w:sz="4" w:space="24" w:color="215868" w:themeColor="accent5" w:themeShade="80"/>
            <w:left w:val="double" w:sz="4" w:space="24" w:color="215868" w:themeColor="accent5" w:themeShade="80"/>
            <w:bottom w:val="double" w:sz="4" w:space="24" w:color="215868" w:themeColor="accent5" w:themeShade="80"/>
            <w:right w:val="double" w:sz="4" w:space="24" w:color="215868" w:themeColor="accent5" w:themeShade="80"/>
          </w:pgBorders>
          <w:pgNumType w:start="1"/>
          <w:cols w:space="720"/>
          <w:titlePg/>
          <w:docGrid w:linePitch="360"/>
        </w:sectPr>
      </w:pPr>
      <w:bookmarkStart w:id="28" w:name="_Toc199403561"/>
      <w:bookmarkStart w:id="29" w:name="_Toc199403664"/>
    </w:p>
    <w:p w14:paraId="4AF8982A" w14:textId="77777777" w:rsidR="00856537" w:rsidRDefault="00000000" w:rsidP="0083645B">
      <w:pPr>
        <w:pStyle w:val="A10"/>
        <w:spacing w:after="240"/>
      </w:pPr>
      <w:r>
        <w:lastRenderedPageBreak/>
        <w:t>Índice</w:t>
      </w:r>
      <w:bookmarkEnd w:id="28"/>
    </w:p>
    <w:p w14:paraId="536C123D" w14:textId="1AAD006D" w:rsidR="00C04CDD" w:rsidRDefault="00000000">
      <w:pPr>
        <w:pStyle w:val="TOC1"/>
        <w:rPr>
          <w:rFonts w:asciiTheme="minorHAnsi" w:eastAsiaTheme="minorEastAsia" w:hAnsiTheme="minorHAnsi" w:cstheme="minorBidi"/>
          <w:kern w:val="2"/>
          <w:sz w:val="24"/>
          <w:szCs w:val="24"/>
          <w:lang w:eastAsia="zh-CN"/>
          <w14:ligatures w14:val="standardContextual"/>
        </w:rPr>
      </w:pPr>
      <w:r w:rsidRPr="0083645B">
        <w:rPr>
          <w:rFonts w:eastAsiaTheme="majorEastAsia"/>
          <w:b/>
          <w:bCs/>
          <w:color w:val="074F6A"/>
        </w:rPr>
        <w:fldChar w:fldCharType="begin"/>
      </w:r>
      <w:r w:rsidRPr="0083645B">
        <w:rPr>
          <w:lang w:val="es-ES"/>
        </w:rPr>
        <w:instrText xml:space="preserve"> TOC \o "1-</w:instrText>
      </w:r>
      <w:r w:rsidR="00856537" w:rsidRPr="0083645B">
        <w:rPr>
          <w:lang w:val="es-ES"/>
        </w:rPr>
        <w:instrText>3</w:instrText>
      </w:r>
      <w:r w:rsidRPr="0083645B">
        <w:rPr>
          <w:lang w:val="es-ES"/>
        </w:rPr>
        <w:instrText xml:space="preserve">" \h \z \u </w:instrText>
      </w:r>
      <w:r w:rsidRPr="0083645B">
        <w:rPr>
          <w:rFonts w:eastAsiaTheme="majorEastAsia"/>
          <w:b/>
          <w:bCs/>
          <w:color w:val="074F6A"/>
        </w:rPr>
        <w:fldChar w:fldCharType="separate"/>
      </w:r>
      <w:hyperlink w:anchor="_Toc211004632" w:history="1">
        <w:r w:rsidR="00C04CDD" w:rsidRPr="00621431">
          <w:rPr>
            <w:rStyle w:val="af7"/>
            <w:rFonts w:eastAsia="Cambria"/>
            <w:lang w:val="pt-BR"/>
          </w:rPr>
          <w:t>Introdução</w:t>
        </w:r>
        <w:r w:rsidR="00C04CDD">
          <w:rPr>
            <w:webHidden/>
          </w:rPr>
          <w:tab/>
        </w:r>
        <w:r w:rsidR="00C04CDD">
          <w:rPr>
            <w:webHidden/>
          </w:rPr>
          <w:fldChar w:fldCharType="begin"/>
        </w:r>
        <w:r w:rsidR="00C04CDD">
          <w:rPr>
            <w:webHidden/>
          </w:rPr>
          <w:instrText xml:space="preserve"> PAGEREF _Toc211004632 \h </w:instrText>
        </w:r>
        <w:r w:rsidR="00C04CDD">
          <w:rPr>
            <w:webHidden/>
          </w:rPr>
        </w:r>
        <w:r w:rsidR="00C04CDD">
          <w:rPr>
            <w:webHidden/>
          </w:rPr>
          <w:fldChar w:fldCharType="separate"/>
        </w:r>
        <w:r w:rsidR="00C04CDD">
          <w:rPr>
            <w:webHidden/>
          </w:rPr>
          <w:t>1</w:t>
        </w:r>
        <w:r w:rsidR="00C04CDD">
          <w:rPr>
            <w:webHidden/>
          </w:rPr>
          <w:fldChar w:fldCharType="end"/>
        </w:r>
      </w:hyperlink>
    </w:p>
    <w:p w14:paraId="74047D5B" w14:textId="21D525D3" w:rsidR="00C04CDD" w:rsidRDefault="00C04CDD">
      <w:pPr>
        <w:pStyle w:val="TOC1"/>
        <w:rPr>
          <w:rFonts w:asciiTheme="minorHAnsi" w:eastAsiaTheme="minorEastAsia" w:hAnsiTheme="minorHAnsi" w:cstheme="minorBidi"/>
          <w:kern w:val="2"/>
          <w:sz w:val="24"/>
          <w:szCs w:val="24"/>
          <w:lang w:eastAsia="zh-CN"/>
          <w14:ligatures w14:val="standardContextual"/>
        </w:rPr>
      </w:pPr>
      <w:hyperlink w:anchor="_Toc211004633" w:history="1">
        <w:r w:rsidRPr="00621431">
          <w:rPr>
            <w:rStyle w:val="af7"/>
            <w:rFonts w:eastAsia="Cambria"/>
            <w:lang w:val="pt-BR"/>
          </w:rPr>
          <w:t>A. T ítulo I, Parte A: Melhoria dos programas básicos operados por agências educacionais locais (LEAs)</w:t>
        </w:r>
        <w:r>
          <w:rPr>
            <w:webHidden/>
          </w:rPr>
          <w:tab/>
        </w:r>
        <w:r>
          <w:rPr>
            <w:webHidden/>
          </w:rPr>
          <w:fldChar w:fldCharType="begin"/>
        </w:r>
        <w:r>
          <w:rPr>
            <w:webHidden/>
          </w:rPr>
          <w:instrText xml:space="preserve"> PAGEREF _Toc211004633 \h </w:instrText>
        </w:r>
        <w:r>
          <w:rPr>
            <w:webHidden/>
          </w:rPr>
        </w:r>
        <w:r>
          <w:rPr>
            <w:webHidden/>
          </w:rPr>
          <w:fldChar w:fldCharType="separate"/>
        </w:r>
        <w:r>
          <w:rPr>
            <w:webHidden/>
          </w:rPr>
          <w:t>17</w:t>
        </w:r>
        <w:r>
          <w:rPr>
            <w:webHidden/>
          </w:rPr>
          <w:fldChar w:fldCharType="end"/>
        </w:r>
      </w:hyperlink>
    </w:p>
    <w:p w14:paraId="6B4A0C09" w14:textId="782D6DCC" w:rsidR="00C04CDD" w:rsidRDefault="00C04CDD">
      <w:pPr>
        <w:pStyle w:val="TOC2"/>
        <w:rPr>
          <w:rFonts w:asciiTheme="minorHAnsi" w:eastAsiaTheme="minorEastAsia" w:hAnsiTheme="minorHAnsi" w:cstheme="minorBidi"/>
          <w:kern w:val="2"/>
          <w:sz w:val="24"/>
          <w:szCs w:val="24"/>
          <w:lang w:eastAsia="zh-CN"/>
          <w14:ligatures w14:val="standardContextual"/>
        </w:rPr>
      </w:pPr>
      <w:hyperlink w:anchor="_Toc211004634" w:history="1">
        <w:r w:rsidRPr="00621431">
          <w:rPr>
            <w:rStyle w:val="af7"/>
            <w:rFonts w:eastAsia="Cambria"/>
            <w:lang w:val="pt-BR"/>
          </w:rPr>
          <w:t>1. Padrões e avaliações acadêmicos estaduais desafiadores</w:t>
        </w:r>
        <w:r>
          <w:rPr>
            <w:webHidden/>
          </w:rPr>
          <w:tab/>
        </w:r>
        <w:r>
          <w:rPr>
            <w:webHidden/>
          </w:rPr>
          <w:fldChar w:fldCharType="begin"/>
        </w:r>
        <w:r>
          <w:rPr>
            <w:webHidden/>
          </w:rPr>
          <w:instrText xml:space="preserve"> PAGEREF _Toc211004634 \h </w:instrText>
        </w:r>
        <w:r>
          <w:rPr>
            <w:webHidden/>
          </w:rPr>
        </w:r>
        <w:r>
          <w:rPr>
            <w:webHidden/>
          </w:rPr>
          <w:fldChar w:fldCharType="separate"/>
        </w:r>
        <w:r>
          <w:rPr>
            <w:webHidden/>
          </w:rPr>
          <w:t>19</w:t>
        </w:r>
        <w:r>
          <w:rPr>
            <w:webHidden/>
          </w:rPr>
          <w:fldChar w:fldCharType="end"/>
        </w:r>
      </w:hyperlink>
    </w:p>
    <w:p w14:paraId="12BC9867" w14:textId="2CF7ECA5" w:rsidR="00C04CDD" w:rsidRDefault="00C04CDD">
      <w:pPr>
        <w:pStyle w:val="TOC2"/>
        <w:rPr>
          <w:rFonts w:asciiTheme="minorHAnsi" w:eastAsiaTheme="minorEastAsia" w:hAnsiTheme="minorHAnsi" w:cstheme="minorBidi"/>
          <w:kern w:val="2"/>
          <w:sz w:val="24"/>
          <w:szCs w:val="24"/>
          <w:lang w:eastAsia="zh-CN"/>
          <w14:ligatures w14:val="standardContextual"/>
        </w:rPr>
      </w:pPr>
      <w:hyperlink w:anchor="_Toc211004635" w:history="1">
        <w:r w:rsidRPr="00621431">
          <w:rPr>
            <w:rStyle w:val="af7"/>
            <w:rFonts w:eastAsia="Cambria"/>
            <w:lang w:val="pt-BR"/>
          </w:rPr>
          <w:t>2. Exceção de matemática do oitavo ano</w:t>
        </w:r>
        <w:r>
          <w:rPr>
            <w:webHidden/>
          </w:rPr>
          <w:tab/>
        </w:r>
        <w:r>
          <w:rPr>
            <w:webHidden/>
          </w:rPr>
          <w:fldChar w:fldCharType="begin"/>
        </w:r>
        <w:r>
          <w:rPr>
            <w:webHidden/>
          </w:rPr>
          <w:instrText xml:space="preserve"> PAGEREF _Toc211004635 \h </w:instrText>
        </w:r>
        <w:r>
          <w:rPr>
            <w:webHidden/>
          </w:rPr>
        </w:r>
        <w:r>
          <w:rPr>
            <w:webHidden/>
          </w:rPr>
          <w:fldChar w:fldCharType="separate"/>
        </w:r>
        <w:r>
          <w:rPr>
            <w:webHidden/>
          </w:rPr>
          <w:t>19</w:t>
        </w:r>
        <w:r>
          <w:rPr>
            <w:webHidden/>
          </w:rPr>
          <w:fldChar w:fldCharType="end"/>
        </w:r>
      </w:hyperlink>
    </w:p>
    <w:p w14:paraId="682F66E1" w14:textId="41BD760A" w:rsidR="00C04CDD" w:rsidRDefault="00C04CDD">
      <w:pPr>
        <w:pStyle w:val="TOC2"/>
        <w:rPr>
          <w:rFonts w:asciiTheme="minorHAnsi" w:eastAsiaTheme="minorEastAsia" w:hAnsiTheme="minorHAnsi" w:cstheme="minorBidi"/>
          <w:kern w:val="2"/>
          <w:sz w:val="24"/>
          <w:szCs w:val="24"/>
          <w:lang w:eastAsia="zh-CN"/>
          <w14:ligatures w14:val="standardContextual"/>
        </w:rPr>
      </w:pPr>
      <w:hyperlink w:anchor="_Toc211004636" w:history="1">
        <w:r w:rsidRPr="00621431">
          <w:rPr>
            <w:rStyle w:val="af7"/>
            <w:rFonts w:eastAsia="Cambria"/>
            <w:lang w:val="pt-BR"/>
          </w:rPr>
          <w:t>3. Avaliações de idioma nativo</w:t>
        </w:r>
        <w:r>
          <w:rPr>
            <w:webHidden/>
          </w:rPr>
          <w:tab/>
        </w:r>
        <w:r>
          <w:rPr>
            <w:webHidden/>
          </w:rPr>
          <w:fldChar w:fldCharType="begin"/>
        </w:r>
        <w:r>
          <w:rPr>
            <w:webHidden/>
          </w:rPr>
          <w:instrText xml:space="preserve"> PAGEREF _Toc211004636 \h </w:instrText>
        </w:r>
        <w:r>
          <w:rPr>
            <w:webHidden/>
          </w:rPr>
        </w:r>
        <w:r>
          <w:rPr>
            <w:webHidden/>
          </w:rPr>
          <w:fldChar w:fldCharType="separate"/>
        </w:r>
        <w:r>
          <w:rPr>
            <w:webHidden/>
          </w:rPr>
          <w:t>21</w:t>
        </w:r>
        <w:r>
          <w:rPr>
            <w:webHidden/>
          </w:rPr>
          <w:fldChar w:fldCharType="end"/>
        </w:r>
      </w:hyperlink>
    </w:p>
    <w:p w14:paraId="7D8AC02B" w14:textId="2037C851" w:rsidR="00C04CDD" w:rsidRDefault="00C04CDD">
      <w:pPr>
        <w:pStyle w:val="TOC2"/>
        <w:rPr>
          <w:rFonts w:asciiTheme="minorHAnsi" w:eastAsiaTheme="minorEastAsia" w:hAnsiTheme="minorHAnsi" w:cstheme="minorBidi"/>
          <w:kern w:val="2"/>
          <w:sz w:val="24"/>
          <w:szCs w:val="24"/>
          <w:lang w:eastAsia="zh-CN"/>
          <w14:ligatures w14:val="standardContextual"/>
        </w:rPr>
      </w:pPr>
      <w:hyperlink w:anchor="_Toc211004637" w:history="1">
        <w:r w:rsidRPr="00621431">
          <w:rPr>
            <w:rStyle w:val="af7"/>
            <w:rFonts w:eastAsia="Cambria"/>
            <w:lang w:val="pt-BR"/>
          </w:rPr>
          <w:t>4. Sistema de responsabilidade estadual e atividades de apoio e melhoria escolar</w:t>
        </w:r>
        <w:r>
          <w:rPr>
            <w:webHidden/>
          </w:rPr>
          <w:tab/>
        </w:r>
        <w:r>
          <w:rPr>
            <w:webHidden/>
          </w:rPr>
          <w:fldChar w:fldCharType="begin"/>
        </w:r>
        <w:r>
          <w:rPr>
            <w:webHidden/>
          </w:rPr>
          <w:instrText xml:space="preserve"> PAGEREF _Toc211004637 \h </w:instrText>
        </w:r>
        <w:r>
          <w:rPr>
            <w:webHidden/>
          </w:rPr>
        </w:r>
        <w:r>
          <w:rPr>
            <w:webHidden/>
          </w:rPr>
          <w:fldChar w:fldCharType="separate"/>
        </w:r>
        <w:r>
          <w:rPr>
            <w:webHidden/>
          </w:rPr>
          <w:t>24</w:t>
        </w:r>
        <w:r>
          <w:rPr>
            <w:webHidden/>
          </w:rPr>
          <w:fldChar w:fldCharType="end"/>
        </w:r>
      </w:hyperlink>
    </w:p>
    <w:p w14:paraId="4EFB2A2E" w14:textId="045F2067" w:rsidR="00C04CDD" w:rsidRDefault="00C04CDD">
      <w:pPr>
        <w:pStyle w:val="TOC3"/>
        <w:rPr>
          <w:rFonts w:asciiTheme="minorHAnsi" w:eastAsiaTheme="minorEastAsia" w:hAnsiTheme="minorHAnsi" w:cstheme="minorBidi"/>
          <w:kern w:val="2"/>
          <w:sz w:val="24"/>
          <w:szCs w:val="24"/>
          <w:lang w:eastAsia="zh-CN"/>
          <w14:ligatures w14:val="standardContextual"/>
        </w:rPr>
      </w:pPr>
      <w:hyperlink w:anchor="_Toc211004638" w:history="1">
        <w:r w:rsidRPr="00621431">
          <w:rPr>
            <w:rStyle w:val="af7"/>
            <w:rFonts w:ascii="Cambria" w:eastAsia="Cambria" w:hAnsi="Cambria"/>
            <w:lang w:val="pt-BR"/>
          </w:rPr>
          <w:t>i. Subgrupos (seção ESEA 1111(c)(2))</w:t>
        </w:r>
        <w:r>
          <w:rPr>
            <w:webHidden/>
          </w:rPr>
          <w:tab/>
        </w:r>
        <w:r>
          <w:rPr>
            <w:webHidden/>
          </w:rPr>
          <w:fldChar w:fldCharType="begin"/>
        </w:r>
        <w:r>
          <w:rPr>
            <w:webHidden/>
          </w:rPr>
          <w:instrText xml:space="preserve"> PAGEREF _Toc211004638 \h </w:instrText>
        </w:r>
        <w:r>
          <w:rPr>
            <w:webHidden/>
          </w:rPr>
        </w:r>
        <w:r>
          <w:rPr>
            <w:webHidden/>
          </w:rPr>
          <w:fldChar w:fldCharType="separate"/>
        </w:r>
        <w:r>
          <w:rPr>
            <w:webHidden/>
          </w:rPr>
          <w:t>27</w:t>
        </w:r>
        <w:r>
          <w:rPr>
            <w:webHidden/>
          </w:rPr>
          <w:fldChar w:fldCharType="end"/>
        </w:r>
      </w:hyperlink>
    </w:p>
    <w:p w14:paraId="148E0A98" w14:textId="17BF2855" w:rsidR="00C04CDD" w:rsidRDefault="00C04CDD">
      <w:pPr>
        <w:pStyle w:val="TOC3"/>
        <w:rPr>
          <w:rFonts w:asciiTheme="minorHAnsi" w:eastAsiaTheme="minorEastAsia" w:hAnsiTheme="minorHAnsi" w:cstheme="minorBidi"/>
          <w:kern w:val="2"/>
          <w:sz w:val="24"/>
          <w:szCs w:val="24"/>
          <w:lang w:eastAsia="zh-CN"/>
          <w14:ligatures w14:val="standardContextual"/>
        </w:rPr>
      </w:pPr>
      <w:hyperlink w:anchor="_Toc211004639" w:history="1">
        <w:r w:rsidRPr="00621431">
          <w:rPr>
            <w:rStyle w:val="af7"/>
            <w:rFonts w:ascii="Cambria" w:eastAsia="Cambria" w:hAnsi="Cambria"/>
            <w:lang w:val="pt-BR"/>
          </w:rPr>
          <w:t xml:space="preserve">ii. Grupo mínimo de </w:t>
        </w:r>
        <w:r w:rsidRPr="00621431">
          <w:rPr>
            <w:rStyle w:val="af7"/>
            <w:rFonts w:ascii="Cambria" w:eastAsia="Cambria" w:hAnsi="Cambria"/>
            <w:i/>
            <w:iCs/>
            <w:lang w:val="pt-BR"/>
          </w:rPr>
          <w:t>N</w:t>
        </w:r>
        <w:r w:rsidRPr="00621431">
          <w:rPr>
            <w:rStyle w:val="af7"/>
            <w:rFonts w:ascii="Cambria" w:eastAsia="Cambria" w:hAnsi="Cambria"/>
            <w:lang w:val="pt-BR"/>
          </w:rPr>
          <w:t xml:space="preserve"> (seção ESEA 1111(c)(3)(A))</w:t>
        </w:r>
        <w:r>
          <w:rPr>
            <w:webHidden/>
          </w:rPr>
          <w:tab/>
        </w:r>
        <w:r>
          <w:rPr>
            <w:webHidden/>
          </w:rPr>
          <w:fldChar w:fldCharType="begin"/>
        </w:r>
        <w:r>
          <w:rPr>
            <w:webHidden/>
          </w:rPr>
          <w:instrText xml:space="preserve"> PAGEREF _Toc211004639 \h </w:instrText>
        </w:r>
        <w:r>
          <w:rPr>
            <w:webHidden/>
          </w:rPr>
        </w:r>
        <w:r>
          <w:rPr>
            <w:webHidden/>
          </w:rPr>
          <w:fldChar w:fldCharType="separate"/>
        </w:r>
        <w:r>
          <w:rPr>
            <w:webHidden/>
          </w:rPr>
          <w:t>30</w:t>
        </w:r>
        <w:r>
          <w:rPr>
            <w:webHidden/>
          </w:rPr>
          <w:fldChar w:fldCharType="end"/>
        </w:r>
      </w:hyperlink>
    </w:p>
    <w:p w14:paraId="28392191" w14:textId="2192FD92" w:rsidR="00C04CDD" w:rsidRDefault="00C04CDD">
      <w:pPr>
        <w:pStyle w:val="TOC3"/>
        <w:rPr>
          <w:rFonts w:asciiTheme="minorHAnsi" w:eastAsiaTheme="minorEastAsia" w:hAnsiTheme="minorHAnsi" w:cstheme="minorBidi"/>
          <w:kern w:val="2"/>
          <w:sz w:val="24"/>
          <w:szCs w:val="24"/>
          <w:lang w:eastAsia="zh-CN"/>
          <w14:ligatures w14:val="standardContextual"/>
        </w:rPr>
      </w:pPr>
      <w:hyperlink w:anchor="_Toc211004640" w:history="1">
        <w:r w:rsidRPr="00621431">
          <w:rPr>
            <w:rStyle w:val="af7"/>
            <w:rFonts w:ascii="Cambria" w:eastAsia="Cambria" w:hAnsi="Cambria"/>
            <w:lang w:val="pt-BR"/>
          </w:rPr>
          <w:t>iii. Estabelecimento de metas de longo prazo (Seção 1111(c)(4)(A) da ESEA)</w:t>
        </w:r>
        <w:r>
          <w:rPr>
            <w:webHidden/>
          </w:rPr>
          <w:tab/>
        </w:r>
        <w:r>
          <w:rPr>
            <w:webHidden/>
          </w:rPr>
          <w:fldChar w:fldCharType="begin"/>
        </w:r>
        <w:r>
          <w:rPr>
            <w:webHidden/>
          </w:rPr>
          <w:instrText xml:space="preserve"> PAGEREF _Toc211004640 \h </w:instrText>
        </w:r>
        <w:r>
          <w:rPr>
            <w:webHidden/>
          </w:rPr>
        </w:r>
        <w:r>
          <w:rPr>
            <w:webHidden/>
          </w:rPr>
          <w:fldChar w:fldCharType="separate"/>
        </w:r>
        <w:r>
          <w:rPr>
            <w:webHidden/>
          </w:rPr>
          <w:t>32</w:t>
        </w:r>
        <w:r>
          <w:rPr>
            <w:webHidden/>
          </w:rPr>
          <w:fldChar w:fldCharType="end"/>
        </w:r>
      </w:hyperlink>
    </w:p>
    <w:p w14:paraId="32C981EE" w14:textId="00102BA9" w:rsidR="00C04CDD" w:rsidRDefault="00C04CDD">
      <w:pPr>
        <w:pStyle w:val="TOC3"/>
        <w:rPr>
          <w:rFonts w:asciiTheme="minorHAnsi" w:eastAsiaTheme="minorEastAsia" w:hAnsiTheme="minorHAnsi" w:cstheme="minorBidi"/>
          <w:kern w:val="2"/>
          <w:sz w:val="24"/>
          <w:szCs w:val="24"/>
          <w:lang w:eastAsia="zh-CN"/>
          <w14:ligatures w14:val="standardContextual"/>
        </w:rPr>
      </w:pPr>
      <w:hyperlink w:anchor="_Toc211004641" w:history="1">
        <w:r w:rsidRPr="00621431">
          <w:rPr>
            <w:rStyle w:val="af7"/>
            <w:rFonts w:ascii="Cambria" w:eastAsia="Cambria" w:hAnsi="Cambria"/>
            <w:lang w:val="pt-BR"/>
          </w:rPr>
          <w:t>iv. Indicadores do sistema de responsabilidade (Seção 1111(c)(4)(B) da ESEA)</w:t>
        </w:r>
        <w:r>
          <w:rPr>
            <w:webHidden/>
          </w:rPr>
          <w:tab/>
        </w:r>
        <w:r>
          <w:rPr>
            <w:webHidden/>
          </w:rPr>
          <w:fldChar w:fldCharType="begin"/>
        </w:r>
        <w:r>
          <w:rPr>
            <w:webHidden/>
          </w:rPr>
          <w:instrText xml:space="preserve"> PAGEREF _Toc211004641 \h </w:instrText>
        </w:r>
        <w:r>
          <w:rPr>
            <w:webHidden/>
          </w:rPr>
        </w:r>
        <w:r>
          <w:rPr>
            <w:webHidden/>
          </w:rPr>
          <w:fldChar w:fldCharType="separate"/>
        </w:r>
        <w:r>
          <w:rPr>
            <w:webHidden/>
          </w:rPr>
          <w:t>46</w:t>
        </w:r>
        <w:r>
          <w:rPr>
            <w:webHidden/>
          </w:rPr>
          <w:fldChar w:fldCharType="end"/>
        </w:r>
      </w:hyperlink>
    </w:p>
    <w:p w14:paraId="778A6186" w14:textId="733A5333" w:rsidR="00C04CDD" w:rsidRDefault="00C04CDD">
      <w:pPr>
        <w:pStyle w:val="TOC3"/>
        <w:rPr>
          <w:rFonts w:asciiTheme="minorHAnsi" w:eastAsiaTheme="minorEastAsia" w:hAnsiTheme="minorHAnsi" w:cstheme="minorBidi"/>
          <w:kern w:val="2"/>
          <w:sz w:val="24"/>
          <w:szCs w:val="24"/>
          <w:lang w:eastAsia="zh-CN"/>
          <w14:ligatures w14:val="standardContextual"/>
        </w:rPr>
      </w:pPr>
      <w:hyperlink w:anchor="_Toc211004642" w:history="1">
        <w:r w:rsidRPr="00621431">
          <w:rPr>
            <w:rStyle w:val="af7"/>
            <w:rFonts w:ascii="Cambria" w:eastAsia="Cambria" w:hAnsi="Cambria"/>
            <w:lang w:val="pt-BR"/>
          </w:rPr>
          <w:t>v. Diferenciação significativa anual (ESEA seção 1111(c)(4)(C))</w:t>
        </w:r>
        <w:r>
          <w:rPr>
            <w:webHidden/>
          </w:rPr>
          <w:tab/>
        </w:r>
        <w:r>
          <w:rPr>
            <w:webHidden/>
          </w:rPr>
          <w:fldChar w:fldCharType="begin"/>
        </w:r>
        <w:r>
          <w:rPr>
            <w:webHidden/>
          </w:rPr>
          <w:instrText xml:space="preserve"> PAGEREF _Toc211004642 \h </w:instrText>
        </w:r>
        <w:r>
          <w:rPr>
            <w:webHidden/>
          </w:rPr>
        </w:r>
        <w:r>
          <w:rPr>
            <w:webHidden/>
          </w:rPr>
          <w:fldChar w:fldCharType="separate"/>
        </w:r>
        <w:r>
          <w:rPr>
            <w:webHidden/>
          </w:rPr>
          <w:t>58</w:t>
        </w:r>
        <w:r>
          <w:rPr>
            <w:webHidden/>
          </w:rPr>
          <w:fldChar w:fldCharType="end"/>
        </w:r>
      </w:hyperlink>
    </w:p>
    <w:p w14:paraId="12CC3842" w14:textId="56FCA679" w:rsidR="00C04CDD" w:rsidRDefault="00C04CDD">
      <w:pPr>
        <w:pStyle w:val="TOC3"/>
        <w:rPr>
          <w:rFonts w:asciiTheme="minorHAnsi" w:eastAsiaTheme="minorEastAsia" w:hAnsiTheme="minorHAnsi" w:cstheme="minorBidi"/>
          <w:kern w:val="2"/>
          <w:sz w:val="24"/>
          <w:szCs w:val="24"/>
          <w:lang w:eastAsia="zh-CN"/>
          <w14:ligatures w14:val="standardContextual"/>
        </w:rPr>
      </w:pPr>
      <w:hyperlink w:anchor="_Toc211004643" w:history="1">
        <w:r w:rsidRPr="00621431">
          <w:rPr>
            <w:rStyle w:val="af7"/>
            <w:rFonts w:ascii="Cambria" w:eastAsia="Cambria" w:hAnsi="Cambria"/>
            <w:lang w:val="pt-BR"/>
          </w:rPr>
          <w:t>vi. Identificação das escolas (ESEA seção 1111(c)(4)(D))</w:t>
        </w:r>
        <w:r>
          <w:rPr>
            <w:webHidden/>
          </w:rPr>
          <w:tab/>
        </w:r>
        <w:r>
          <w:rPr>
            <w:webHidden/>
          </w:rPr>
          <w:fldChar w:fldCharType="begin"/>
        </w:r>
        <w:r>
          <w:rPr>
            <w:webHidden/>
          </w:rPr>
          <w:instrText xml:space="preserve"> PAGEREF _Toc211004643 \h </w:instrText>
        </w:r>
        <w:r>
          <w:rPr>
            <w:webHidden/>
          </w:rPr>
        </w:r>
        <w:r>
          <w:rPr>
            <w:webHidden/>
          </w:rPr>
          <w:fldChar w:fldCharType="separate"/>
        </w:r>
        <w:r>
          <w:rPr>
            <w:webHidden/>
          </w:rPr>
          <w:t>68</w:t>
        </w:r>
        <w:r>
          <w:rPr>
            <w:webHidden/>
          </w:rPr>
          <w:fldChar w:fldCharType="end"/>
        </w:r>
      </w:hyperlink>
    </w:p>
    <w:p w14:paraId="3F970914" w14:textId="40E11A0C" w:rsidR="00C04CDD" w:rsidRDefault="00C04CDD">
      <w:pPr>
        <w:pStyle w:val="TOC3"/>
        <w:rPr>
          <w:rFonts w:asciiTheme="minorHAnsi" w:eastAsiaTheme="minorEastAsia" w:hAnsiTheme="minorHAnsi" w:cstheme="minorBidi"/>
          <w:kern w:val="2"/>
          <w:sz w:val="24"/>
          <w:szCs w:val="24"/>
          <w:lang w:eastAsia="zh-CN"/>
          <w14:ligatures w14:val="standardContextual"/>
        </w:rPr>
      </w:pPr>
      <w:hyperlink w:anchor="_Toc211004644" w:history="1">
        <w:r w:rsidRPr="00621431">
          <w:rPr>
            <w:rStyle w:val="af7"/>
            <w:rFonts w:ascii="Cambria" w:eastAsia="Cambria" w:hAnsi="Cambria"/>
            <w:lang w:val="pt-BR"/>
          </w:rPr>
          <w:t>vii. Medição anual da realização (seção 1111(c)(4)(E)(iii) da ESEA)</w:t>
        </w:r>
        <w:r>
          <w:rPr>
            <w:webHidden/>
          </w:rPr>
          <w:tab/>
        </w:r>
        <w:r>
          <w:rPr>
            <w:webHidden/>
          </w:rPr>
          <w:fldChar w:fldCharType="begin"/>
        </w:r>
        <w:r>
          <w:rPr>
            <w:webHidden/>
          </w:rPr>
          <w:instrText xml:space="preserve"> PAGEREF _Toc211004644 \h </w:instrText>
        </w:r>
        <w:r>
          <w:rPr>
            <w:webHidden/>
          </w:rPr>
        </w:r>
        <w:r>
          <w:rPr>
            <w:webHidden/>
          </w:rPr>
          <w:fldChar w:fldCharType="separate"/>
        </w:r>
        <w:r>
          <w:rPr>
            <w:webHidden/>
          </w:rPr>
          <w:t>73</w:t>
        </w:r>
        <w:r>
          <w:rPr>
            <w:webHidden/>
          </w:rPr>
          <w:fldChar w:fldCharType="end"/>
        </w:r>
      </w:hyperlink>
    </w:p>
    <w:p w14:paraId="20441A96" w14:textId="2E2916DE" w:rsidR="00C04CDD" w:rsidRDefault="00C04CDD">
      <w:pPr>
        <w:pStyle w:val="TOC3"/>
        <w:rPr>
          <w:rFonts w:asciiTheme="minorHAnsi" w:eastAsiaTheme="minorEastAsia" w:hAnsiTheme="minorHAnsi" w:cstheme="minorBidi"/>
          <w:kern w:val="2"/>
          <w:sz w:val="24"/>
          <w:szCs w:val="24"/>
          <w:lang w:eastAsia="zh-CN"/>
          <w14:ligatures w14:val="standardContextual"/>
        </w:rPr>
      </w:pPr>
      <w:hyperlink w:anchor="_Toc211004645" w:history="1">
        <w:r w:rsidRPr="00621431">
          <w:rPr>
            <w:rStyle w:val="af7"/>
            <w:rFonts w:ascii="Cambria" w:eastAsia="Cambria" w:hAnsi="Cambria"/>
            <w:lang w:val="pt-BR"/>
          </w:rPr>
          <w:t>viii. Suporte contínuo para a escola e melhoria da LEA (seção 1111(d)(3)(A) da ESEA)</w:t>
        </w:r>
        <w:r>
          <w:rPr>
            <w:webHidden/>
          </w:rPr>
          <w:tab/>
        </w:r>
        <w:r>
          <w:rPr>
            <w:webHidden/>
          </w:rPr>
          <w:fldChar w:fldCharType="begin"/>
        </w:r>
        <w:r>
          <w:rPr>
            <w:webHidden/>
          </w:rPr>
          <w:instrText xml:space="preserve"> PAGEREF _Toc211004645 \h </w:instrText>
        </w:r>
        <w:r>
          <w:rPr>
            <w:webHidden/>
          </w:rPr>
        </w:r>
        <w:r>
          <w:rPr>
            <w:webHidden/>
          </w:rPr>
          <w:fldChar w:fldCharType="separate"/>
        </w:r>
        <w:r>
          <w:rPr>
            <w:webHidden/>
          </w:rPr>
          <w:t>74</w:t>
        </w:r>
        <w:r>
          <w:rPr>
            <w:webHidden/>
          </w:rPr>
          <w:fldChar w:fldCharType="end"/>
        </w:r>
      </w:hyperlink>
    </w:p>
    <w:p w14:paraId="6FBCA98E" w14:textId="7CD44DB8" w:rsidR="00C04CDD" w:rsidRDefault="00C04CDD">
      <w:pPr>
        <w:pStyle w:val="TOC2"/>
        <w:rPr>
          <w:rFonts w:asciiTheme="minorHAnsi" w:eastAsiaTheme="minorEastAsia" w:hAnsiTheme="minorHAnsi" w:cstheme="minorBidi"/>
          <w:kern w:val="2"/>
          <w:sz w:val="24"/>
          <w:szCs w:val="24"/>
          <w:lang w:eastAsia="zh-CN"/>
          <w14:ligatures w14:val="standardContextual"/>
        </w:rPr>
      </w:pPr>
      <w:hyperlink w:anchor="_Toc211004646" w:history="1">
        <w:r w:rsidRPr="00621431">
          <w:rPr>
            <w:rStyle w:val="af7"/>
            <w:rFonts w:eastAsia="Cambria"/>
            <w:lang w:val="pt-BR"/>
          </w:rPr>
          <w:t>5. Taxas desproporcionais de acesso a educadores (seção 1111(g)(1)(B) da ESEA)</w:t>
        </w:r>
        <w:r>
          <w:rPr>
            <w:webHidden/>
          </w:rPr>
          <w:tab/>
        </w:r>
        <w:r>
          <w:rPr>
            <w:webHidden/>
          </w:rPr>
          <w:fldChar w:fldCharType="begin"/>
        </w:r>
        <w:r>
          <w:rPr>
            <w:webHidden/>
          </w:rPr>
          <w:instrText xml:space="preserve"> PAGEREF _Toc211004646 \h </w:instrText>
        </w:r>
        <w:r>
          <w:rPr>
            <w:webHidden/>
          </w:rPr>
        </w:r>
        <w:r>
          <w:rPr>
            <w:webHidden/>
          </w:rPr>
          <w:fldChar w:fldCharType="separate"/>
        </w:r>
        <w:r>
          <w:rPr>
            <w:webHidden/>
          </w:rPr>
          <w:t>83</w:t>
        </w:r>
        <w:r>
          <w:rPr>
            <w:webHidden/>
          </w:rPr>
          <w:fldChar w:fldCharType="end"/>
        </w:r>
      </w:hyperlink>
    </w:p>
    <w:p w14:paraId="33C1AE37" w14:textId="7657A1A6" w:rsidR="00C04CDD" w:rsidRDefault="00C04CDD">
      <w:pPr>
        <w:pStyle w:val="TOC2"/>
        <w:rPr>
          <w:rFonts w:asciiTheme="minorHAnsi" w:eastAsiaTheme="minorEastAsia" w:hAnsiTheme="minorHAnsi" w:cstheme="minorBidi"/>
          <w:kern w:val="2"/>
          <w:sz w:val="24"/>
          <w:szCs w:val="24"/>
          <w:lang w:eastAsia="zh-CN"/>
          <w14:ligatures w14:val="standardContextual"/>
        </w:rPr>
      </w:pPr>
      <w:hyperlink w:anchor="_Toc211004647" w:history="1">
        <w:r w:rsidRPr="00621431">
          <w:rPr>
            <w:rStyle w:val="af7"/>
            <w:rFonts w:eastAsia="Cambria"/>
            <w:lang w:val="pt-BR"/>
          </w:rPr>
          <w:t>6. Condições escolares (ESEA seção 1111(g)(1)(C))</w:t>
        </w:r>
        <w:r>
          <w:rPr>
            <w:webHidden/>
          </w:rPr>
          <w:tab/>
        </w:r>
        <w:r>
          <w:rPr>
            <w:webHidden/>
          </w:rPr>
          <w:fldChar w:fldCharType="begin"/>
        </w:r>
        <w:r>
          <w:rPr>
            <w:webHidden/>
          </w:rPr>
          <w:instrText xml:space="preserve"> PAGEREF _Toc211004647 \h </w:instrText>
        </w:r>
        <w:r>
          <w:rPr>
            <w:webHidden/>
          </w:rPr>
        </w:r>
        <w:r>
          <w:rPr>
            <w:webHidden/>
          </w:rPr>
          <w:fldChar w:fldCharType="separate"/>
        </w:r>
        <w:r>
          <w:rPr>
            <w:webHidden/>
          </w:rPr>
          <w:t>86</w:t>
        </w:r>
        <w:r>
          <w:rPr>
            <w:webHidden/>
          </w:rPr>
          <w:fldChar w:fldCharType="end"/>
        </w:r>
      </w:hyperlink>
    </w:p>
    <w:p w14:paraId="284530C0" w14:textId="563EAE3A" w:rsidR="00C04CDD" w:rsidRDefault="00C04CDD">
      <w:pPr>
        <w:pStyle w:val="TOC2"/>
        <w:rPr>
          <w:rFonts w:asciiTheme="minorHAnsi" w:eastAsiaTheme="minorEastAsia" w:hAnsiTheme="minorHAnsi" w:cstheme="minorBidi"/>
          <w:kern w:val="2"/>
          <w:sz w:val="24"/>
          <w:szCs w:val="24"/>
          <w:lang w:eastAsia="zh-CN"/>
          <w14:ligatures w14:val="standardContextual"/>
        </w:rPr>
      </w:pPr>
      <w:hyperlink w:anchor="_Toc211004648" w:history="1">
        <w:r w:rsidRPr="00621431">
          <w:rPr>
            <w:rStyle w:val="af7"/>
            <w:rFonts w:eastAsia="Cambria"/>
            <w:lang w:val="pt-BR"/>
          </w:rPr>
          <w:t>7. Transições escolares (seção ESEA 1111(g)(1)(D))</w:t>
        </w:r>
        <w:r>
          <w:rPr>
            <w:webHidden/>
          </w:rPr>
          <w:tab/>
        </w:r>
        <w:r>
          <w:rPr>
            <w:webHidden/>
          </w:rPr>
          <w:fldChar w:fldCharType="begin"/>
        </w:r>
        <w:r>
          <w:rPr>
            <w:webHidden/>
          </w:rPr>
          <w:instrText xml:space="preserve"> PAGEREF _Toc211004648 \h </w:instrText>
        </w:r>
        <w:r>
          <w:rPr>
            <w:webHidden/>
          </w:rPr>
        </w:r>
        <w:r>
          <w:rPr>
            <w:webHidden/>
          </w:rPr>
          <w:fldChar w:fldCharType="separate"/>
        </w:r>
        <w:r>
          <w:rPr>
            <w:webHidden/>
          </w:rPr>
          <w:t>90</w:t>
        </w:r>
        <w:r>
          <w:rPr>
            <w:webHidden/>
          </w:rPr>
          <w:fldChar w:fldCharType="end"/>
        </w:r>
      </w:hyperlink>
    </w:p>
    <w:p w14:paraId="016BF525" w14:textId="4127EA8A" w:rsidR="00C04CDD" w:rsidRDefault="00C04CDD">
      <w:pPr>
        <w:pStyle w:val="TOC1"/>
        <w:rPr>
          <w:rFonts w:asciiTheme="minorHAnsi" w:eastAsiaTheme="minorEastAsia" w:hAnsiTheme="minorHAnsi" w:cstheme="minorBidi"/>
          <w:kern w:val="2"/>
          <w:sz w:val="24"/>
          <w:szCs w:val="24"/>
          <w:lang w:eastAsia="zh-CN"/>
          <w14:ligatures w14:val="standardContextual"/>
        </w:rPr>
      </w:pPr>
      <w:hyperlink w:anchor="_Toc211004649" w:history="1">
        <w:r w:rsidRPr="00621431">
          <w:rPr>
            <w:rStyle w:val="af7"/>
            <w:rFonts w:eastAsia="Cambria"/>
            <w:lang w:val="pt-BR"/>
          </w:rPr>
          <w:t>B. Título I, Parte C: Educação de crianças migratórias</w:t>
        </w:r>
        <w:r>
          <w:rPr>
            <w:webHidden/>
          </w:rPr>
          <w:tab/>
        </w:r>
        <w:r>
          <w:rPr>
            <w:webHidden/>
          </w:rPr>
          <w:fldChar w:fldCharType="begin"/>
        </w:r>
        <w:r>
          <w:rPr>
            <w:webHidden/>
          </w:rPr>
          <w:instrText xml:space="preserve"> PAGEREF _Toc211004649 \h </w:instrText>
        </w:r>
        <w:r>
          <w:rPr>
            <w:webHidden/>
          </w:rPr>
        </w:r>
        <w:r>
          <w:rPr>
            <w:webHidden/>
          </w:rPr>
          <w:fldChar w:fldCharType="separate"/>
        </w:r>
        <w:r>
          <w:rPr>
            <w:webHidden/>
          </w:rPr>
          <w:t>92</w:t>
        </w:r>
        <w:r>
          <w:rPr>
            <w:webHidden/>
          </w:rPr>
          <w:fldChar w:fldCharType="end"/>
        </w:r>
      </w:hyperlink>
    </w:p>
    <w:p w14:paraId="25A8332E" w14:textId="1900A3CF" w:rsidR="00C04CDD" w:rsidRDefault="00C04CDD">
      <w:pPr>
        <w:pStyle w:val="TOC1"/>
        <w:rPr>
          <w:rFonts w:asciiTheme="minorHAnsi" w:eastAsiaTheme="minorEastAsia" w:hAnsiTheme="minorHAnsi" w:cstheme="minorBidi"/>
          <w:kern w:val="2"/>
          <w:sz w:val="24"/>
          <w:szCs w:val="24"/>
          <w:lang w:eastAsia="zh-CN"/>
          <w14:ligatures w14:val="standardContextual"/>
        </w:rPr>
      </w:pPr>
      <w:hyperlink w:anchor="_Toc211004650" w:history="1">
        <w:r w:rsidRPr="00621431">
          <w:rPr>
            <w:rStyle w:val="af7"/>
            <w:rFonts w:eastAsia="Cambria"/>
            <w:lang w:val="pt-BR"/>
          </w:rPr>
          <w:t>C. Título I, Parte D: Programas de prevenção e intervenção para crianças e jovens negligenciados, inadimplentes ou em risco</w:t>
        </w:r>
        <w:r>
          <w:rPr>
            <w:webHidden/>
          </w:rPr>
          <w:tab/>
        </w:r>
        <w:r>
          <w:rPr>
            <w:webHidden/>
          </w:rPr>
          <w:fldChar w:fldCharType="begin"/>
        </w:r>
        <w:r>
          <w:rPr>
            <w:webHidden/>
          </w:rPr>
          <w:instrText xml:space="preserve"> PAGEREF _Toc211004650 \h </w:instrText>
        </w:r>
        <w:r>
          <w:rPr>
            <w:webHidden/>
          </w:rPr>
        </w:r>
        <w:r>
          <w:rPr>
            <w:webHidden/>
          </w:rPr>
          <w:fldChar w:fldCharType="separate"/>
        </w:r>
        <w:r>
          <w:rPr>
            <w:webHidden/>
          </w:rPr>
          <w:t>110</w:t>
        </w:r>
        <w:r>
          <w:rPr>
            <w:webHidden/>
          </w:rPr>
          <w:fldChar w:fldCharType="end"/>
        </w:r>
      </w:hyperlink>
    </w:p>
    <w:p w14:paraId="40C04208" w14:textId="2E3A52DD" w:rsidR="00C04CDD" w:rsidRDefault="00C04CDD">
      <w:pPr>
        <w:pStyle w:val="TOC1"/>
        <w:rPr>
          <w:rFonts w:asciiTheme="minorHAnsi" w:eastAsiaTheme="minorEastAsia" w:hAnsiTheme="minorHAnsi" w:cstheme="minorBidi"/>
          <w:kern w:val="2"/>
          <w:sz w:val="24"/>
          <w:szCs w:val="24"/>
          <w:lang w:eastAsia="zh-CN"/>
          <w14:ligatures w14:val="standardContextual"/>
        </w:rPr>
      </w:pPr>
      <w:hyperlink w:anchor="_Toc211004651" w:history="1">
        <w:r w:rsidRPr="00621431">
          <w:rPr>
            <w:rStyle w:val="af7"/>
            <w:rFonts w:eastAsia="Cambria"/>
            <w:lang w:val="pt-BR"/>
          </w:rPr>
          <w:t>D. Título II, Parte A: Apoio à instrução eficaz</w:t>
        </w:r>
        <w:r>
          <w:rPr>
            <w:webHidden/>
          </w:rPr>
          <w:tab/>
        </w:r>
        <w:r>
          <w:rPr>
            <w:webHidden/>
          </w:rPr>
          <w:fldChar w:fldCharType="begin"/>
        </w:r>
        <w:r>
          <w:rPr>
            <w:webHidden/>
          </w:rPr>
          <w:instrText xml:space="preserve"> PAGEREF _Toc211004651 \h </w:instrText>
        </w:r>
        <w:r>
          <w:rPr>
            <w:webHidden/>
          </w:rPr>
        </w:r>
        <w:r>
          <w:rPr>
            <w:webHidden/>
          </w:rPr>
          <w:fldChar w:fldCharType="separate"/>
        </w:r>
        <w:r>
          <w:rPr>
            <w:webHidden/>
          </w:rPr>
          <w:t>114</w:t>
        </w:r>
        <w:r>
          <w:rPr>
            <w:webHidden/>
          </w:rPr>
          <w:fldChar w:fldCharType="end"/>
        </w:r>
      </w:hyperlink>
    </w:p>
    <w:p w14:paraId="2AB1F57A" w14:textId="1FB9B1A6" w:rsidR="00C04CDD" w:rsidRDefault="00C04CDD">
      <w:pPr>
        <w:pStyle w:val="TOC1"/>
        <w:rPr>
          <w:rFonts w:asciiTheme="minorHAnsi" w:eastAsiaTheme="minorEastAsia" w:hAnsiTheme="minorHAnsi" w:cstheme="minorBidi"/>
          <w:kern w:val="2"/>
          <w:sz w:val="24"/>
          <w:szCs w:val="24"/>
          <w:lang w:eastAsia="zh-CN"/>
          <w14:ligatures w14:val="standardContextual"/>
        </w:rPr>
      </w:pPr>
      <w:hyperlink w:anchor="_Toc211004652" w:history="1">
        <w:r w:rsidRPr="00621431">
          <w:rPr>
            <w:rStyle w:val="af7"/>
            <w:rFonts w:eastAsia="Cambria"/>
            <w:lang w:val="pt-BR"/>
          </w:rPr>
          <w:t>E. Título III, Parte A, Subparte 1: Aquisição e aprimoramento do idioma inglês</w:t>
        </w:r>
        <w:r>
          <w:rPr>
            <w:webHidden/>
          </w:rPr>
          <w:tab/>
        </w:r>
        <w:r>
          <w:rPr>
            <w:webHidden/>
          </w:rPr>
          <w:fldChar w:fldCharType="begin"/>
        </w:r>
        <w:r>
          <w:rPr>
            <w:webHidden/>
          </w:rPr>
          <w:instrText xml:space="preserve"> PAGEREF _Toc211004652 \h </w:instrText>
        </w:r>
        <w:r>
          <w:rPr>
            <w:webHidden/>
          </w:rPr>
        </w:r>
        <w:r>
          <w:rPr>
            <w:webHidden/>
          </w:rPr>
          <w:fldChar w:fldCharType="separate"/>
        </w:r>
        <w:r>
          <w:rPr>
            <w:webHidden/>
          </w:rPr>
          <w:t>122</w:t>
        </w:r>
        <w:r>
          <w:rPr>
            <w:webHidden/>
          </w:rPr>
          <w:fldChar w:fldCharType="end"/>
        </w:r>
      </w:hyperlink>
    </w:p>
    <w:p w14:paraId="08230CE9" w14:textId="101C6D28" w:rsidR="00C04CDD" w:rsidRDefault="00C04CDD">
      <w:pPr>
        <w:pStyle w:val="TOC1"/>
        <w:rPr>
          <w:rFonts w:asciiTheme="minorHAnsi" w:eastAsiaTheme="minorEastAsia" w:hAnsiTheme="minorHAnsi" w:cstheme="minorBidi"/>
          <w:kern w:val="2"/>
          <w:sz w:val="24"/>
          <w:szCs w:val="24"/>
          <w:lang w:eastAsia="zh-CN"/>
          <w14:ligatures w14:val="standardContextual"/>
        </w:rPr>
      </w:pPr>
      <w:hyperlink w:anchor="_Toc211004653" w:history="1">
        <w:r w:rsidRPr="00621431">
          <w:rPr>
            <w:rStyle w:val="af7"/>
            <w:rFonts w:eastAsia="Cambria"/>
            <w:lang w:val="pt-BR"/>
          </w:rPr>
          <w:t>F. Título IV, Parte A: Subsídios de apoio ao aluno e enriquecimento acadêmico</w:t>
        </w:r>
        <w:r>
          <w:rPr>
            <w:webHidden/>
          </w:rPr>
          <w:tab/>
        </w:r>
        <w:r>
          <w:rPr>
            <w:webHidden/>
          </w:rPr>
          <w:fldChar w:fldCharType="begin"/>
        </w:r>
        <w:r>
          <w:rPr>
            <w:webHidden/>
          </w:rPr>
          <w:instrText xml:space="preserve"> PAGEREF _Toc211004653 \h </w:instrText>
        </w:r>
        <w:r>
          <w:rPr>
            <w:webHidden/>
          </w:rPr>
        </w:r>
        <w:r>
          <w:rPr>
            <w:webHidden/>
          </w:rPr>
          <w:fldChar w:fldCharType="separate"/>
        </w:r>
        <w:r>
          <w:rPr>
            <w:webHidden/>
          </w:rPr>
          <w:t>133</w:t>
        </w:r>
        <w:r>
          <w:rPr>
            <w:webHidden/>
          </w:rPr>
          <w:fldChar w:fldCharType="end"/>
        </w:r>
      </w:hyperlink>
    </w:p>
    <w:p w14:paraId="43B2F3FA" w14:textId="53BF1E94" w:rsidR="00C04CDD" w:rsidRDefault="00C04CDD">
      <w:pPr>
        <w:pStyle w:val="TOC1"/>
        <w:rPr>
          <w:rFonts w:asciiTheme="minorHAnsi" w:eastAsiaTheme="minorEastAsia" w:hAnsiTheme="minorHAnsi" w:cstheme="minorBidi"/>
          <w:kern w:val="2"/>
          <w:sz w:val="24"/>
          <w:szCs w:val="24"/>
          <w:lang w:eastAsia="zh-CN"/>
          <w14:ligatures w14:val="standardContextual"/>
        </w:rPr>
      </w:pPr>
      <w:hyperlink w:anchor="_Toc211004654" w:history="1">
        <w:r w:rsidRPr="00621431">
          <w:rPr>
            <w:rStyle w:val="af7"/>
            <w:rFonts w:eastAsia="Cambria"/>
            <w:lang w:val="pt-BR"/>
          </w:rPr>
          <w:t>G. Título IV, Parte B: Centros de aprendizagem comunitários Nita M. Lowey do século XXI</w:t>
        </w:r>
        <w:r>
          <w:rPr>
            <w:webHidden/>
          </w:rPr>
          <w:tab/>
        </w:r>
        <w:r>
          <w:rPr>
            <w:webHidden/>
          </w:rPr>
          <w:fldChar w:fldCharType="begin"/>
        </w:r>
        <w:r>
          <w:rPr>
            <w:webHidden/>
          </w:rPr>
          <w:instrText xml:space="preserve"> PAGEREF _Toc211004654 \h </w:instrText>
        </w:r>
        <w:r>
          <w:rPr>
            <w:webHidden/>
          </w:rPr>
        </w:r>
        <w:r>
          <w:rPr>
            <w:webHidden/>
          </w:rPr>
          <w:fldChar w:fldCharType="separate"/>
        </w:r>
        <w:r>
          <w:rPr>
            <w:webHidden/>
          </w:rPr>
          <w:t>136</w:t>
        </w:r>
        <w:r>
          <w:rPr>
            <w:webHidden/>
          </w:rPr>
          <w:fldChar w:fldCharType="end"/>
        </w:r>
      </w:hyperlink>
    </w:p>
    <w:p w14:paraId="4346938A" w14:textId="1D8BDD29" w:rsidR="00C04CDD" w:rsidRDefault="00C04CDD">
      <w:pPr>
        <w:pStyle w:val="TOC1"/>
        <w:rPr>
          <w:rFonts w:asciiTheme="minorHAnsi" w:eastAsiaTheme="minorEastAsia" w:hAnsiTheme="minorHAnsi" w:cstheme="minorBidi"/>
          <w:kern w:val="2"/>
          <w:sz w:val="24"/>
          <w:szCs w:val="24"/>
          <w:lang w:eastAsia="zh-CN"/>
          <w14:ligatures w14:val="standardContextual"/>
        </w:rPr>
      </w:pPr>
      <w:hyperlink w:anchor="_Toc211004655" w:history="1">
        <w:r w:rsidRPr="00621431">
          <w:rPr>
            <w:rStyle w:val="af7"/>
            <w:rFonts w:eastAsia="Cambria"/>
            <w:lang w:val="pt-BR"/>
          </w:rPr>
          <w:t>H. Título V, Parte B, Subparte 2: Programa escolar rural e de baixa renda</w:t>
        </w:r>
        <w:r>
          <w:rPr>
            <w:webHidden/>
          </w:rPr>
          <w:tab/>
        </w:r>
        <w:r>
          <w:rPr>
            <w:webHidden/>
          </w:rPr>
          <w:fldChar w:fldCharType="begin"/>
        </w:r>
        <w:r>
          <w:rPr>
            <w:webHidden/>
          </w:rPr>
          <w:instrText xml:space="preserve"> PAGEREF _Toc211004655 \h </w:instrText>
        </w:r>
        <w:r>
          <w:rPr>
            <w:webHidden/>
          </w:rPr>
        </w:r>
        <w:r>
          <w:rPr>
            <w:webHidden/>
          </w:rPr>
          <w:fldChar w:fldCharType="separate"/>
        </w:r>
        <w:r>
          <w:rPr>
            <w:webHidden/>
          </w:rPr>
          <w:t>141</w:t>
        </w:r>
        <w:r>
          <w:rPr>
            <w:webHidden/>
          </w:rPr>
          <w:fldChar w:fldCharType="end"/>
        </w:r>
      </w:hyperlink>
    </w:p>
    <w:p w14:paraId="0596E72F" w14:textId="29169B50" w:rsidR="00C04CDD" w:rsidRDefault="00C04CDD">
      <w:pPr>
        <w:pStyle w:val="TOC1"/>
        <w:rPr>
          <w:rFonts w:asciiTheme="minorHAnsi" w:eastAsiaTheme="minorEastAsia" w:hAnsiTheme="minorHAnsi" w:cstheme="minorBidi"/>
          <w:kern w:val="2"/>
          <w:sz w:val="24"/>
          <w:szCs w:val="24"/>
          <w:lang w:eastAsia="zh-CN"/>
          <w14:ligatures w14:val="standardContextual"/>
        </w:rPr>
      </w:pPr>
      <w:hyperlink w:anchor="_Toc211004656" w:history="1">
        <w:r w:rsidRPr="00621431">
          <w:rPr>
            <w:rStyle w:val="af7"/>
            <w:rFonts w:eastAsia="Cambria"/>
            <w:lang w:val="pt-BR"/>
          </w:rPr>
          <w:t>I. Programa de educação para crianças e jovens sem-teto, McKinney-Vento Homeless Assistance Act, Título VII, Subtítulo B</w:t>
        </w:r>
        <w:r>
          <w:rPr>
            <w:webHidden/>
          </w:rPr>
          <w:tab/>
        </w:r>
        <w:r>
          <w:rPr>
            <w:webHidden/>
          </w:rPr>
          <w:fldChar w:fldCharType="begin"/>
        </w:r>
        <w:r>
          <w:rPr>
            <w:webHidden/>
          </w:rPr>
          <w:instrText xml:space="preserve"> PAGEREF _Toc211004656 \h </w:instrText>
        </w:r>
        <w:r>
          <w:rPr>
            <w:webHidden/>
          </w:rPr>
        </w:r>
        <w:r>
          <w:rPr>
            <w:webHidden/>
          </w:rPr>
          <w:fldChar w:fldCharType="separate"/>
        </w:r>
        <w:r>
          <w:rPr>
            <w:webHidden/>
          </w:rPr>
          <w:t>143</w:t>
        </w:r>
        <w:r>
          <w:rPr>
            <w:webHidden/>
          </w:rPr>
          <w:fldChar w:fldCharType="end"/>
        </w:r>
      </w:hyperlink>
    </w:p>
    <w:p w14:paraId="092FA595" w14:textId="0AAC8C67" w:rsidR="00C04CDD" w:rsidRDefault="00C04CDD">
      <w:pPr>
        <w:pStyle w:val="TOC1"/>
        <w:rPr>
          <w:rFonts w:asciiTheme="minorHAnsi" w:eastAsiaTheme="minorEastAsia" w:hAnsiTheme="minorHAnsi" w:cstheme="minorBidi"/>
          <w:kern w:val="2"/>
          <w:sz w:val="24"/>
          <w:szCs w:val="24"/>
          <w:lang w:eastAsia="zh-CN"/>
          <w14:ligatures w14:val="standardContextual"/>
        </w:rPr>
      </w:pPr>
      <w:hyperlink w:anchor="_Toc211004657" w:history="1">
        <w:r w:rsidRPr="00621431">
          <w:rPr>
            <w:rStyle w:val="af7"/>
            <w:rFonts w:eastAsia="Cambria"/>
            <w:lang w:val="pt-BR"/>
          </w:rPr>
          <w:t>Anexo A: Medições do progresso provisório</w:t>
        </w:r>
        <w:r>
          <w:rPr>
            <w:webHidden/>
          </w:rPr>
          <w:tab/>
        </w:r>
        <w:r>
          <w:rPr>
            <w:webHidden/>
          </w:rPr>
          <w:fldChar w:fldCharType="begin"/>
        </w:r>
        <w:r>
          <w:rPr>
            <w:webHidden/>
          </w:rPr>
          <w:instrText xml:space="preserve"> PAGEREF _Toc211004657 \h </w:instrText>
        </w:r>
        <w:r>
          <w:rPr>
            <w:webHidden/>
          </w:rPr>
        </w:r>
        <w:r>
          <w:rPr>
            <w:webHidden/>
          </w:rPr>
          <w:fldChar w:fldCharType="separate"/>
        </w:r>
        <w:r>
          <w:rPr>
            <w:webHidden/>
          </w:rPr>
          <w:t>151</w:t>
        </w:r>
        <w:r>
          <w:rPr>
            <w:webHidden/>
          </w:rPr>
          <w:fldChar w:fldCharType="end"/>
        </w:r>
      </w:hyperlink>
    </w:p>
    <w:p w14:paraId="03EFFEC1" w14:textId="6AC9057C" w:rsidR="00C04CDD" w:rsidRDefault="00C04CDD">
      <w:pPr>
        <w:pStyle w:val="TOC1"/>
        <w:rPr>
          <w:rFonts w:asciiTheme="minorHAnsi" w:eastAsiaTheme="minorEastAsia" w:hAnsiTheme="minorHAnsi" w:cstheme="minorBidi"/>
          <w:kern w:val="2"/>
          <w:sz w:val="24"/>
          <w:szCs w:val="24"/>
          <w:lang w:eastAsia="zh-CN"/>
          <w14:ligatures w14:val="standardContextual"/>
        </w:rPr>
      </w:pPr>
      <w:hyperlink w:anchor="_Toc211004658" w:history="1">
        <w:r w:rsidRPr="00621431">
          <w:rPr>
            <w:rStyle w:val="af7"/>
            <w:rFonts w:eastAsia="Cambria"/>
            <w:lang w:val="pt-BR"/>
          </w:rPr>
          <w:t>Anexo B: Lei de Disposições Gerais de Educação (Seção 427)</w:t>
        </w:r>
        <w:r>
          <w:rPr>
            <w:webHidden/>
          </w:rPr>
          <w:tab/>
        </w:r>
        <w:r>
          <w:rPr>
            <w:webHidden/>
          </w:rPr>
          <w:fldChar w:fldCharType="begin"/>
        </w:r>
        <w:r>
          <w:rPr>
            <w:webHidden/>
          </w:rPr>
          <w:instrText xml:space="preserve"> PAGEREF _Toc211004658 \h </w:instrText>
        </w:r>
        <w:r>
          <w:rPr>
            <w:webHidden/>
          </w:rPr>
        </w:r>
        <w:r>
          <w:rPr>
            <w:webHidden/>
          </w:rPr>
          <w:fldChar w:fldCharType="separate"/>
        </w:r>
        <w:r>
          <w:rPr>
            <w:webHidden/>
          </w:rPr>
          <w:t>157</w:t>
        </w:r>
        <w:r>
          <w:rPr>
            <w:webHidden/>
          </w:rPr>
          <w:fldChar w:fldCharType="end"/>
        </w:r>
      </w:hyperlink>
    </w:p>
    <w:p w14:paraId="290CD961" w14:textId="1D455524" w:rsidR="00C04CDD" w:rsidRDefault="00C04CDD">
      <w:pPr>
        <w:pStyle w:val="TOC1"/>
        <w:rPr>
          <w:rFonts w:asciiTheme="minorHAnsi" w:eastAsiaTheme="minorEastAsia" w:hAnsiTheme="minorHAnsi" w:cstheme="minorBidi"/>
          <w:kern w:val="2"/>
          <w:sz w:val="24"/>
          <w:szCs w:val="24"/>
          <w:lang w:eastAsia="zh-CN"/>
          <w14:ligatures w14:val="standardContextual"/>
        </w:rPr>
      </w:pPr>
      <w:hyperlink w:anchor="_Toc211004659" w:history="1">
        <w:r w:rsidRPr="00621431">
          <w:rPr>
            <w:rStyle w:val="af7"/>
            <w:rFonts w:eastAsia="Cambria"/>
            <w:lang w:val="pt-BR"/>
          </w:rPr>
          <w:t>Anexo C: Versões de texto dos diagramas</w:t>
        </w:r>
        <w:r>
          <w:rPr>
            <w:webHidden/>
          </w:rPr>
          <w:tab/>
        </w:r>
        <w:r>
          <w:rPr>
            <w:webHidden/>
          </w:rPr>
          <w:fldChar w:fldCharType="begin"/>
        </w:r>
        <w:r>
          <w:rPr>
            <w:webHidden/>
          </w:rPr>
          <w:instrText xml:space="preserve"> PAGEREF _Toc211004659 \h </w:instrText>
        </w:r>
        <w:r>
          <w:rPr>
            <w:webHidden/>
          </w:rPr>
        </w:r>
        <w:r>
          <w:rPr>
            <w:webHidden/>
          </w:rPr>
          <w:fldChar w:fldCharType="separate"/>
        </w:r>
        <w:r>
          <w:rPr>
            <w:webHidden/>
          </w:rPr>
          <w:t>158</w:t>
        </w:r>
        <w:r>
          <w:rPr>
            <w:webHidden/>
          </w:rPr>
          <w:fldChar w:fldCharType="end"/>
        </w:r>
      </w:hyperlink>
    </w:p>
    <w:p w14:paraId="6CFC189B" w14:textId="296D3E67" w:rsidR="00C04CDD" w:rsidRDefault="00C04CDD">
      <w:pPr>
        <w:pStyle w:val="TOC1"/>
        <w:rPr>
          <w:rFonts w:asciiTheme="minorHAnsi" w:eastAsiaTheme="minorEastAsia" w:hAnsiTheme="minorHAnsi" w:cstheme="minorBidi"/>
          <w:kern w:val="2"/>
          <w:sz w:val="24"/>
          <w:szCs w:val="24"/>
          <w:lang w:eastAsia="zh-CN"/>
          <w14:ligatures w14:val="standardContextual"/>
        </w:rPr>
      </w:pPr>
      <w:hyperlink w:anchor="_Toc211004660" w:history="1">
        <w:r w:rsidRPr="00621431">
          <w:rPr>
            <w:rStyle w:val="af7"/>
            <w:rFonts w:eastAsia="Cambria"/>
            <w:lang w:val="pt-BR"/>
          </w:rPr>
          <w:t>Anexo D: Envolvimento de partes interessadas externas</w:t>
        </w:r>
        <w:r>
          <w:rPr>
            <w:webHidden/>
          </w:rPr>
          <w:tab/>
        </w:r>
        <w:r>
          <w:rPr>
            <w:webHidden/>
          </w:rPr>
          <w:fldChar w:fldCharType="begin"/>
        </w:r>
        <w:r>
          <w:rPr>
            <w:webHidden/>
          </w:rPr>
          <w:instrText xml:space="preserve"> PAGEREF _Toc211004660 \h </w:instrText>
        </w:r>
        <w:r>
          <w:rPr>
            <w:webHidden/>
          </w:rPr>
        </w:r>
        <w:r>
          <w:rPr>
            <w:webHidden/>
          </w:rPr>
          <w:fldChar w:fldCharType="separate"/>
        </w:r>
        <w:r>
          <w:rPr>
            <w:webHidden/>
          </w:rPr>
          <w:t>159</w:t>
        </w:r>
        <w:r>
          <w:rPr>
            <w:webHidden/>
          </w:rPr>
          <w:fldChar w:fldCharType="end"/>
        </w:r>
      </w:hyperlink>
    </w:p>
    <w:p w14:paraId="04EBAC2F" w14:textId="1E48DF42" w:rsidR="00856537" w:rsidRPr="0083645B" w:rsidRDefault="00000000" w:rsidP="0083645B">
      <w:pPr>
        <w:spacing w:after="0"/>
        <w:rPr>
          <w:sz w:val="10"/>
          <w:szCs w:val="10"/>
        </w:rPr>
      </w:pPr>
      <w:r w:rsidRPr="0083645B">
        <w:rPr>
          <w:rFonts w:cs="Times New Roman"/>
        </w:rPr>
        <w:fldChar w:fldCharType="end"/>
      </w:r>
    </w:p>
    <w:p w14:paraId="4078D25A" w14:textId="77777777" w:rsidR="00856537" w:rsidRPr="0083645B" w:rsidRDefault="00856537" w:rsidP="0083645B">
      <w:pPr>
        <w:spacing w:after="0"/>
        <w:rPr>
          <w:sz w:val="10"/>
          <w:szCs w:val="10"/>
        </w:rPr>
        <w:sectPr w:rsidR="00856537" w:rsidRPr="0083645B" w:rsidSect="00A44A2F">
          <w:pgSz w:w="12240" w:h="15840"/>
          <w:pgMar w:top="1440" w:right="1440" w:bottom="1440" w:left="1440" w:header="720" w:footer="720" w:gutter="0"/>
          <w:pgNumType w:start="1"/>
          <w:cols w:space="720"/>
          <w:titlePg/>
          <w:docGrid w:linePitch="360"/>
        </w:sectPr>
      </w:pPr>
    </w:p>
    <w:p w14:paraId="762AAB9F" w14:textId="0CE060DC" w:rsidR="006415C4" w:rsidRPr="00CC1CB4" w:rsidRDefault="00000000" w:rsidP="00A930B6">
      <w:pPr>
        <w:pStyle w:val="1"/>
        <w:rPr>
          <w:lang w:val="es-ES"/>
        </w:rPr>
      </w:pPr>
      <w:bookmarkStart w:id="30" w:name="_Toc211004632"/>
      <w:r>
        <w:rPr>
          <w:rFonts w:eastAsia="Cambria"/>
          <w:szCs w:val="36"/>
          <w:lang w:val="pt-BR"/>
        </w:rPr>
        <w:lastRenderedPageBreak/>
        <w:t>Introdução</w:t>
      </w:r>
      <w:bookmarkEnd w:id="29"/>
      <w:bookmarkEnd w:id="30"/>
    </w:p>
    <w:p w14:paraId="5E06E64D" w14:textId="77777777" w:rsidR="00426AA4" w:rsidRPr="00CC1CB4" w:rsidRDefault="00000000" w:rsidP="00426AA4">
      <w:pPr>
        <w:rPr>
          <w:rFonts w:eastAsia="Calibri" w:cs="Times New Roman"/>
          <w:lang w:val="es-ES"/>
        </w:rPr>
      </w:pPr>
      <w:r>
        <w:rPr>
          <w:rFonts w:eastAsia="Times New Roman" w:cs="Times New Roman"/>
          <w:lang w:val="pt-BR"/>
        </w:rPr>
        <w:t xml:space="preserve">O objetivo da ESSA, “garantir que todos os alunos tenham acesso equitativo a recursos e oportunidades educacionais de alta qualidade, bem como completar lacunas de realizações educacionais”, está alinhado com o compromisso de Nova Jersey de investir e melhorar continuamente seu sistema de educação pública. O Plano estadual da ESSA descreve algumas das maneiras pelas quais Nova Jersey garantirá que os grupos de estudantes que historicamente tiveram desvantagem recebam o apoio educacional necessário para prosperar. As informações no plano descrevem as prioridades e a abordagem de Nova Jersey para garantir o sucesso de todos os alunos. </w:t>
      </w:r>
    </w:p>
    <w:p w14:paraId="49BDF568" w14:textId="77777777" w:rsidR="00693DD2" w:rsidRPr="00CC1CB4" w:rsidRDefault="00000000" w:rsidP="00693DD2">
      <w:pPr>
        <w:rPr>
          <w:rFonts w:eastAsia="Calibri" w:cs="Times New Roman"/>
          <w:lang w:val="es-ES"/>
        </w:rPr>
      </w:pPr>
      <w:r>
        <w:rPr>
          <w:rFonts w:eastAsia="Times New Roman" w:cs="Times New Roman"/>
          <w:lang w:val="pt-BR"/>
        </w:rPr>
        <w:t>Uma maneira importante de o NJDOE garantir que todos os alunos, independentemente de seu CEP, dados demográficos ou necessidades de aprendizagem discretas, recebam uma educação de alta qualidade é através do sistema de responsabilidade da ESSA descrito neste plano. De acordo com a ESSA, as escolas identificadas para apoio abrangente ou direcionado recebem apoio fiscal adicional e orientação do NJDOE. Para entender as necessidades específicas dos alunos, identificar as causas-raiz das lacunas de desempenho e avaliar a eficácia das práticas educacionais, dados adicionais e informações úteis são necessários. Assim, o NJDOE colabora diligentemente com a escola e os líderes da LEA para melhorar os sistemas de análise e monitoramento de progresso para apoiar a escola e a melhoria da LEA.</w:t>
      </w:r>
      <w:r>
        <w:rPr>
          <w:rFonts w:eastAsia="Times New Roman" w:cs="Times New Roman"/>
          <w:b/>
          <w:bCs/>
          <w:lang w:val="pt-BR"/>
        </w:rPr>
        <w:t xml:space="preserve"> </w:t>
      </w:r>
    </w:p>
    <w:p w14:paraId="177C8408" w14:textId="77777777" w:rsidR="003E5DD0" w:rsidRPr="00CC1CB4" w:rsidRDefault="00000000" w:rsidP="003E5DD0">
      <w:pPr>
        <w:rPr>
          <w:rFonts w:eastAsia="Calibri" w:cs="Times New Roman"/>
          <w:lang w:val="es-ES"/>
        </w:rPr>
      </w:pPr>
      <w:r>
        <w:rPr>
          <w:rFonts w:eastAsia="Times New Roman" w:cs="Times New Roman"/>
          <w:lang w:val="pt-BR"/>
        </w:rPr>
        <w:t xml:space="preserve">Nos últimos anos, New Jersey fez avanços significativos no investimento em suas escolas públicas, priorizando áreas importantes para melhorar a qualidade da educação e o bem-estar dos alunos. Mais notavelmente, em 2024, o Estado estava no ritmo certo para financiar totalmente a fórmula de financiamento escolar de Nova Jersey pela primeira vez desde que a auxílio estadual do jardim de infância ao 12º ano, a Lei de Reforma de Financiamento Escolar, foi promulgada. O Estado fornecerá 11,7 bilhões de dólares de auxílio estadual para suas escolas públicas, que respondem por mais de um quinto de todo o orçamento estadual. Nova Jersey é líder em seus investimentos educacionais robustos e focados no aluno. Com esses investimentos, vem uma grande responsabilidade de continuar a oferecer educação da mais alta qualidade possível para todos os alunos e garantir que esses recursos sejam distribuídos de forma equitativa. </w:t>
      </w:r>
    </w:p>
    <w:p w14:paraId="1EE1D3F1" w14:textId="77777777" w:rsidR="00426AA4" w:rsidRPr="00CC1CB4" w:rsidRDefault="00000000" w:rsidP="00426AA4">
      <w:pPr>
        <w:rPr>
          <w:rFonts w:eastAsia="Calibri" w:cs="Times New Roman"/>
          <w:lang w:val="es-ES"/>
        </w:rPr>
      </w:pPr>
      <w:r>
        <w:rPr>
          <w:rFonts w:eastAsia="Times New Roman" w:cs="Times New Roman"/>
          <w:lang w:val="pt-BR"/>
        </w:rPr>
        <w:t>Além de apoiar todos os estudantes de Nova Jersey aumentando o financiamento da educação estadual nos últimos anos, a administração do governador Murphy também priorizou os seguintes investimentos:</w:t>
      </w:r>
    </w:p>
    <w:p w14:paraId="588C7E65" w14:textId="77777777" w:rsidR="007047DD" w:rsidRPr="00CC1CB4" w:rsidRDefault="00000000" w:rsidP="00856537">
      <w:pPr>
        <w:pStyle w:val="A20"/>
      </w:pPr>
      <w:bookmarkStart w:id="31" w:name="_Toc171333271"/>
      <w:bookmarkStart w:id="32" w:name="_Toc199403563"/>
      <w:bookmarkStart w:id="33" w:name="_Toc199403666"/>
      <w:r>
        <w:t>Expansão da pré-escola de alta qualidade</w:t>
      </w:r>
      <w:bookmarkEnd w:id="31"/>
      <w:bookmarkEnd w:id="32"/>
      <w:bookmarkEnd w:id="33"/>
    </w:p>
    <w:p w14:paraId="20D9CB39" w14:textId="77777777" w:rsidR="00426AA4" w:rsidRPr="00CC1CB4" w:rsidRDefault="00000000" w:rsidP="00426AA4">
      <w:pPr>
        <w:rPr>
          <w:rFonts w:eastAsia="Calibri" w:cs="Times New Roman"/>
          <w:lang w:val="es-ES"/>
        </w:rPr>
      </w:pPr>
      <w:r>
        <w:rPr>
          <w:rFonts w:eastAsia="Times New Roman" w:cs="Times New Roman"/>
          <w:lang w:val="pt-BR"/>
        </w:rPr>
        <w:t xml:space="preserve">Contando com o corpo de pesquisa bem estabelecido que demonstra um retorno positivo sobre o investimento proporcionado por uma educação pré-escolar de alta qualidade, Nova Jersey continua a trabalhar em direção à meta de um dia fornecer acesso universal a uma pré-escola de dia inteiro de alta qualidade para cada criança de três e quatro anos de idade no estado. </w:t>
      </w:r>
    </w:p>
    <w:p w14:paraId="5E561E13" w14:textId="77777777" w:rsidR="007047DD" w:rsidRPr="00CC1CB4" w:rsidRDefault="00000000" w:rsidP="00856537">
      <w:pPr>
        <w:pStyle w:val="A20"/>
      </w:pPr>
      <w:bookmarkStart w:id="34" w:name="_Toc171333272"/>
      <w:bookmarkStart w:id="35" w:name="_Toc199403564"/>
      <w:bookmarkStart w:id="36" w:name="_Toc199403667"/>
      <w:r>
        <w:t>Foco na saúde mental e bem-estar do aluno</w:t>
      </w:r>
      <w:bookmarkEnd w:id="34"/>
      <w:bookmarkEnd w:id="35"/>
      <w:bookmarkEnd w:id="36"/>
    </w:p>
    <w:p w14:paraId="28CCACF9" w14:textId="77777777" w:rsidR="00426AA4" w:rsidRPr="00CC1CB4" w:rsidRDefault="00000000" w:rsidP="00426AA4">
      <w:pPr>
        <w:rPr>
          <w:rFonts w:eastAsia="Calibri" w:cs="Times New Roman"/>
          <w:lang w:val="es-ES"/>
        </w:rPr>
      </w:pPr>
      <w:r>
        <w:rPr>
          <w:rFonts w:eastAsia="Times New Roman" w:cs="Times New Roman"/>
          <w:lang w:val="pt-BR"/>
        </w:rPr>
        <w:t>Reconhecendo o papel fundamental da saúde mental no sucesso dos alunos, New Jersey investiu em iniciativas projetadas para expandir e diversificar o número de profissionais de saúde mental em nossas escolas e está continuamente melhorando e expandindo a grande variedade de desenvolvimento profissional para os educadores de New Jersey.</w:t>
      </w:r>
    </w:p>
    <w:p w14:paraId="4F149FC7" w14:textId="77777777" w:rsidR="007047DD" w:rsidRPr="00CC1CB4" w:rsidRDefault="00000000" w:rsidP="00856537">
      <w:pPr>
        <w:pStyle w:val="A20"/>
      </w:pPr>
      <w:bookmarkStart w:id="37" w:name="_Toc171333273"/>
      <w:bookmarkStart w:id="38" w:name="_Toc199403565"/>
      <w:bookmarkStart w:id="39" w:name="_Toc199403668"/>
      <w:r>
        <w:lastRenderedPageBreak/>
        <w:t>Apoio à alfabetização precoce e ensino de alta intensidade</w:t>
      </w:r>
      <w:bookmarkEnd w:id="37"/>
      <w:bookmarkEnd w:id="38"/>
      <w:bookmarkEnd w:id="39"/>
    </w:p>
    <w:p w14:paraId="65426E88" w14:textId="77777777" w:rsidR="00426AA4" w:rsidRPr="00CC1CB4" w:rsidRDefault="00000000" w:rsidP="00426AA4">
      <w:pPr>
        <w:rPr>
          <w:rFonts w:eastAsia="Calibri" w:cs="Times New Roman"/>
          <w:lang w:val="es-ES"/>
        </w:rPr>
      </w:pPr>
      <w:r>
        <w:rPr>
          <w:rFonts w:eastAsia="Times New Roman" w:cs="Times New Roman"/>
          <w:lang w:val="pt-BR"/>
        </w:rPr>
        <w:t xml:space="preserve">O estado priorizou as estratégias de ensino de alta intensidade e alfabetização elementar para fornecer apoio direcionado aos alunos que estão tendo dificuldades acadêmicas. </w:t>
      </w:r>
    </w:p>
    <w:p w14:paraId="40973E0F" w14:textId="77777777" w:rsidR="007047DD" w:rsidRPr="00CC1CB4" w:rsidRDefault="00000000" w:rsidP="00856537">
      <w:pPr>
        <w:pStyle w:val="A20"/>
      </w:pPr>
      <w:bookmarkStart w:id="40" w:name="_Toc171333274"/>
      <w:bookmarkStart w:id="41" w:name="_Toc199403566"/>
      <w:bookmarkStart w:id="42" w:name="_Toc199403669"/>
      <w:r>
        <w:t>Recrutamento e retenção de uma força de trabalho educadora diversificada</w:t>
      </w:r>
      <w:bookmarkEnd w:id="40"/>
      <w:bookmarkEnd w:id="41"/>
      <w:bookmarkEnd w:id="42"/>
    </w:p>
    <w:p w14:paraId="05349973" w14:textId="77777777" w:rsidR="00426AA4" w:rsidRPr="00CC1CB4" w:rsidRDefault="00000000" w:rsidP="00426AA4">
      <w:pPr>
        <w:rPr>
          <w:rFonts w:eastAsia="Calibri" w:cs="Times New Roman"/>
          <w:lang w:val="es-ES"/>
        </w:rPr>
      </w:pPr>
      <w:r>
        <w:rPr>
          <w:rFonts w:eastAsia="Times New Roman" w:cs="Times New Roman"/>
          <w:lang w:val="pt-BR"/>
        </w:rPr>
        <w:t>Nova Jersey continua seus esforços para recrutar e reter uma força de trabalho educadora diversificada. Ao recrutar ativamente educadores de diversas origens, o estado visa criar ambientes de aprendizagem inclusivos onde todos os alunos se sintam valorizados e apoiados. O NJDOE continua comprometido em canalizar milhões de dólares para programas de subsídios que apoiem práticas promissoras e programas criados para aumentar a diversidade da força de trabalho e recrutar mais educadores para trabalhar em LEAs de alta pobreza.</w:t>
      </w:r>
    </w:p>
    <w:p w14:paraId="4DEF75A4" w14:textId="77777777" w:rsidR="00426AA4" w:rsidRPr="00CC1CB4" w:rsidRDefault="00000000" w:rsidP="00426AA4">
      <w:pPr>
        <w:rPr>
          <w:rFonts w:eastAsia="Calibri" w:cs="Times New Roman"/>
          <w:lang w:val="es-ES"/>
        </w:rPr>
      </w:pPr>
      <w:r>
        <w:rPr>
          <w:rFonts w:eastAsia="Times New Roman" w:cs="Times New Roman"/>
          <w:lang w:val="pt-BR"/>
        </w:rPr>
        <w:t>No geral, o investimento de Nova Jersey em suas escolas públicas reflete um compromisso de fornecer a todos os alunos acesso a uma educação de alta qualidade e serviços de apoio. Ao se concentrar na educação infantil, saúde mental dos alunos, alfabetização inicial, diversidade de educadores, recrutamento e retenção, o estado está trabalhando para criar um sistema de educação equitativo e inclusivo que prepare os alunos para o sucesso na escola e além.</w:t>
      </w:r>
    </w:p>
    <w:p w14:paraId="7680FC80" w14:textId="77777777" w:rsidR="00426AA4" w:rsidRPr="00CC1CB4" w:rsidRDefault="00000000" w:rsidP="00426AA4">
      <w:pPr>
        <w:rPr>
          <w:rFonts w:eastAsia="Calibri" w:cs="Times New Roman"/>
          <w:lang w:val="es-ES"/>
        </w:rPr>
      </w:pPr>
      <w:r>
        <w:rPr>
          <w:rFonts w:eastAsia="Times New Roman" w:cs="Times New Roman"/>
          <w:lang w:val="pt-BR"/>
        </w:rPr>
        <w:t xml:space="preserve">O Plano estadual da ESSA complementa essas prioridades, concentrando-se em como o NJDOE aproveita o financiamento federal (ESEA) para identificar as escolas que precisam de mais apoio e recursos em comparação com todas as escolas públicas de Nova Jersey e como o NJDOE concentra recursos para contabilizar fatores únicos que afetam um determinado grupo demográfico do aluno, como alunos em situação de rua. As páginas a seguir refletem apenas os elementos exigidos no Plano estadual da ESSA e não representam todas as iniciativas do NJDOE. </w:t>
      </w:r>
    </w:p>
    <w:p w14:paraId="4D63B83B" w14:textId="77777777" w:rsidR="00426AA4" w:rsidRPr="00CC1CB4" w:rsidRDefault="00000000" w:rsidP="7979DD68">
      <w:pPr>
        <w:rPr>
          <w:rFonts w:eastAsia="Calibri" w:cs="Times New Roman"/>
          <w:lang w:val="es-ES"/>
        </w:rPr>
      </w:pPr>
      <w:r>
        <w:rPr>
          <w:rFonts w:eastAsia="Times New Roman" w:cs="Times New Roman"/>
          <w:lang w:val="pt-BR"/>
        </w:rPr>
        <w:t xml:space="preserve">Ao longo deste plano, alguns temas principais devem surgir. Primeiro, uma função crítica do NJDOE é identificar quais escolas precisam de mais ajuda para apoiar todos os seus alunos e/ou grupos de alunos específicos. Em seguida, é responsabilidade de todas as LEAs, com o apoio do NJDOE, conforme necessário, garantir que as escolas e os alunos que mais precisam de apoio recebam esses recursos de forma equitativa. A melhoria escolar é um processo iterativo e sistemático que requer colaboração comunitária. </w:t>
      </w:r>
    </w:p>
    <w:p w14:paraId="059F817C" w14:textId="64E34297" w:rsidR="007047DD" w:rsidRPr="00082A1A" w:rsidRDefault="00CC1CB4" w:rsidP="007047DD">
      <w:pPr>
        <w:jc w:val="center"/>
        <w:rPr>
          <w:rFonts w:eastAsia="Calibri" w:cs="Times New Roman"/>
        </w:rPr>
      </w:pPr>
      <w:r>
        <w:rPr>
          <w:noProof/>
        </w:rPr>
        <w:lastRenderedPageBreak/>
        <mc:AlternateContent>
          <mc:Choice Requires="wpg">
            <w:drawing>
              <wp:anchor distT="0" distB="0" distL="114300" distR="114300" simplePos="0" relativeHeight="251693056" behindDoc="0" locked="0" layoutInCell="1" allowOverlap="1" wp14:anchorId="67A3E241" wp14:editId="07F34781">
                <wp:simplePos x="0" y="0"/>
                <wp:positionH relativeFrom="column">
                  <wp:posOffset>1188720</wp:posOffset>
                </wp:positionH>
                <wp:positionV relativeFrom="paragraph">
                  <wp:posOffset>34290</wp:posOffset>
                </wp:positionV>
                <wp:extent cx="3430270" cy="2731770"/>
                <wp:effectExtent l="0" t="0" r="0" b="0"/>
                <wp:wrapNone/>
                <wp:docPr id="33" name="Group 33"/>
                <wp:cNvGraphicFramePr/>
                <a:graphic xmlns:a="http://schemas.openxmlformats.org/drawingml/2006/main">
                  <a:graphicData uri="http://schemas.microsoft.com/office/word/2010/wordprocessingGroup">
                    <wpg:wgp>
                      <wpg:cNvGrpSpPr/>
                      <wpg:grpSpPr>
                        <a:xfrm>
                          <a:off x="0" y="0"/>
                          <a:ext cx="3430270" cy="2731770"/>
                          <a:chOff x="0" y="0"/>
                          <a:chExt cx="3430478" cy="2731782"/>
                        </a:xfrm>
                      </wpg:grpSpPr>
                      <wps:wsp>
                        <wps:cNvPr id="18" name="Text Box 18"/>
                        <wps:cNvSpPr txBox="1"/>
                        <wps:spPr>
                          <a:xfrm>
                            <a:off x="863778" y="0"/>
                            <a:ext cx="2018665" cy="123825"/>
                          </a:xfrm>
                          <a:prstGeom prst="rect">
                            <a:avLst/>
                          </a:prstGeom>
                          <a:solidFill>
                            <a:schemeClr val="bg1"/>
                          </a:solidFill>
                          <a:ln w="6350">
                            <a:noFill/>
                          </a:ln>
                        </wps:spPr>
                        <wps:txbx>
                          <w:txbxContent>
                            <w:p w14:paraId="7D69CFBD" w14:textId="77777777" w:rsidR="00802283" w:rsidRPr="00AF5819" w:rsidRDefault="00000000" w:rsidP="00802283">
                              <w:pPr>
                                <w:spacing w:after="0"/>
                                <w:jc w:val="center"/>
                                <w:rPr>
                                  <w:rFonts w:asciiTheme="minorBidi" w:hAnsiTheme="minorBidi"/>
                                  <w:b/>
                                  <w:bCs/>
                                  <w:sz w:val="14"/>
                                  <w:szCs w:val="14"/>
                                </w:rPr>
                              </w:pPr>
                              <w:r>
                                <w:rPr>
                                  <w:rFonts w:ascii="Arial" w:eastAsia="Arial" w:hAnsi="Arial" w:cs="Arial"/>
                                  <w:b/>
                                  <w:bCs/>
                                  <w:sz w:val="14"/>
                                  <w:szCs w:val="14"/>
                                  <w:lang w:val="pt-BR"/>
                                </w:rPr>
                                <w:t xml:space="preserve">O </w:t>
                              </w:r>
                              <w:r>
                                <w:rPr>
                                  <w:rFonts w:ascii="Arial" w:eastAsia="Arial" w:hAnsi="Arial" w:cs="Arial"/>
                                  <w:b/>
                                  <w:bCs/>
                                  <w:sz w:val="14"/>
                                  <w:szCs w:val="14"/>
                                  <w:lang w:val="pt-BR"/>
                                </w:rPr>
                                <w:t>ciclo de melhoria contínua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9" name="Text Box 19"/>
                        <wps:cNvSpPr txBox="1"/>
                        <wps:spPr>
                          <a:xfrm>
                            <a:off x="218736" y="308506"/>
                            <a:ext cx="884555" cy="443230"/>
                          </a:xfrm>
                          <a:prstGeom prst="rect">
                            <a:avLst/>
                          </a:prstGeom>
                          <a:solidFill>
                            <a:schemeClr val="bg1"/>
                          </a:solidFill>
                          <a:ln w="6350">
                            <a:noFill/>
                          </a:ln>
                        </wps:spPr>
                        <wps:txbx>
                          <w:txbxContent>
                            <w:p w14:paraId="223D814B" w14:textId="77777777" w:rsidR="00AF5819" w:rsidRPr="00CC1CB4" w:rsidRDefault="00000000" w:rsidP="00AF5819">
                              <w:pPr>
                                <w:spacing w:after="0"/>
                                <w:jc w:val="center"/>
                                <w:rPr>
                                  <w:rFonts w:asciiTheme="minorBidi" w:hAnsiTheme="minorBidi"/>
                                  <w:b/>
                                  <w:bCs/>
                                  <w:color w:val="08005D"/>
                                  <w:sz w:val="13"/>
                                  <w:szCs w:val="13"/>
                                  <w:lang w:val="es-ES"/>
                                </w:rPr>
                              </w:pPr>
                              <w:r>
                                <w:rPr>
                                  <w:rFonts w:ascii="Arial" w:eastAsia="Arial" w:hAnsi="Arial" w:cs="Arial"/>
                                  <w:b/>
                                  <w:bCs/>
                                  <w:color w:val="08005D"/>
                                  <w:sz w:val="13"/>
                                  <w:szCs w:val="13"/>
                                  <w:lang w:val="pt-BR"/>
                                </w:rPr>
                                <w:t>INFORMAR:</w:t>
                              </w:r>
                            </w:p>
                            <w:p w14:paraId="2C95DC7C" w14:textId="77777777" w:rsidR="00AF5819" w:rsidRPr="00CC1CB4" w:rsidRDefault="00000000" w:rsidP="00AF5819">
                              <w:pPr>
                                <w:spacing w:after="0"/>
                                <w:jc w:val="center"/>
                                <w:rPr>
                                  <w:rFonts w:asciiTheme="minorBidi" w:hAnsiTheme="minorBidi"/>
                                  <w:color w:val="08005D"/>
                                  <w:sz w:val="13"/>
                                  <w:szCs w:val="13"/>
                                  <w:lang w:val="es-ES"/>
                                </w:rPr>
                              </w:pPr>
                              <w:r>
                                <w:rPr>
                                  <w:rFonts w:ascii="Arial" w:eastAsia="Arial" w:hAnsi="Arial" w:cs="Arial"/>
                                  <w:color w:val="08005D"/>
                                  <w:sz w:val="13"/>
                                  <w:szCs w:val="13"/>
                                  <w:lang w:val="pt-BR"/>
                                </w:rPr>
                                <w:t>analisar as necessidades locais, ajustar o foco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 name="Text Box 20"/>
                        <wps:cNvSpPr txBox="1"/>
                        <wps:spPr>
                          <a:xfrm>
                            <a:off x="2675306" y="308506"/>
                            <a:ext cx="729615" cy="552450"/>
                          </a:xfrm>
                          <a:prstGeom prst="rect">
                            <a:avLst/>
                          </a:prstGeom>
                          <a:solidFill>
                            <a:schemeClr val="bg1"/>
                          </a:solidFill>
                          <a:ln w="6350">
                            <a:noFill/>
                          </a:ln>
                        </wps:spPr>
                        <wps:txbx>
                          <w:txbxContent>
                            <w:p w14:paraId="668B2496" w14:textId="77777777" w:rsidR="00AF5819" w:rsidRPr="00CC1CB4" w:rsidRDefault="00000000" w:rsidP="00AF5819">
                              <w:pPr>
                                <w:spacing w:after="0"/>
                                <w:jc w:val="center"/>
                                <w:rPr>
                                  <w:rFonts w:asciiTheme="minorBidi" w:hAnsiTheme="minorBidi"/>
                                  <w:b/>
                                  <w:bCs/>
                                  <w:color w:val="040195"/>
                                  <w:sz w:val="13"/>
                                  <w:szCs w:val="13"/>
                                  <w:lang w:val="es-ES"/>
                                </w:rPr>
                              </w:pPr>
                              <w:r>
                                <w:rPr>
                                  <w:rFonts w:ascii="Arial" w:eastAsia="Arial" w:hAnsi="Arial" w:cs="Arial"/>
                                  <w:b/>
                                  <w:bCs/>
                                  <w:color w:val="040195"/>
                                  <w:sz w:val="13"/>
                                  <w:szCs w:val="13"/>
                                  <w:lang w:val="pt-BR"/>
                                </w:rPr>
                                <w:t>SELECIONAR:</w:t>
                              </w:r>
                            </w:p>
                            <w:p w14:paraId="0307802A" w14:textId="77777777" w:rsidR="00AF5819" w:rsidRPr="00CC1CB4" w:rsidRDefault="00000000" w:rsidP="00AF5819">
                              <w:pPr>
                                <w:spacing w:after="0"/>
                                <w:jc w:val="center"/>
                                <w:rPr>
                                  <w:rFonts w:asciiTheme="minorBidi" w:hAnsiTheme="minorBidi"/>
                                  <w:color w:val="040195"/>
                                  <w:sz w:val="13"/>
                                  <w:szCs w:val="13"/>
                                  <w:lang w:val="es-ES"/>
                                </w:rPr>
                              </w:pPr>
                              <w:r>
                                <w:rPr>
                                  <w:rFonts w:ascii="Arial" w:eastAsia="Arial" w:hAnsi="Arial" w:cs="Arial"/>
                                  <w:color w:val="040195"/>
                                  <w:sz w:val="13"/>
                                  <w:szCs w:val="13"/>
                                  <w:lang w:val="pt-BR"/>
                                </w:rPr>
                                <w:t>identificar, examinar e selecionar intervenções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1" name="Text Box 21"/>
                        <wps:cNvSpPr txBox="1"/>
                        <wps:spPr>
                          <a:xfrm>
                            <a:off x="0" y="1183540"/>
                            <a:ext cx="883920" cy="443230"/>
                          </a:xfrm>
                          <a:prstGeom prst="rect">
                            <a:avLst/>
                          </a:prstGeom>
                          <a:solidFill>
                            <a:schemeClr val="bg1"/>
                          </a:solidFill>
                          <a:ln w="6350">
                            <a:noFill/>
                          </a:ln>
                        </wps:spPr>
                        <wps:txbx>
                          <w:txbxContent>
                            <w:p w14:paraId="2A8EC1D9" w14:textId="77777777" w:rsidR="00AF5819" w:rsidRPr="00CC1CB4" w:rsidRDefault="00000000" w:rsidP="00AF5819">
                              <w:pPr>
                                <w:spacing w:after="0"/>
                                <w:jc w:val="center"/>
                                <w:rPr>
                                  <w:rFonts w:asciiTheme="minorBidi" w:hAnsiTheme="minorBidi"/>
                                  <w:b/>
                                  <w:bCs/>
                                  <w:color w:val="902790"/>
                                  <w:sz w:val="13"/>
                                  <w:szCs w:val="13"/>
                                  <w:lang w:val="es-ES"/>
                                </w:rPr>
                              </w:pPr>
                              <w:r>
                                <w:rPr>
                                  <w:rFonts w:ascii="Arial" w:eastAsia="Arial" w:hAnsi="Arial" w:cs="Arial"/>
                                  <w:b/>
                                  <w:bCs/>
                                  <w:color w:val="902790"/>
                                  <w:sz w:val="13"/>
                                  <w:szCs w:val="13"/>
                                  <w:lang w:val="pt-BR"/>
                                </w:rPr>
                                <w:t>ANALISAR:</w:t>
                              </w:r>
                            </w:p>
                            <w:p w14:paraId="41AF64BE" w14:textId="77777777" w:rsidR="00AF5819" w:rsidRPr="00CC1CB4" w:rsidRDefault="00000000" w:rsidP="00AF5819">
                              <w:pPr>
                                <w:spacing w:after="0"/>
                                <w:jc w:val="center"/>
                                <w:rPr>
                                  <w:rFonts w:asciiTheme="minorBidi" w:hAnsiTheme="minorBidi"/>
                                  <w:color w:val="902790"/>
                                  <w:sz w:val="13"/>
                                  <w:szCs w:val="13"/>
                                  <w:lang w:val="es-ES"/>
                                </w:rPr>
                              </w:pPr>
                              <w:r>
                                <w:rPr>
                                  <w:rFonts w:ascii="Arial" w:eastAsia="Arial" w:hAnsi="Arial" w:cs="Arial"/>
                                  <w:color w:val="902790"/>
                                  <w:sz w:val="13"/>
                                  <w:szCs w:val="13"/>
                                  <w:lang w:val="pt-BR"/>
                                </w:rPr>
                                <w:t>realizar avaliação sumativa de desempenho e eficácia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2" name="Text Box 22"/>
                        <wps:cNvSpPr txBox="1"/>
                        <wps:spPr>
                          <a:xfrm>
                            <a:off x="2798653" y="1194801"/>
                            <a:ext cx="631825" cy="443230"/>
                          </a:xfrm>
                          <a:prstGeom prst="rect">
                            <a:avLst/>
                          </a:prstGeom>
                          <a:solidFill>
                            <a:schemeClr val="bg1"/>
                          </a:solidFill>
                          <a:ln w="6350">
                            <a:noFill/>
                          </a:ln>
                        </wps:spPr>
                        <wps:txbx>
                          <w:txbxContent>
                            <w:p w14:paraId="48141061" w14:textId="77777777" w:rsidR="002B0EDA" w:rsidRPr="002B0EDA" w:rsidRDefault="00000000" w:rsidP="002B0EDA">
                              <w:pPr>
                                <w:spacing w:after="0"/>
                                <w:jc w:val="center"/>
                                <w:rPr>
                                  <w:rFonts w:asciiTheme="minorBidi" w:hAnsiTheme="minorBidi"/>
                                  <w:b/>
                                  <w:bCs/>
                                  <w:color w:val="6623FF"/>
                                  <w:sz w:val="13"/>
                                  <w:szCs w:val="13"/>
                                </w:rPr>
                              </w:pPr>
                              <w:r>
                                <w:rPr>
                                  <w:rFonts w:ascii="Arial" w:eastAsia="Arial" w:hAnsi="Arial" w:cs="Arial"/>
                                  <w:b/>
                                  <w:bCs/>
                                  <w:color w:val="6623FF"/>
                                  <w:sz w:val="13"/>
                                  <w:szCs w:val="13"/>
                                  <w:lang w:val="pt-BR"/>
                                </w:rPr>
                                <w:t>PLANO:</w:t>
                              </w:r>
                            </w:p>
                            <w:p w14:paraId="44C527EA" w14:textId="77777777" w:rsidR="002B0EDA" w:rsidRPr="002B0EDA" w:rsidRDefault="00000000" w:rsidP="002B0EDA">
                              <w:pPr>
                                <w:spacing w:after="0"/>
                                <w:jc w:val="center"/>
                                <w:rPr>
                                  <w:rFonts w:asciiTheme="minorBidi" w:hAnsiTheme="minorBidi"/>
                                  <w:color w:val="6623FF"/>
                                  <w:sz w:val="13"/>
                                  <w:szCs w:val="13"/>
                                </w:rPr>
                              </w:pPr>
                              <w:r>
                                <w:rPr>
                                  <w:rFonts w:ascii="Arial" w:eastAsia="Arial" w:hAnsi="Arial" w:cs="Arial"/>
                                  <w:color w:val="6623FF"/>
                                  <w:sz w:val="13"/>
                                  <w:szCs w:val="13"/>
                                  <w:lang w:val="pt-BR"/>
                                </w:rPr>
                                <w:t>desenvolver estratégias de implementação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3" name="Text Box 23"/>
                        <wps:cNvSpPr txBox="1"/>
                        <wps:spPr>
                          <a:xfrm>
                            <a:off x="1256447" y="2288552"/>
                            <a:ext cx="1177925" cy="443230"/>
                          </a:xfrm>
                          <a:prstGeom prst="rect">
                            <a:avLst/>
                          </a:prstGeom>
                          <a:solidFill>
                            <a:schemeClr val="bg1"/>
                          </a:solidFill>
                          <a:ln w="6350">
                            <a:noFill/>
                          </a:ln>
                        </wps:spPr>
                        <wps:txbx>
                          <w:txbxContent>
                            <w:p w14:paraId="3E079615" w14:textId="77777777" w:rsidR="00336FC5" w:rsidRPr="00C04CDD" w:rsidRDefault="00000000" w:rsidP="00336FC5">
                              <w:pPr>
                                <w:spacing w:after="0"/>
                                <w:jc w:val="center"/>
                                <w:rPr>
                                  <w:rFonts w:asciiTheme="minorBidi" w:hAnsiTheme="minorBidi"/>
                                  <w:b/>
                                  <w:bCs/>
                                  <w:color w:val="6D2E86"/>
                                  <w:sz w:val="13"/>
                                  <w:szCs w:val="13"/>
                                  <w:lang w:val="fr-FR"/>
                                </w:rPr>
                              </w:pPr>
                              <w:r>
                                <w:rPr>
                                  <w:rFonts w:ascii="Arial" w:eastAsia="Arial" w:hAnsi="Arial" w:cs="Arial"/>
                                  <w:b/>
                                  <w:bCs/>
                                  <w:color w:val="6D2E86"/>
                                  <w:sz w:val="13"/>
                                  <w:szCs w:val="13"/>
                                  <w:lang w:val="pt-BR"/>
                                </w:rPr>
                                <w:t>IMPLEMENTAR:</w:t>
                              </w:r>
                            </w:p>
                            <w:p w14:paraId="4415760D" w14:textId="77777777" w:rsidR="00336FC5" w:rsidRPr="00C04CDD" w:rsidRDefault="00000000" w:rsidP="00336FC5">
                              <w:pPr>
                                <w:spacing w:after="0"/>
                                <w:jc w:val="center"/>
                                <w:rPr>
                                  <w:rFonts w:asciiTheme="minorBidi" w:hAnsiTheme="minorBidi"/>
                                  <w:color w:val="6D2E86"/>
                                  <w:sz w:val="13"/>
                                  <w:szCs w:val="13"/>
                                  <w:lang w:val="fr-FR"/>
                                </w:rPr>
                              </w:pPr>
                              <w:r>
                                <w:rPr>
                                  <w:rFonts w:ascii="Arial" w:eastAsia="Arial" w:hAnsi="Arial" w:cs="Arial"/>
                                  <w:color w:val="6D2E86"/>
                                  <w:sz w:val="13"/>
                                  <w:szCs w:val="13"/>
                                  <w:lang w:val="pt-BR"/>
                                </w:rPr>
                                <w:t>prosseguir com as intervenções, fazer ajustes formativos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4" name="Text Box 24"/>
                        <wps:cNvSpPr txBox="1"/>
                        <wps:spPr>
                          <a:xfrm rot="19882234">
                            <a:off x="1264352" y="579834"/>
                            <a:ext cx="513715" cy="166370"/>
                          </a:xfrm>
                          <a:prstGeom prst="rect">
                            <a:avLst/>
                          </a:prstGeom>
                          <a:solidFill>
                            <a:srgbClr val="16124F"/>
                          </a:solidFill>
                          <a:ln w="6350">
                            <a:noFill/>
                          </a:ln>
                        </wps:spPr>
                        <wps:txbx>
                          <w:txbxContent>
                            <w:p w14:paraId="77A2B4EA" w14:textId="77777777" w:rsidR="00336FC5" w:rsidRPr="00336FC5" w:rsidRDefault="00000000" w:rsidP="00336FC5">
                              <w:pPr>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lang w:val="pt-BR"/>
                                </w:rPr>
                                <w:t>INFORMAR: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5" name="Text Box 25"/>
                        <wps:cNvSpPr txBox="1"/>
                        <wps:spPr>
                          <a:xfrm rot="3753893">
                            <a:off x="911331" y="1264296"/>
                            <a:ext cx="648970" cy="166370"/>
                          </a:xfrm>
                          <a:prstGeom prst="rect">
                            <a:avLst/>
                          </a:prstGeom>
                          <a:solidFill>
                            <a:srgbClr val="902790"/>
                          </a:solidFill>
                          <a:ln w="6350">
                            <a:noFill/>
                          </a:ln>
                        </wps:spPr>
                        <wps:txbx>
                          <w:txbxContent>
                            <w:p w14:paraId="7627BC35" w14:textId="77777777" w:rsidR="00336FC5" w:rsidRPr="00336FC5" w:rsidRDefault="00000000" w:rsidP="00336FC5">
                              <w:pPr>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lang w:val="pt-BR"/>
                                </w:rPr>
                                <w:t>ANALISAR: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6" name="Text Box 26"/>
                        <wps:cNvSpPr txBox="1"/>
                        <wps:spPr>
                          <a:xfrm>
                            <a:off x="1509280" y="1671481"/>
                            <a:ext cx="682031" cy="191771"/>
                          </a:xfrm>
                          <a:prstGeom prst="rect">
                            <a:avLst/>
                          </a:prstGeom>
                          <a:solidFill>
                            <a:srgbClr val="6D2E86"/>
                          </a:solidFill>
                          <a:ln w="6350">
                            <a:noFill/>
                          </a:ln>
                        </wps:spPr>
                        <wps:txbx>
                          <w:txbxContent>
                            <w:p w14:paraId="6C75E390" w14:textId="77777777" w:rsidR="00336FC5" w:rsidRPr="00336FC5" w:rsidRDefault="00000000" w:rsidP="00336FC5">
                              <w:pPr>
                                <w:spacing w:before="60" w:after="60"/>
                                <w:jc w:val="center"/>
                                <w:rPr>
                                  <w:rFonts w:asciiTheme="minorBidi" w:hAnsiTheme="minorBidi"/>
                                  <w:b/>
                                  <w:bCs/>
                                  <w:color w:val="FFFFFF" w:themeColor="background1"/>
                                  <w:sz w:val="13"/>
                                  <w:szCs w:val="13"/>
                                </w:rPr>
                              </w:pPr>
                              <w:r>
                                <w:rPr>
                                  <w:rFonts w:ascii="Arial" w:eastAsia="Arial" w:hAnsi="Arial" w:cs="Arial"/>
                                  <w:b/>
                                  <w:bCs/>
                                  <w:color w:val="FFFFFF"/>
                                  <w:sz w:val="13"/>
                                  <w:szCs w:val="13"/>
                                  <w:lang w:val="pt-BR"/>
                                </w:rPr>
                                <w:t>IMPLEMENTAR: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8" name="Text Box 28"/>
                        <wps:cNvSpPr txBox="1"/>
                        <wps:spPr>
                          <a:xfrm rot="18106730">
                            <a:off x="2122236" y="1278181"/>
                            <a:ext cx="631825" cy="166370"/>
                          </a:xfrm>
                          <a:prstGeom prst="rect">
                            <a:avLst/>
                          </a:prstGeom>
                          <a:solidFill>
                            <a:srgbClr val="6623FF"/>
                          </a:solidFill>
                          <a:ln w="6350">
                            <a:noFill/>
                          </a:ln>
                        </wps:spPr>
                        <wps:txbx>
                          <w:txbxContent>
                            <w:p w14:paraId="22DAC63A" w14:textId="77777777" w:rsidR="003E54CB" w:rsidRPr="003E54CB" w:rsidRDefault="00000000" w:rsidP="003E54CB">
                              <w:pPr>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lang w:val="pt-BR"/>
                                </w:rPr>
                                <w:t>PLANO: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9" name="Text Box 29"/>
                        <wps:cNvSpPr txBox="1"/>
                        <wps:spPr>
                          <a:xfrm rot="1848194">
                            <a:off x="1887004" y="545067"/>
                            <a:ext cx="605790" cy="191770"/>
                          </a:xfrm>
                          <a:prstGeom prst="rect">
                            <a:avLst/>
                          </a:prstGeom>
                          <a:solidFill>
                            <a:srgbClr val="040195"/>
                          </a:solidFill>
                          <a:ln w="6350">
                            <a:noFill/>
                          </a:ln>
                        </wps:spPr>
                        <wps:txbx>
                          <w:txbxContent>
                            <w:p w14:paraId="3A98C333" w14:textId="77777777" w:rsidR="003E54CB" w:rsidRPr="003E54CB" w:rsidRDefault="00000000" w:rsidP="003E54CB">
                              <w:pPr>
                                <w:spacing w:before="60" w:after="60"/>
                                <w:jc w:val="center"/>
                                <w:rPr>
                                  <w:rFonts w:asciiTheme="minorBidi" w:hAnsiTheme="minorBidi"/>
                                  <w:b/>
                                  <w:bCs/>
                                  <w:color w:val="FFFFFF" w:themeColor="background1"/>
                                  <w:sz w:val="13"/>
                                  <w:szCs w:val="13"/>
                                </w:rPr>
                              </w:pPr>
                              <w:r>
                                <w:rPr>
                                  <w:rFonts w:ascii="Arial" w:eastAsia="Arial" w:hAnsi="Arial" w:cs="Arial"/>
                                  <w:b/>
                                  <w:bCs/>
                                  <w:color w:val="FFFFFF"/>
                                  <w:sz w:val="13"/>
                                  <w:szCs w:val="13"/>
                                  <w:lang w:val="pt-BR"/>
                                </w:rPr>
                                <w:t>SELECIONAR: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67A3E241" id="Group 33" o:spid="_x0000_s1038" style="position:absolute;left:0;text-align:left;margin-left:93.6pt;margin-top:2.7pt;width:270.1pt;height:215.1pt;z-index:251693056;mso-width-relative:margin" coordsize="34304,27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">
                <v:shape id="Text Box 18" o:spid="_x0000_s1039" type="#_x0000_t202" style="position:absolute;left:8637;width:20187;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" fillcolor="white [3212]" stroked="f" strokeweight=".5pt">
                  <v:textbox style="mso-fit-shape-to-text:t" inset="0,0,0,0">
                    <w:txbxContent>
                      <w:p w14:paraId="7D69CFBD" w14:textId="77777777" w:rsidR="00802283" w:rsidRPr="00AF5819" w:rsidRDefault="00000000" w:rsidP="00802283">
                        <w:pPr>
                          <w:spacing w:after="0"/>
                          <w:jc w:val="center"/>
                          <w:rPr>
                            <w:rFonts w:asciiTheme="minorBidi" w:hAnsiTheme="minorBidi"/>
                            <w:b/>
                            <w:bCs/>
                            <w:sz w:val="14"/>
                            <w:szCs w:val="14"/>
                          </w:rPr>
                        </w:pPr>
                        <w:r>
                          <w:rPr>
                            <w:rFonts w:ascii="Arial" w:eastAsia="Arial" w:hAnsi="Arial" w:cs="Arial"/>
                            <w:b/>
                            <w:bCs/>
                            <w:sz w:val="14"/>
                            <w:szCs w:val="14"/>
                            <w:lang w:val="pt-BR"/>
                          </w:rPr>
                          <w:t xml:space="preserve">O </w:t>
                        </w:r>
                        <w:r>
                          <w:rPr>
                            <w:rFonts w:ascii="Arial" w:eastAsia="Arial" w:hAnsi="Arial" w:cs="Arial"/>
                            <w:b/>
                            <w:bCs/>
                            <w:sz w:val="14"/>
                            <w:szCs w:val="14"/>
                            <w:lang w:val="pt-BR"/>
                          </w:rPr>
                          <w:t>ciclo de melhoria contínua</w:t>
                        </w:r>
                      </w:p>
                    </w:txbxContent>
                  </v:textbox>
                </v:shape>
                <v:shape id="Text Box 19" o:spid="_x0000_s1040" type="#_x0000_t202" style="position:absolute;left:2187;top:3085;width:8845;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" fillcolor="white [3212]" stroked="f" strokeweight=".5pt">
                  <v:textbox style="mso-fit-shape-to-text:t" inset="0,0,0,0">
                    <w:txbxContent>
                      <w:p w14:paraId="223D814B" w14:textId="77777777" w:rsidR="00AF5819" w:rsidRPr="00CC1CB4" w:rsidRDefault="00000000" w:rsidP="00AF5819">
                        <w:pPr>
                          <w:spacing w:after="0"/>
                          <w:jc w:val="center"/>
                          <w:rPr>
                            <w:rFonts w:asciiTheme="minorBidi" w:hAnsiTheme="minorBidi"/>
                            <w:b/>
                            <w:bCs/>
                            <w:color w:val="08005D"/>
                            <w:sz w:val="13"/>
                            <w:szCs w:val="13"/>
                            <w:lang w:val="es-ES"/>
                          </w:rPr>
                        </w:pPr>
                        <w:r>
                          <w:rPr>
                            <w:rFonts w:ascii="Arial" w:eastAsia="Arial" w:hAnsi="Arial" w:cs="Arial"/>
                            <w:b/>
                            <w:bCs/>
                            <w:color w:val="08005D"/>
                            <w:sz w:val="13"/>
                            <w:szCs w:val="13"/>
                            <w:lang w:val="pt-BR"/>
                          </w:rPr>
                          <w:t>INFORMAR:</w:t>
                        </w:r>
                      </w:p>
                      <w:p w14:paraId="2C95DC7C" w14:textId="77777777" w:rsidR="00AF5819" w:rsidRPr="00CC1CB4" w:rsidRDefault="00000000" w:rsidP="00AF5819">
                        <w:pPr>
                          <w:spacing w:after="0"/>
                          <w:jc w:val="center"/>
                          <w:rPr>
                            <w:rFonts w:asciiTheme="minorBidi" w:hAnsiTheme="minorBidi"/>
                            <w:color w:val="08005D"/>
                            <w:sz w:val="13"/>
                            <w:szCs w:val="13"/>
                            <w:lang w:val="es-ES"/>
                          </w:rPr>
                        </w:pPr>
                        <w:r>
                          <w:rPr>
                            <w:rFonts w:ascii="Arial" w:eastAsia="Arial" w:hAnsi="Arial" w:cs="Arial"/>
                            <w:color w:val="08005D"/>
                            <w:sz w:val="13"/>
                            <w:szCs w:val="13"/>
                            <w:lang w:val="pt-BR"/>
                          </w:rPr>
                          <w:t>analisar as necessidades locais, ajustar o foco</w:t>
                        </w:r>
                      </w:p>
                    </w:txbxContent>
                  </v:textbox>
                </v:shape>
                <v:shape id="Text Box 20" o:spid="_x0000_s1041" type="#_x0000_t202" style="position:absolute;left:26753;top:3085;width:7296;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" fillcolor="white [3212]" stroked="f" strokeweight=".5pt">
                  <v:textbox style="mso-fit-shape-to-text:t" inset="0,0,0,0">
                    <w:txbxContent>
                      <w:p w14:paraId="668B2496" w14:textId="77777777" w:rsidR="00AF5819" w:rsidRPr="00CC1CB4" w:rsidRDefault="00000000" w:rsidP="00AF5819">
                        <w:pPr>
                          <w:spacing w:after="0"/>
                          <w:jc w:val="center"/>
                          <w:rPr>
                            <w:rFonts w:asciiTheme="minorBidi" w:hAnsiTheme="minorBidi"/>
                            <w:b/>
                            <w:bCs/>
                            <w:color w:val="040195"/>
                            <w:sz w:val="13"/>
                            <w:szCs w:val="13"/>
                            <w:lang w:val="es-ES"/>
                          </w:rPr>
                        </w:pPr>
                        <w:r>
                          <w:rPr>
                            <w:rFonts w:ascii="Arial" w:eastAsia="Arial" w:hAnsi="Arial" w:cs="Arial"/>
                            <w:b/>
                            <w:bCs/>
                            <w:color w:val="040195"/>
                            <w:sz w:val="13"/>
                            <w:szCs w:val="13"/>
                            <w:lang w:val="pt-BR"/>
                          </w:rPr>
                          <w:t>SELECIONAR:</w:t>
                        </w:r>
                      </w:p>
                      <w:p w14:paraId="0307802A" w14:textId="77777777" w:rsidR="00AF5819" w:rsidRPr="00CC1CB4" w:rsidRDefault="00000000" w:rsidP="00AF5819">
                        <w:pPr>
                          <w:spacing w:after="0"/>
                          <w:jc w:val="center"/>
                          <w:rPr>
                            <w:rFonts w:asciiTheme="minorBidi" w:hAnsiTheme="minorBidi"/>
                            <w:color w:val="040195"/>
                            <w:sz w:val="13"/>
                            <w:szCs w:val="13"/>
                            <w:lang w:val="es-ES"/>
                          </w:rPr>
                        </w:pPr>
                        <w:r>
                          <w:rPr>
                            <w:rFonts w:ascii="Arial" w:eastAsia="Arial" w:hAnsi="Arial" w:cs="Arial"/>
                            <w:color w:val="040195"/>
                            <w:sz w:val="13"/>
                            <w:szCs w:val="13"/>
                            <w:lang w:val="pt-BR"/>
                          </w:rPr>
                          <w:t>identificar, examinar e selecionar intervenções</w:t>
                        </w:r>
                      </w:p>
                    </w:txbxContent>
                  </v:textbox>
                </v:shape>
                <v:shape id="Text Box 21" o:spid="_x0000_s1042" type="#_x0000_t202" style="position:absolute;top:11835;width:8839;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" fillcolor="white [3212]" stroked="f" strokeweight=".5pt">
                  <v:textbox style="mso-fit-shape-to-text:t" inset="0,0,0,0">
                    <w:txbxContent>
                      <w:p w14:paraId="2A8EC1D9" w14:textId="77777777" w:rsidR="00AF5819" w:rsidRPr="00CC1CB4" w:rsidRDefault="00000000" w:rsidP="00AF5819">
                        <w:pPr>
                          <w:spacing w:after="0"/>
                          <w:jc w:val="center"/>
                          <w:rPr>
                            <w:rFonts w:asciiTheme="minorBidi" w:hAnsiTheme="minorBidi"/>
                            <w:b/>
                            <w:bCs/>
                            <w:color w:val="902790"/>
                            <w:sz w:val="13"/>
                            <w:szCs w:val="13"/>
                            <w:lang w:val="es-ES"/>
                          </w:rPr>
                        </w:pPr>
                        <w:r>
                          <w:rPr>
                            <w:rFonts w:ascii="Arial" w:eastAsia="Arial" w:hAnsi="Arial" w:cs="Arial"/>
                            <w:b/>
                            <w:bCs/>
                            <w:color w:val="902790"/>
                            <w:sz w:val="13"/>
                            <w:szCs w:val="13"/>
                            <w:lang w:val="pt-BR"/>
                          </w:rPr>
                          <w:t>ANALISAR:</w:t>
                        </w:r>
                      </w:p>
                      <w:p w14:paraId="41AF64BE" w14:textId="77777777" w:rsidR="00AF5819" w:rsidRPr="00CC1CB4" w:rsidRDefault="00000000" w:rsidP="00AF5819">
                        <w:pPr>
                          <w:spacing w:after="0"/>
                          <w:jc w:val="center"/>
                          <w:rPr>
                            <w:rFonts w:asciiTheme="minorBidi" w:hAnsiTheme="minorBidi"/>
                            <w:color w:val="902790"/>
                            <w:sz w:val="13"/>
                            <w:szCs w:val="13"/>
                            <w:lang w:val="es-ES"/>
                          </w:rPr>
                        </w:pPr>
                        <w:r>
                          <w:rPr>
                            <w:rFonts w:ascii="Arial" w:eastAsia="Arial" w:hAnsi="Arial" w:cs="Arial"/>
                            <w:color w:val="902790"/>
                            <w:sz w:val="13"/>
                            <w:szCs w:val="13"/>
                            <w:lang w:val="pt-BR"/>
                          </w:rPr>
                          <w:t>realizar avaliação sumativa de desempenho e eficácia</w:t>
                        </w:r>
                      </w:p>
                    </w:txbxContent>
                  </v:textbox>
                </v:shape>
                <v:shape id="Text Box 22" o:spid="_x0000_s1043" type="#_x0000_t202" style="position:absolute;left:27986;top:11948;width:6318;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" fillcolor="white [3212]" stroked="f" strokeweight=".5pt">
                  <v:textbox style="mso-fit-shape-to-text:t" inset="0,0,0,0">
                    <w:txbxContent>
                      <w:p w14:paraId="48141061" w14:textId="77777777" w:rsidR="002B0EDA" w:rsidRPr="002B0EDA" w:rsidRDefault="00000000" w:rsidP="002B0EDA">
                        <w:pPr>
                          <w:spacing w:after="0"/>
                          <w:jc w:val="center"/>
                          <w:rPr>
                            <w:rFonts w:asciiTheme="minorBidi" w:hAnsiTheme="minorBidi"/>
                            <w:b/>
                            <w:bCs/>
                            <w:color w:val="6623FF"/>
                            <w:sz w:val="13"/>
                            <w:szCs w:val="13"/>
                          </w:rPr>
                        </w:pPr>
                        <w:r>
                          <w:rPr>
                            <w:rFonts w:ascii="Arial" w:eastAsia="Arial" w:hAnsi="Arial" w:cs="Arial"/>
                            <w:b/>
                            <w:bCs/>
                            <w:color w:val="6623FF"/>
                            <w:sz w:val="13"/>
                            <w:szCs w:val="13"/>
                            <w:lang w:val="pt-BR"/>
                          </w:rPr>
                          <w:t>PLANO:</w:t>
                        </w:r>
                      </w:p>
                      <w:p w14:paraId="44C527EA" w14:textId="77777777" w:rsidR="002B0EDA" w:rsidRPr="002B0EDA" w:rsidRDefault="00000000" w:rsidP="002B0EDA">
                        <w:pPr>
                          <w:spacing w:after="0"/>
                          <w:jc w:val="center"/>
                          <w:rPr>
                            <w:rFonts w:asciiTheme="minorBidi" w:hAnsiTheme="minorBidi"/>
                            <w:color w:val="6623FF"/>
                            <w:sz w:val="13"/>
                            <w:szCs w:val="13"/>
                          </w:rPr>
                        </w:pPr>
                        <w:r>
                          <w:rPr>
                            <w:rFonts w:ascii="Arial" w:eastAsia="Arial" w:hAnsi="Arial" w:cs="Arial"/>
                            <w:color w:val="6623FF"/>
                            <w:sz w:val="13"/>
                            <w:szCs w:val="13"/>
                            <w:lang w:val="pt-BR"/>
                          </w:rPr>
                          <w:t>desenvolver estratégias de implementação</w:t>
                        </w:r>
                      </w:p>
                    </w:txbxContent>
                  </v:textbox>
                </v:shape>
                <v:shape id="Text Box 23" o:spid="_x0000_s1044" type="#_x0000_t202" style="position:absolute;left:12564;top:22885;width:11779;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" fillcolor="white [3212]" stroked="f" strokeweight=".5pt">
                  <v:textbox style="mso-fit-shape-to-text:t" inset="0,0,0,0">
                    <w:txbxContent>
                      <w:p w14:paraId="3E079615" w14:textId="77777777" w:rsidR="00336FC5" w:rsidRPr="00C04CDD" w:rsidRDefault="00000000" w:rsidP="00336FC5">
                        <w:pPr>
                          <w:spacing w:after="0"/>
                          <w:jc w:val="center"/>
                          <w:rPr>
                            <w:rFonts w:asciiTheme="minorBidi" w:hAnsiTheme="minorBidi"/>
                            <w:b/>
                            <w:bCs/>
                            <w:color w:val="6D2E86"/>
                            <w:sz w:val="13"/>
                            <w:szCs w:val="13"/>
                            <w:lang w:val="fr-FR"/>
                          </w:rPr>
                        </w:pPr>
                        <w:r>
                          <w:rPr>
                            <w:rFonts w:ascii="Arial" w:eastAsia="Arial" w:hAnsi="Arial" w:cs="Arial"/>
                            <w:b/>
                            <w:bCs/>
                            <w:color w:val="6D2E86"/>
                            <w:sz w:val="13"/>
                            <w:szCs w:val="13"/>
                            <w:lang w:val="pt-BR"/>
                          </w:rPr>
                          <w:t>IMPLEMENTAR:</w:t>
                        </w:r>
                      </w:p>
                      <w:p w14:paraId="4415760D" w14:textId="77777777" w:rsidR="00336FC5" w:rsidRPr="00C04CDD" w:rsidRDefault="00000000" w:rsidP="00336FC5">
                        <w:pPr>
                          <w:spacing w:after="0"/>
                          <w:jc w:val="center"/>
                          <w:rPr>
                            <w:rFonts w:asciiTheme="minorBidi" w:hAnsiTheme="minorBidi"/>
                            <w:color w:val="6D2E86"/>
                            <w:sz w:val="13"/>
                            <w:szCs w:val="13"/>
                            <w:lang w:val="fr-FR"/>
                          </w:rPr>
                        </w:pPr>
                        <w:r>
                          <w:rPr>
                            <w:rFonts w:ascii="Arial" w:eastAsia="Arial" w:hAnsi="Arial" w:cs="Arial"/>
                            <w:color w:val="6D2E86"/>
                            <w:sz w:val="13"/>
                            <w:szCs w:val="13"/>
                            <w:lang w:val="pt-BR"/>
                          </w:rPr>
                          <w:t>prosseguir com as intervenções, fazer ajustes formativos</w:t>
                        </w:r>
                      </w:p>
                    </w:txbxContent>
                  </v:textbox>
                </v:shape>
                <v:shape id="Text Box 24" o:spid="_x0000_s1045" type="#_x0000_t202" style="position:absolute;left:12643;top:5798;width:5137;height:1664;rotation:-18762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" fillcolor="#16124f" stroked="f" strokeweight=".5pt">
                  <v:textbox style="mso-fit-shape-to-text:t" inset="0,0,0,0">
                    <w:txbxContent>
                      <w:p w14:paraId="77A2B4EA" w14:textId="77777777" w:rsidR="00336FC5" w:rsidRPr="00336FC5" w:rsidRDefault="00000000" w:rsidP="00336FC5">
                        <w:pPr>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lang w:val="pt-BR"/>
                          </w:rPr>
                          <w:t>INFORMAR:</w:t>
                        </w:r>
                      </w:p>
                    </w:txbxContent>
                  </v:textbox>
                </v:shape>
                <v:shape id="Text Box 25" o:spid="_x0000_s1046" type="#_x0000_t202" style="position:absolute;left:9113;top:12642;width:6490;height:1664;rotation:41002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" fillcolor="#902790" stroked="f" strokeweight=".5pt">
                  <v:textbox style="mso-fit-shape-to-text:t" inset="0,0,0,0">
                    <w:txbxContent>
                      <w:p w14:paraId="7627BC35" w14:textId="77777777" w:rsidR="00336FC5" w:rsidRPr="00336FC5" w:rsidRDefault="00000000" w:rsidP="00336FC5">
                        <w:pPr>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lang w:val="pt-BR"/>
                          </w:rPr>
                          <w:t>ANALISAR:</w:t>
                        </w:r>
                      </w:p>
                    </w:txbxContent>
                  </v:textbox>
                </v:shape>
                <v:shape id="Text Box 26" o:spid="_x0000_s1047" type="#_x0000_t202" style="position:absolute;left:15092;top:16714;width:682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" fillcolor="#6d2e86" stroked="f" strokeweight=".5pt">
                  <v:textbox style="mso-fit-shape-to-text:t" inset="0,0,0,0">
                    <w:txbxContent>
                      <w:p w14:paraId="6C75E390" w14:textId="77777777" w:rsidR="00336FC5" w:rsidRPr="00336FC5" w:rsidRDefault="00000000" w:rsidP="00336FC5">
                        <w:pPr>
                          <w:spacing w:before="60" w:after="60"/>
                          <w:jc w:val="center"/>
                          <w:rPr>
                            <w:rFonts w:asciiTheme="minorBidi" w:hAnsiTheme="minorBidi"/>
                            <w:b/>
                            <w:bCs/>
                            <w:color w:val="FFFFFF" w:themeColor="background1"/>
                            <w:sz w:val="13"/>
                            <w:szCs w:val="13"/>
                          </w:rPr>
                        </w:pPr>
                        <w:r>
                          <w:rPr>
                            <w:rFonts w:ascii="Arial" w:eastAsia="Arial" w:hAnsi="Arial" w:cs="Arial"/>
                            <w:b/>
                            <w:bCs/>
                            <w:color w:val="FFFFFF"/>
                            <w:sz w:val="13"/>
                            <w:szCs w:val="13"/>
                            <w:lang w:val="pt-BR"/>
                          </w:rPr>
                          <w:t>IMPLEMENTAR:</w:t>
                        </w:r>
                      </w:p>
                    </w:txbxContent>
                  </v:textbox>
                </v:shape>
                <v:shape id="Text Box 28" o:spid="_x0000_s1048" type="#_x0000_t202" style="position:absolute;left:21222;top:12781;width:6318;height:1664;rotation:-38155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" fillcolor="#6623ff" stroked="f" strokeweight=".5pt">
                  <v:textbox style="mso-fit-shape-to-text:t" inset="0,0,0,0">
                    <w:txbxContent>
                      <w:p w14:paraId="22DAC63A" w14:textId="77777777" w:rsidR="003E54CB" w:rsidRPr="003E54CB" w:rsidRDefault="00000000" w:rsidP="003E54CB">
                        <w:pPr>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lang w:val="pt-BR"/>
                          </w:rPr>
                          <w:t>PLANO:</w:t>
                        </w:r>
                      </w:p>
                    </w:txbxContent>
                  </v:textbox>
                </v:shape>
                <v:shape id="Text Box 29" o:spid="_x0000_s1049" type="#_x0000_t202" style="position:absolute;left:18870;top:5450;width:6057;height:1918;rotation:20187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" fillcolor="#040195" stroked="f" strokeweight=".5pt">
                  <v:textbox style="mso-fit-shape-to-text:t" inset="0,0,0,0">
                    <w:txbxContent>
                      <w:p w14:paraId="3A98C333" w14:textId="77777777" w:rsidR="003E54CB" w:rsidRPr="003E54CB" w:rsidRDefault="00000000" w:rsidP="003E54CB">
                        <w:pPr>
                          <w:spacing w:before="60" w:after="60"/>
                          <w:jc w:val="center"/>
                          <w:rPr>
                            <w:rFonts w:asciiTheme="minorBidi" w:hAnsiTheme="minorBidi"/>
                            <w:b/>
                            <w:bCs/>
                            <w:color w:val="FFFFFF" w:themeColor="background1"/>
                            <w:sz w:val="13"/>
                            <w:szCs w:val="13"/>
                          </w:rPr>
                        </w:pPr>
                        <w:r>
                          <w:rPr>
                            <w:rFonts w:ascii="Arial" w:eastAsia="Arial" w:hAnsi="Arial" w:cs="Arial"/>
                            <w:b/>
                            <w:bCs/>
                            <w:color w:val="FFFFFF"/>
                            <w:sz w:val="13"/>
                            <w:szCs w:val="13"/>
                            <w:lang w:val="pt-BR"/>
                          </w:rPr>
                          <w:t>SELECIONAR:</w:t>
                        </w:r>
                      </w:p>
                    </w:txbxContent>
                  </v:textbox>
                </v:shape>
              </v:group>
            </w:pict>
          </mc:Fallback>
        </mc:AlternateContent>
      </w:r>
      <w:r>
        <w:rPr>
          <w:rFonts w:cs="Times New Roman"/>
          <w:i/>
          <w:noProof/>
        </w:rPr>
        <mc:AlternateContent>
          <mc:Choice Requires="wps">
            <w:drawing>
              <wp:anchor distT="0" distB="0" distL="114300" distR="114300" simplePos="0" relativeHeight="251705344" behindDoc="0" locked="0" layoutInCell="1" allowOverlap="1" wp14:anchorId="43FEB1F9" wp14:editId="7D7E931D">
                <wp:simplePos x="0" y="0"/>
                <wp:positionH relativeFrom="column">
                  <wp:posOffset>2654935</wp:posOffset>
                </wp:positionH>
                <wp:positionV relativeFrom="paragraph">
                  <wp:posOffset>982980</wp:posOffset>
                </wp:positionV>
                <wp:extent cx="758607" cy="1270000"/>
                <wp:effectExtent l="0" t="0" r="3810" b="9525"/>
                <wp:wrapNone/>
                <wp:docPr id="47" name="Text Box 47"/>
                <wp:cNvGraphicFramePr/>
                <a:graphic xmlns:a="http://schemas.openxmlformats.org/drawingml/2006/main">
                  <a:graphicData uri="http://schemas.microsoft.com/office/word/2010/wordprocessingShape">
                    <wps:wsp>
                      <wps:cNvSpPr txBox="1"/>
                      <wps:spPr>
                        <a:xfrm>
                          <a:off x="0" y="0"/>
                          <a:ext cx="758607" cy="1270000"/>
                        </a:xfrm>
                        <a:prstGeom prst="rect">
                          <a:avLst/>
                        </a:prstGeom>
                        <a:solidFill>
                          <a:srgbClr val="FFFFFD"/>
                        </a:solidFill>
                        <a:ln w="6350">
                          <a:noFill/>
                        </a:ln>
                      </wps:spPr>
                      <wps:txbx>
                        <w:txbxContent>
                          <w:p w14:paraId="5B27F470" w14:textId="77777777" w:rsidR="001C24F7" w:rsidRPr="00CC1CB4" w:rsidRDefault="00000000" w:rsidP="001C24F7">
                            <w:pPr>
                              <w:spacing w:after="0"/>
                              <w:jc w:val="center"/>
                              <w:rPr>
                                <w:rFonts w:asciiTheme="minorBidi" w:hAnsiTheme="minorBidi"/>
                                <w:b/>
                                <w:bCs/>
                                <w:color w:val="EB6C27"/>
                                <w:sz w:val="12"/>
                                <w:szCs w:val="12"/>
                                <w:lang w:val="es-ES"/>
                              </w:rPr>
                            </w:pPr>
                            <w:r>
                              <w:rPr>
                                <w:rFonts w:ascii="Arial" w:eastAsia="Arial" w:hAnsi="Arial" w:cs="Arial"/>
                                <w:b/>
                                <w:bCs/>
                                <w:color w:val="EB6C27"/>
                                <w:sz w:val="12"/>
                                <w:szCs w:val="12"/>
                                <w:lang w:val="pt-BR"/>
                              </w:rPr>
                              <w:t>TOMADA DE DECISÃO</w:t>
                            </w:r>
                          </w:p>
                          <w:p w14:paraId="26D94122" w14:textId="77777777" w:rsidR="001C24F7" w:rsidRPr="00CC1CB4" w:rsidRDefault="00000000" w:rsidP="001C24F7">
                            <w:pPr>
                              <w:spacing w:after="0"/>
                              <w:jc w:val="center"/>
                              <w:rPr>
                                <w:rFonts w:asciiTheme="minorBidi" w:hAnsiTheme="minorBidi"/>
                                <w:b/>
                                <w:bCs/>
                                <w:color w:val="EB6C27"/>
                                <w:sz w:val="12"/>
                                <w:szCs w:val="12"/>
                                <w:lang w:val="es-ES"/>
                              </w:rPr>
                            </w:pPr>
                            <w:r>
                              <w:rPr>
                                <w:rFonts w:ascii="Arial" w:eastAsia="Arial" w:hAnsi="Arial" w:cs="Arial"/>
                                <w:b/>
                                <w:bCs/>
                                <w:color w:val="EB6C27"/>
                                <w:sz w:val="12"/>
                                <w:szCs w:val="12"/>
                                <w:lang w:val="pt-BR"/>
                              </w:rPr>
                              <w:t>BASEADA EM EVIDÊNCIAS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FEB1F9" id="Text Box 47" o:spid="_x0000_s1050" type="#_x0000_t202" style="position:absolute;left:0;text-align:left;margin-left:209.05pt;margin-top:77.4pt;width:59.75pt;height:100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" fillcolor="#fffffd" stroked="f" strokeweight=".5pt">
                <v:textbox style="mso-fit-shape-to-text:t" inset="0,0,0,0">
                  <w:txbxContent>
                    <w:p w14:paraId="5B27F470" w14:textId="77777777" w:rsidR="001C24F7" w:rsidRPr="00CC1CB4" w:rsidRDefault="00000000" w:rsidP="001C24F7">
                      <w:pPr>
                        <w:spacing w:after="0"/>
                        <w:jc w:val="center"/>
                        <w:rPr>
                          <w:rFonts w:asciiTheme="minorBidi" w:hAnsiTheme="minorBidi"/>
                          <w:b/>
                          <w:bCs/>
                          <w:color w:val="EB6C27"/>
                          <w:sz w:val="12"/>
                          <w:szCs w:val="12"/>
                          <w:lang w:val="es-ES"/>
                        </w:rPr>
                      </w:pPr>
                      <w:r>
                        <w:rPr>
                          <w:rFonts w:ascii="Arial" w:eastAsia="Arial" w:hAnsi="Arial" w:cs="Arial"/>
                          <w:b/>
                          <w:bCs/>
                          <w:color w:val="EB6C27"/>
                          <w:sz w:val="12"/>
                          <w:szCs w:val="12"/>
                          <w:lang w:val="pt-BR"/>
                        </w:rPr>
                        <w:t>TOMADA DE DECISÃO</w:t>
                      </w:r>
                    </w:p>
                    <w:p w14:paraId="26D94122" w14:textId="77777777" w:rsidR="001C24F7" w:rsidRPr="00CC1CB4" w:rsidRDefault="00000000" w:rsidP="001C24F7">
                      <w:pPr>
                        <w:spacing w:after="0"/>
                        <w:jc w:val="center"/>
                        <w:rPr>
                          <w:rFonts w:asciiTheme="minorBidi" w:hAnsiTheme="minorBidi"/>
                          <w:b/>
                          <w:bCs/>
                          <w:color w:val="EB6C27"/>
                          <w:sz w:val="12"/>
                          <w:szCs w:val="12"/>
                          <w:lang w:val="es-ES"/>
                        </w:rPr>
                      </w:pPr>
                      <w:r>
                        <w:rPr>
                          <w:rFonts w:ascii="Arial" w:eastAsia="Arial" w:hAnsi="Arial" w:cs="Arial"/>
                          <w:b/>
                          <w:bCs/>
                          <w:color w:val="EB6C27"/>
                          <w:sz w:val="12"/>
                          <w:szCs w:val="12"/>
                          <w:lang w:val="pt-BR"/>
                        </w:rPr>
                        <w:t>BASEADA EM EVIDÊNCIAS</w:t>
                      </w:r>
                    </w:p>
                  </w:txbxContent>
                </v:textbox>
              </v:shape>
            </w:pict>
          </mc:Fallback>
        </mc:AlternateContent>
      </w:r>
      <w:r w:rsidR="007047DD">
        <w:rPr>
          <w:noProof/>
        </w:rPr>
        <w:drawing>
          <wp:inline distT="0" distB="0" distL="0" distR="0" wp14:anchorId="4D8D63E6" wp14:editId="443E5774">
            <wp:extent cx="3406140" cy="2670621"/>
            <wp:effectExtent l="0" t="0" r="3810" b="0"/>
            <wp:docPr id="353571546" name="Picture 2015436649" descr="Continuous improvement cycle: all content is in text version linked immediately af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71546" name="Picture 2015436649" descr="Continuous improvement cycle: all content is in text version linked immediately after imag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3395" cy="2684150"/>
                    </a:xfrm>
                    <a:prstGeom prst="rect">
                      <a:avLst/>
                    </a:prstGeom>
                  </pic:spPr>
                </pic:pic>
              </a:graphicData>
            </a:graphic>
          </wp:inline>
        </w:drawing>
      </w:r>
    </w:p>
    <w:p w14:paraId="5337218D" w14:textId="77777777" w:rsidR="00C7052E" w:rsidRPr="00CC1CB4" w:rsidRDefault="00000000" w:rsidP="007047DD">
      <w:pPr>
        <w:jc w:val="center"/>
        <w:rPr>
          <w:rFonts w:cs="Times New Roman"/>
          <w:lang w:val="es-ES"/>
        </w:rPr>
      </w:pPr>
      <w:hyperlink w:anchor="_Diagram_2:_The" w:history="1">
        <w:r w:rsidR="00C7052E">
          <w:rPr>
            <w:rFonts w:eastAsia="Times New Roman" w:cs="Times New Roman"/>
            <w:color w:val="0000FF"/>
            <w:u w:val="single"/>
            <w:lang w:val="pt-BR"/>
          </w:rPr>
          <w:t>Versão do texto: Diagrama do ciclo de melhoria contínua</w:t>
        </w:r>
      </w:hyperlink>
    </w:p>
    <w:p w14:paraId="050EFE36" w14:textId="77777777" w:rsidR="007047DD" w:rsidRPr="00CC1CB4" w:rsidRDefault="00000000" w:rsidP="004C0CD4">
      <w:pPr>
        <w:rPr>
          <w:rFonts w:eastAsia="Calibri" w:cs="Times New Roman"/>
          <w:lang w:val="es-ES"/>
        </w:rPr>
      </w:pPr>
      <w:bookmarkStart w:id="43" w:name="cycle_recruitment"/>
      <w:bookmarkEnd w:id="43"/>
      <w:r>
        <w:rPr>
          <w:rFonts w:eastAsia="Times New Roman" w:cs="Times New Roman"/>
          <w:lang w:val="pt-BR"/>
        </w:rPr>
        <w:t>Conforme descrito mais adiante neste plano, a abordagem do NJDOE é trabalhar lado a lado com as LEAs para identificar as necessidades dos alunos e lacunas de recursos que possam estar causando lacunas de desempenho entre os grupos de estudantes e, em seguida, planejar e implementar estratégias e intervenções baseadas em evidências para abordar essas necessidades. Juntamente com todas as partes interessadas relevantes, a LEA e os líderes da escola devem analisar o sucesso dessas intervenções e, em seguida, ajustar suas estratégias para melhorar continuamente a eficácia do sistema escolar. O envolvimento das partes interessadas é fundamental durante todo o processo e é exigido federalmente quando as LEAs desenvolvem planos e implementam programas federais descritos neste Plano estadual da ESSA. Isso é um trabalho difícil. No entanto, para que diversos grupos de alunos prosperem, as comunidades devem se envolver em tais ciclos de melhoria contínua.</w:t>
      </w:r>
    </w:p>
    <w:p w14:paraId="2B3B04E2" w14:textId="77777777" w:rsidR="008105DA" w:rsidRPr="00CC1CB4" w:rsidRDefault="00000000" w:rsidP="004C0CD4">
      <w:pPr>
        <w:rPr>
          <w:rFonts w:eastAsia="Calibri" w:cs="Times New Roman"/>
          <w:lang w:val="es-ES"/>
        </w:rPr>
      </w:pPr>
      <w:r>
        <w:rPr>
          <w:rFonts w:eastAsia="Times New Roman" w:cs="Times New Roman"/>
          <w:lang w:val="pt-BR"/>
        </w:rPr>
        <w:t>Em segundo lugar, o NJDOE está focado em melhorar continuamente seus sistemas e estruturas para garantir que seus serviços para escolas, LEAs, comunidades e, por fim, para que estudantes de Nova Jersey tenham propósitos, sejam eficientes e eficazes. Por exemplo, dentro deste Plano estadual da ESSA revisado, a equipe do NJDOE, em consulta com as partes interessadas de Nova Jersey, apresentou mudanças baseadas em pesquisa e baseadas em dados projetadas para ocorrer iterativamente. Como parte do processo de revisão, a equipe do NJDOE priorizou a manutenção dos elementos do sistema de responsabilização e suporte do estado que estão funcionando bem e oferecendo mudanças para melhorar seus sistemas de identificação e sistema de suporte. Durante todo o processo de revisão, o objetivo era usar métricas justas, transparentes e significativas para identificar quais escolas/LEAs precisam de mais apoio. Por fim, em alinhamento com todos os elementos deste Plano estadual da ESSA, o NJDOE continua comprometido em alavancar o financiamento federal para concentrar recursos adicionais em populações estudantis que precisam e merecem mais assistência.</w:t>
      </w:r>
    </w:p>
    <w:p w14:paraId="12370C79" w14:textId="77777777" w:rsidR="008105DA" w:rsidRPr="00CC1CB4" w:rsidRDefault="00000000" w:rsidP="00856537">
      <w:pPr>
        <w:pStyle w:val="A20"/>
      </w:pPr>
      <w:bookmarkStart w:id="44" w:name="_The_New_Jersey"/>
      <w:bookmarkStart w:id="45" w:name="_Toc171333275"/>
      <w:bookmarkStart w:id="46" w:name="_Toc199403567"/>
      <w:bookmarkStart w:id="47" w:name="_Toc199403670"/>
      <w:bookmarkEnd w:id="44"/>
      <w:r>
        <w:lastRenderedPageBreak/>
        <w:t>O processo de melhoria contínua do Plano estadual da ESSA de Nova Jersey</w:t>
      </w:r>
      <w:bookmarkEnd w:id="45"/>
      <w:bookmarkEnd w:id="46"/>
      <w:bookmarkEnd w:id="47"/>
    </w:p>
    <w:p w14:paraId="64E6448A" w14:textId="77777777" w:rsidR="008105DA" w:rsidRPr="00CC1CB4" w:rsidRDefault="00000000" w:rsidP="7CC6D296">
      <w:pPr>
        <w:rPr>
          <w:rFonts w:eastAsia="MS Mincho" w:cs="Times New Roman"/>
          <w:sz w:val="24"/>
          <w:szCs w:val="24"/>
          <w:lang w:val="es-ES"/>
        </w:rPr>
      </w:pPr>
      <w:r>
        <w:rPr>
          <w:rFonts w:eastAsia="Times New Roman" w:cs="Times New Roman"/>
          <w:lang w:val="pt-BR"/>
        </w:rPr>
        <w:t xml:space="preserve">Após muitos meses de envolvimento das partes interessadas, o Plano estadual da ESSA de Nova Jersey foi criado e aprovado em 2017. Grande parte do sistema de responsabilização descrito no Plano estadual da ESSA de 2017 ainda tinha que ser totalmente implementado e avaliado. O NJDOE observou intencionalmente durante todo o plano que se envolveria em um processo de melhoria contínua em todos os aspectos do plano de implementação para garantir que cada elemento estivesse gerando os resultados desejados e ainda alinhado com a contribuição das partes interessadas. Desde então, o NJDOE teve que fazer alguns ajustes no Plano estadual da ESSA de 2017. A versão com alterações destacadas de 2023 refletiu as alterações relacionadas ao </w:t>
      </w:r>
      <w:hyperlink r:id="rId20">
        <w:r w:rsidR="008105DA">
          <w:rPr>
            <w:rFonts w:eastAsia="Times New Roman" w:cs="Times New Roman"/>
            <w:color w:val="0000FF"/>
            <w:u w:val="single"/>
            <w:lang w:val="pt-BR"/>
          </w:rPr>
          <w:t>Relatório de análise de desempenho de Nova Jersey de 2019</w:t>
        </w:r>
      </w:hyperlink>
      <w:r>
        <w:rPr>
          <w:rFonts w:eastAsia="Times New Roman" w:cs="Times New Roman"/>
          <w:lang w:val="pt-BR"/>
        </w:rPr>
        <w:t xml:space="preserve"> e ao plano de ação corretiva, as revisões feitas de acordo com o Adendo ao plano estadual para COVID-19 e as revisões feitas como resultado de um plano de ação corretiva e monitoramento do Programa de educação para migrantes do USED de 2017. </w:t>
      </w:r>
    </w:p>
    <w:p w14:paraId="70E04004" w14:textId="77777777" w:rsidR="00CF0B78" w:rsidRPr="00CC1CB4" w:rsidRDefault="00000000">
      <w:pPr>
        <w:rPr>
          <w:rFonts w:eastAsia="Calibri" w:cs="Times New Roman"/>
          <w:lang w:val="es-ES"/>
        </w:rPr>
      </w:pPr>
      <w:r>
        <w:rPr>
          <w:rFonts w:eastAsia="Times New Roman" w:cs="Times New Roman"/>
          <w:lang w:val="pt-BR"/>
        </w:rPr>
        <w:t>Para cumprir seu compromisso com a melhoria contínua, o NJDOE passou por um processo de revisão mais significativo no ano passado. Por meio dessa análise, o NJDOE e suas partes interessadas descobriram que, embora haja espaço para melhoria, boa parte do plano funciona bem. O novo plano foi escrito usando um modelo novo e atualizado. Como resultado, o Plano estadual da ESSA de 2024 inclui mudanças importantes, mas não drásticas, representando um sistema de suporte em constante evolução e melhoria. Portanto, o público pode enviar perguntas e feedback sobre o Plano estadual da ESSA de 2024 por e-mail (</w:t>
      </w:r>
      <w:hyperlink r:id="rId21" w:history="1">
        <w:r w:rsidR="00CF0B78">
          <w:rPr>
            <w:rFonts w:eastAsia="Times New Roman" w:cs="Times New Roman"/>
            <w:color w:val="0000FF"/>
            <w:u w:val="single"/>
            <w:lang w:val="pt-BR"/>
          </w:rPr>
          <w:t>essa@doe.nj.gov</w:t>
        </w:r>
      </w:hyperlink>
      <w:r>
        <w:rPr>
          <w:rFonts w:eastAsia="Times New Roman" w:cs="Times New Roman"/>
          <w:lang w:val="pt-BR"/>
        </w:rPr>
        <w:t>) continuamente.</w:t>
      </w:r>
      <w:r>
        <w:rPr>
          <w:rFonts w:eastAsia="Times New Roman" w:cs="Times New Roman"/>
          <w:lang w:val="pt-BR"/>
        </w:rPr>
        <w:br w:type="page"/>
      </w:r>
    </w:p>
    <w:p w14:paraId="6604CA25" w14:textId="77777777" w:rsidR="002E7402" w:rsidRPr="00CC1CB4" w:rsidRDefault="00000000" w:rsidP="00856537">
      <w:pPr>
        <w:pStyle w:val="A20"/>
      </w:pPr>
      <w:bookmarkStart w:id="48" w:name="_Toc171333276"/>
      <w:bookmarkStart w:id="49" w:name="_Toc199403568"/>
      <w:bookmarkStart w:id="50" w:name="_Toc199403671"/>
      <w:r>
        <w:lastRenderedPageBreak/>
        <w:t>Principais mudanças para 2024 e além</w:t>
      </w:r>
      <w:bookmarkEnd w:id="48"/>
      <w:bookmarkEnd w:id="49"/>
      <w:bookmarkEnd w:id="50"/>
      <w:r>
        <w:t xml:space="preserve"> </w:t>
      </w:r>
    </w:p>
    <w:p w14:paraId="60CBCE79" w14:textId="77777777" w:rsidR="11C0E351" w:rsidRPr="00CC1CB4" w:rsidRDefault="00000000" w:rsidP="006415C4">
      <w:pPr>
        <w:textAlignment w:val="baseline"/>
        <w:rPr>
          <w:rFonts w:eastAsia="Times New Roman" w:cs="Times New Roman"/>
          <w:lang w:val="es-ES"/>
        </w:rPr>
      </w:pPr>
      <w:r>
        <w:rPr>
          <w:rFonts w:eastAsia="Times New Roman" w:cs="Times New Roman"/>
          <w:lang w:val="pt-BR"/>
        </w:rPr>
        <w:t xml:space="preserve">Embora não seja uma lista completa de todas as alterações feitas ao longo do plano, as seguintes áreas representam as diferenças mais significativas entre o Plano estadual de 2017 (conforme atualizado em 2023) e o Plano estadual da ESSA de 2024. </w:t>
      </w:r>
    </w:p>
    <w:tbl>
      <w:tblPr>
        <w:tblW w:w="9332" w:type="dxa"/>
        <w:tblBorders>
          <w:top w:val="outset" w:sz="6" w:space="0" w:color="auto"/>
          <w:left w:val="outset" w:sz="6" w:space="0" w:color="auto"/>
          <w:bottom w:val="outset" w:sz="6" w:space="0" w:color="auto"/>
          <w:right w:val="outset" w:sz="6" w:space="0" w:color="auto"/>
        </w:tblBorders>
        <w:tblCellMar>
          <w:top w:w="58" w:type="dxa"/>
          <w:left w:w="58" w:type="dxa"/>
          <w:bottom w:w="86" w:type="dxa"/>
          <w:right w:w="58" w:type="dxa"/>
        </w:tblCellMar>
        <w:tblLook w:val="04A0" w:firstRow="1" w:lastRow="0" w:firstColumn="1" w:lastColumn="0" w:noHBand="0" w:noVBand="1"/>
      </w:tblPr>
      <w:tblGrid>
        <w:gridCol w:w="1884"/>
        <w:gridCol w:w="1730"/>
        <w:gridCol w:w="1851"/>
        <w:gridCol w:w="2043"/>
        <w:gridCol w:w="1824"/>
      </w:tblGrid>
      <w:tr w:rsidR="00C566B2" w14:paraId="41D40D41" w14:textId="77777777" w:rsidTr="00E85EE6">
        <w:trPr>
          <w:cantSplit/>
          <w:trHeight w:val="315"/>
          <w:tblHeader/>
        </w:trPr>
        <w:tc>
          <w:tcPr>
            <w:tcW w:w="1583" w:type="dxa"/>
            <w:tcBorders>
              <w:top w:val="single" w:sz="6" w:space="0" w:color="auto"/>
              <w:left w:val="single" w:sz="6" w:space="0" w:color="auto"/>
              <w:bottom w:val="single" w:sz="6" w:space="0" w:color="auto"/>
              <w:right w:val="single" w:sz="4" w:space="0" w:color="FFFFFF" w:themeColor="background1"/>
            </w:tcBorders>
            <w:shd w:val="clear" w:color="auto" w:fill="215868" w:themeFill="accent5" w:themeFillShade="80"/>
            <w:hideMark/>
          </w:tcPr>
          <w:p w14:paraId="05BCDA6B" w14:textId="77777777" w:rsidR="002E7402" w:rsidRPr="00C87D35" w:rsidRDefault="00000000" w:rsidP="002E7402">
            <w:pPr>
              <w:spacing w:after="0" w:line="240" w:lineRule="auto"/>
              <w:textAlignment w:val="baseline"/>
              <w:rPr>
                <w:rFonts w:eastAsia="Times New Roman" w:cs="Times New Roman"/>
              </w:rPr>
            </w:pPr>
            <w:r>
              <w:rPr>
                <w:rFonts w:eastAsia="Times New Roman" w:cs="Times New Roman"/>
                <w:b/>
                <w:bCs/>
                <w:color w:val="FFFFFF"/>
                <w:lang w:val="pt-BR"/>
              </w:rPr>
              <w:t>Área</w:t>
            </w:r>
            <w:r>
              <w:rPr>
                <w:rFonts w:eastAsia="Times New Roman" w:cs="Times New Roman"/>
                <w:lang w:val="pt-BR"/>
              </w:rPr>
              <w:t xml:space="preserve"> </w:t>
            </w:r>
          </w:p>
        </w:tc>
        <w:tc>
          <w:tcPr>
            <w:tcW w:w="1496" w:type="dxa"/>
            <w:tcBorders>
              <w:top w:val="single" w:sz="6" w:space="0" w:color="auto"/>
              <w:left w:val="single" w:sz="4" w:space="0" w:color="FFFFFF" w:themeColor="background1"/>
              <w:bottom w:val="single" w:sz="6" w:space="0" w:color="auto"/>
              <w:right w:val="single" w:sz="6" w:space="0" w:color="FFFFFF" w:themeColor="background1"/>
            </w:tcBorders>
            <w:shd w:val="clear" w:color="auto" w:fill="215868" w:themeFill="accent5" w:themeFillShade="80"/>
            <w:hideMark/>
          </w:tcPr>
          <w:p w14:paraId="3913E1E9" w14:textId="77777777" w:rsidR="002E7402" w:rsidRPr="00C87D35" w:rsidRDefault="00000000" w:rsidP="002E7402">
            <w:pPr>
              <w:spacing w:after="0" w:line="240" w:lineRule="auto"/>
              <w:textAlignment w:val="baseline"/>
              <w:rPr>
                <w:rFonts w:eastAsia="Times New Roman" w:cs="Times New Roman"/>
              </w:rPr>
            </w:pPr>
            <w:r>
              <w:rPr>
                <w:rFonts w:eastAsia="Times New Roman" w:cs="Times New Roman"/>
                <w:b/>
                <w:bCs/>
                <w:color w:val="FFFFFF"/>
                <w:lang w:val="pt-BR"/>
              </w:rPr>
              <w:t>Subárea</w:t>
            </w:r>
            <w:r>
              <w:rPr>
                <w:rFonts w:eastAsia="Times New Roman" w:cs="Times New Roman"/>
                <w:color w:val="FFFFFF"/>
                <w:lang w:val="pt-BR"/>
              </w:rPr>
              <w:t xml:space="preserve">  </w:t>
            </w:r>
          </w:p>
        </w:tc>
        <w:tc>
          <w:tcPr>
            <w:tcW w:w="1872" w:type="dxa"/>
            <w:tcBorders>
              <w:top w:val="single" w:sz="6" w:space="0" w:color="auto"/>
              <w:left w:val="single" w:sz="6" w:space="0" w:color="FFFFFF" w:themeColor="background1"/>
              <w:bottom w:val="single" w:sz="6" w:space="0" w:color="auto"/>
              <w:right w:val="single" w:sz="4" w:space="0" w:color="FFFFFF" w:themeColor="background1"/>
            </w:tcBorders>
            <w:shd w:val="clear" w:color="auto" w:fill="215868" w:themeFill="accent5" w:themeFillShade="80"/>
            <w:hideMark/>
          </w:tcPr>
          <w:p w14:paraId="4ACE7379" w14:textId="77777777" w:rsidR="002E7402" w:rsidRPr="00C87D35" w:rsidRDefault="00000000" w:rsidP="002E7402">
            <w:pPr>
              <w:spacing w:after="0" w:line="240" w:lineRule="auto"/>
              <w:textAlignment w:val="baseline"/>
              <w:rPr>
                <w:rFonts w:eastAsia="Times New Roman" w:cs="Times New Roman"/>
              </w:rPr>
            </w:pPr>
            <w:r>
              <w:rPr>
                <w:rFonts w:eastAsia="Times New Roman" w:cs="Times New Roman"/>
                <w:b/>
                <w:bCs/>
                <w:color w:val="FFFFFF"/>
                <w:lang w:val="pt-BR"/>
              </w:rPr>
              <w:t>Conteúdo</w:t>
            </w:r>
            <w:r>
              <w:rPr>
                <w:rFonts w:eastAsia="Times New Roman" w:cs="Times New Roman"/>
                <w:color w:val="FFFFFF"/>
                <w:lang w:val="pt-BR"/>
              </w:rPr>
              <w:t xml:space="preserve"> do</w:t>
            </w:r>
            <w:r>
              <w:rPr>
                <w:rFonts w:eastAsia="Times New Roman" w:cs="Times New Roman"/>
                <w:b/>
                <w:bCs/>
                <w:color w:val="FFFFFF"/>
                <w:lang w:val="pt-BR"/>
              </w:rPr>
              <w:t xml:space="preserve"> plano para 2017</w:t>
            </w:r>
          </w:p>
        </w:tc>
        <w:tc>
          <w:tcPr>
            <w:tcW w:w="2170" w:type="dxa"/>
            <w:tcBorders>
              <w:top w:val="single" w:sz="6" w:space="0" w:color="auto"/>
              <w:left w:val="single" w:sz="4" w:space="0" w:color="FFFFFF" w:themeColor="background1"/>
              <w:bottom w:val="single" w:sz="6" w:space="0" w:color="auto"/>
              <w:right w:val="single" w:sz="4" w:space="0" w:color="FFFFFF" w:themeColor="background1"/>
            </w:tcBorders>
            <w:shd w:val="clear" w:color="auto" w:fill="215868" w:themeFill="accent5" w:themeFillShade="80"/>
            <w:hideMark/>
          </w:tcPr>
          <w:p w14:paraId="6D30BBE6" w14:textId="77777777" w:rsidR="002E7402" w:rsidRPr="00CC1CB4" w:rsidRDefault="00000000" w:rsidP="002E7402">
            <w:pPr>
              <w:spacing w:after="0" w:line="240" w:lineRule="auto"/>
              <w:textAlignment w:val="baseline"/>
              <w:rPr>
                <w:rFonts w:eastAsia="Times New Roman" w:cs="Times New Roman"/>
                <w:lang w:val="es-ES"/>
              </w:rPr>
            </w:pPr>
            <w:r>
              <w:rPr>
                <w:rFonts w:eastAsia="Times New Roman" w:cs="Times New Roman"/>
                <w:b/>
                <w:bCs/>
                <w:color w:val="FFFFFF"/>
                <w:lang w:val="pt-BR"/>
              </w:rPr>
              <w:t>Principais modificações refletidas no plano de 2024</w:t>
            </w:r>
            <w:r>
              <w:rPr>
                <w:rFonts w:eastAsia="Times New Roman" w:cs="Times New Roman"/>
                <w:color w:val="FFFFFF"/>
                <w:lang w:val="pt-BR"/>
              </w:rPr>
              <w:t xml:space="preserve"> </w:t>
            </w:r>
          </w:p>
        </w:tc>
        <w:tc>
          <w:tcPr>
            <w:tcW w:w="2211" w:type="dxa"/>
            <w:tcBorders>
              <w:top w:val="single" w:sz="6" w:space="0" w:color="auto"/>
              <w:left w:val="single" w:sz="4" w:space="0" w:color="FFFFFF" w:themeColor="background1"/>
              <w:bottom w:val="single" w:sz="6" w:space="0" w:color="auto"/>
              <w:right w:val="single" w:sz="6" w:space="0" w:color="auto"/>
            </w:tcBorders>
            <w:shd w:val="clear" w:color="auto" w:fill="215868" w:themeFill="accent5" w:themeFillShade="80"/>
            <w:hideMark/>
          </w:tcPr>
          <w:p w14:paraId="01A569AF" w14:textId="77777777" w:rsidR="002E7402" w:rsidRPr="00C87D35" w:rsidRDefault="00000000" w:rsidP="002E7402">
            <w:pPr>
              <w:spacing w:after="0" w:line="240" w:lineRule="auto"/>
              <w:textAlignment w:val="baseline"/>
              <w:rPr>
                <w:rFonts w:eastAsia="Times New Roman" w:cs="Times New Roman"/>
              </w:rPr>
            </w:pPr>
            <w:r>
              <w:rPr>
                <w:rFonts w:eastAsia="Times New Roman" w:cs="Times New Roman"/>
                <w:b/>
                <w:bCs/>
                <w:color w:val="FFFFFF"/>
                <w:lang w:val="pt-BR"/>
              </w:rPr>
              <w:t>Justificativa</w:t>
            </w:r>
            <w:r>
              <w:rPr>
                <w:rFonts w:eastAsia="Times New Roman" w:cs="Times New Roman"/>
                <w:color w:val="FFFFFF"/>
                <w:lang w:val="pt-BR"/>
              </w:rPr>
              <w:t xml:space="preserve">  </w:t>
            </w:r>
          </w:p>
        </w:tc>
      </w:tr>
      <w:tr w:rsidR="00C566B2" w:rsidRPr="00C04CDD" w14:paraId="5C83694E"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F0D56AB" w14:textId="77777777" w:rsidR="00A64B9E" w:rsidRPr="00CC1CB4" w:rsidRDefault="00000000" w:rsidP="002E7402">
            <w:pPr>
              <w:spacing w:after="0" w:line="240" w:lineRule="auto"/>
              <w:textAlignment w:val="baseline"/>
              <w:rPr>
                <w:rFonts w:eastAsia="Times New Roman" w:cs="Times New Roman"/>
                <w:b/>
                <w:bCs/>
                <w:lang w:val="es-ES"/>
              </w:rPr>
            </w:pPr>
            <w:r>
              <w:rPr>
                <w:rFonts w:eastAsia="Times New Roman" w:cs="Times New Roman"/>
                <w:b/>
                <w:bCs/>
                <w:lang w:val="pt-BR"/>
              </w:rPr>
              <w:t>Título IA: Exceção de matemática do oitavo ano</w:t>
            </w:r>
          </w:p>
        </w:tc>
        <w:tc>
          <w:tcPr>
            <w:tcW w:w="1496" w:type="dxa"/>
            <w:tcBorders>
              <w:top w:val="single" w:sz="6" w:space="0" w:color="auto"/>
              <w:left w:val="single" w:sz="6" w:space="0" w:color="auto"/>
              <w:bottom w:val="single" w:sz="6" w:space="0" w:color="auto"/>
              <w:right w:val="single" w:sz="6" w:space="0" w:color="auto"/>
            </w:tcBorders>
            <w:shd w:val="clear" w:color="auto" w:fill="auto"/>
          </w:tcPr>
          <w:p w14:paraId="3DC2E48B" w14:textId="77777777" w:rsidR="00A64B9E" w:rsidRPr="00CC1CB4" w:rsidRDefault="00000000" w:rsidP="4A507F95">
            <w:pPr>
              <w:spacing w:after="0" w:line="240" w:lineRule="auto"/>
              <w:textAlignment w:val="baseline"/>
              <w:rPr>
                <w:rFonts w:eastAsia="Times New Roman" w:cs="Times New Roman"/>
                <w:b/>
                <w:bCs/>
                <w:lang w:val="es-ES"/>
              </w:rPr>
            </w:pPr>
            <w:r>
              <w:rPr>
                <w:rFonts w:eastAsia="Times New Roman" w:cs="Times New Roman"/>
                <w:b/>
                <w:bCs/>
                <w:lang w:val="pt-BR"/>
              </w:rPr>
              <w:t xml:space="preserve">Apoio ao curso de matemática avançada no ensino médio </w:t>
            </w:r>
          </w:p>
        </w:tc>
        <w:tc>
          <w:tcPr>
            <w:tcW w:w="1872" w:type="dxa"/>
            <w:tcBorders>
              <w:top w:val="single" w:sz="6" w:space="0" w:color="auto"/>
              <w:left w:val="single" w:sz="6" w:space="0" w:color="auto"/>
              <w:bottom w:val="single" w:sz="6" w:space="0" w:color="auto"/>
              <w:right w:val="single" w:sz="6" w:space="0" w:color="auto"/>
            </w:tcBorders>
            <w:shd w:val="clear" w:color="auto" w:fill="auto"/>
          </w:tcPr>
          <w:p w14:paraId="78C67D3D" w14:textId="77777777" w:rsidR="00A64B9E" w:rsidRPr="00CC1CB4" w:rsidRDefault="00000000" w:rsidP="002E7402">
            <w:pPr>
              <w:spacing w:after="0" w:line="240" w:lineRule="auto"/>
              <w:textAlignment w:val="baseline"/>
              <w:rPr>
                <w:rFonts w:eastAsia="Times New Roman" w:cs="Times New Roman"/>
                <w:lang w:val="es-ES"/>
              </w:rPr>
            </w:pPr>
            <w:r>
              <w:rPr>
                <w:rFonts w:eastAsia="Times New Roman" w:cs="Times New Roman"/>
                <w:lang w:val="pt-BR"/>
              </w:rPr>
              <w:t xml:space="preserve">Descrição das estratégias e suporte de aprendizagem profissional em todo o estado. </w:t>
            </w:r>
          </w:p>
        </w:tc>
        <w:tc>
          <w:tcPr>
            <w:tcW w:w="2170" w:type="dxa"/>
            <w:tcBorders>
              <w:top w:val="single" w:sz="6" w:space="0" w:color="auto"/>
              <w:left w:val="single" w:sz="6" w:space="0" w:color="auto"/>
              <w:bottom w:val="single" w:sz="6" w:space="0" w:color="auto"/>
              <w:right w:val="single" w:sz="6" w:space="0" w:color="auto"/>
            </w:tcBorders>
            <w:shd w:val="clear" w:color="auto" w:fill="auto"/>
          </w:tcPr>
          <w:p w14:paraId="71BF77B5" w14:textId="77777777" w:rsidR="00A64B9E" w:rsidRPr="00CC1CB4" w:rsidRDefault="00000000" w:rsidP="0016743D">
            <w:pPr>
              <w:rPr>
                <w:rFonts w:eastAsia="Times New Roman" w:cs="Times New Roman"/>
                <w:lang w:val="es-ES"/>
              </w:rPr>
            </w:pPr>
            <w:r>
              <w:rPr>
                <w:rFonts w:eastAsia="Times New Roman" w:cs="Times New Roman"/>
                <w:lang w:val="pt-BR"/>
              </w:rPr>
              <w:t>Descrição atualizada do suporte de aprendizagem profissional em todo o estado, com maior foco em maneiras de expandir opções avançadas de matemática para todos os alunos.</w:t>
            </w:r>
          </w:p>
        </w:tc>
        <w:tc>
          <w:tcPr>
            <w:tcW w:w="2211" w:type="dxa"/>
            <w:tcBorders>
              <w:top w:val="single" w:sz="6" w:space="0" w:color="auto"/>
              <w:left w:val="single" w:sz="6" w:space="0" w:color="auto"/>
              <w:bottom w:val="single" w:sz="6" w:space="0" w:color="auto"/>
              <w:right w:val="single" w:sz="6" w:space="0" w:color="auto"/>
            </w:tcBorders>
            <w:shd w:val="clear" w:color="auto" w:fill="auto"/>
          </w:tcPr>
          <w:p w14:paraId="59603FFB" w14:textId="77777777" w:rsidR="00A64B9E" w:rsidRPr="00CC1CB4" w:rsidRDefault="00000000" w:rsidP="11C0E351">
            <w:pPr>
              <w:spacing w:after="0" w:line="240" w:lineRule="auto"/>
              <w:textAlignment w:val="baseline"/>
              <w:rPr>
                <w:rFonts w:eastAsia="Times New Roman" w:cs="Times New Roman"/>
                <w:lang w:val="es-ES"/>
              </w:rPr>
            </w:pPr>
            <w:r>
              <w:rPr>
                <w:rFonts w:eastAsia="Times New Roman" w:cs="Times New Roman"/>
                <w:lang w:val="pt-BR"/>
              </w:rPr>
              <w:t>O NJDOE continuará a apoiar as LEAs na oferta de maiores oportunidades para alunos do ensino médio se matricularem em cursos de matemática de nível avançado.</w:t>
            </w:r>
          </w:p>
        </w:tc>
      </w:tr>
      <w:tr w:rsidR="00C566B2" w:rsidRPr="00C04CDD" w14:paraId="0F72D258"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86BCF78" w14:textId="77777777" w:rsidR="002E7402" w:rsidRPr="00C87D35" w:rsidRDefault="00000000" w:rsidP="002E7402">
            <w:pPr>
              <w:spacing w:after="0" w:line="240" w:lineRule="auto"/>
              <w:textAlignment w:val="baseline"/>
              <w:rPr>
                <w:rFonts w:eastAsia="Times New Roman" w:cs="Times New Roman"/>
              </w:rPr>
            </w:pPr>
            <w:r>
              <w:rPr>
                <w:rFonts w:eastAsia="Times New Roman" w:cs="Times New Roman"/>
                <w:b/>
                <w:bCs/>
                <w:lang w:val="pt-BR"/>
              </w:rPr>
              <w:t>Título IA: Avaliação</w:t>
            </w:r>
            <w:r>
              <w:rPr>
                <w:rFonts w:eastAsia="Times New Roman" w:cs="Times New Roman"/>
                <w:lang w:val="pt-BR"/>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1B030B48" w14:textId="77777777" w:rsidR="002E7402" w:rsidRPr="00C87D35" w:rsidRDefault="00000000" w:rsidP="4A507F95">
            <w:pPr>
              <w:spacing w:after="0" w:line="240" w:lineRule="auto"/>
              <w:textAlignment w:val="baseline"/>
              <w:rPr>
                <w:rFonts w:eastAsia="Times New Roman" w:cs="Times New Roman"/>
                <w:b/>
                <w:bCs/>
              </w:rPr>
            </w:pPr>
            <w:r>
              <w:rPr>
                <w:rFonts w:eastAsia="Times New Roman" w:cs="Times New Roman"/>
                <w:b/>
                <w:bCs/>
                <w:lang w:val="pt-BR"/>
              </w:rPr>
              <w:t xml:space="preserve"> Avaliação de idioma nativo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5ED49715" w14:textId="77777777" w:rsidR="002E7402" w:rsidRPr="00CC1CB4" w:rsidRDefault="00000000" w:rsidP="002E7402">
            <w:pPr>
              <w:spacing w:after="0" w:line="240" w:lineRule="auto"/>
              <w:textAlignment w:val="baseline"/>
              <w:rPr>
                <w:rFonts w:eastAsia="Times New Roman" w:cs="Times New Roman"/>
                <w:lang w:val="es-ES"/>
              </w:rPr>
            </w:pPr>
            <w:r>
              <w:rPr>
                <w:rFonts w:eastAsia="Times New Roman" w:cs="Times New Roman"/>
                <w:lang w:val="pt-BR"/>
              </w:rPr>
              <w:t>Um dos três possíveis critérios definidos pelo estado para exigir que as avaliações em todo o estado sejam traduzidas para outros idiomas além do inglês foi: “Qualquer idioma nativo diferente do inglês que esteja presente na população de alunos de inglês por 3 anos ou mais, falado por mais de 20% da população estudantil total testada em um determinado condado.”</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1CB4D6E0" w14:textId="77777777" w:rsidR="002E7402" w:rsidRPr="00CC1CB4" w:rsidRDefault="00000000" w:rsidP="002E7402">
            <w:pPr>
              <w:spacing w:after="0" w:line="240" w:lineRule="auto"/>
              <w:textAlignment w:val="baseline"/>
              <w:rPr>
                <w:rFonts w:eastAsia="Times New Roman" w:cs="Times New Roman"/>
                <w:lang w:val="es-ES"/>
              </w:rPr>
            </w:pPr>
            <w:r>
              <w:rPr>
                <w:rFonts w:eastAsia="Times New Roman" w:cs="Times New Roman"/>
                <w:lang w:val="pt-BR"/>
              </w:rPr>
              <w:t xml:space="preserve">As atualizações de 2024 removem esse critério baseado no município e compartilham planos para conduzir uma revisão a fim de analisar uma mudança de política e reavaliar a definição em consulta com as partes interessadas. </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60A40579" w14:textId="77777777" w:rsidR="002E7402" w:rsidRPr="00CC1CB4" w:rsidRDefault="00000000" w:rsidP="11C0E351">
            <w:pPr>
              <w:spacing w:after="0" w:line="240" w:lineRule="auto"/>
              <w:textAlignment w:val="baseline"/>
              <w:rPr>
                <w:rFonts w:eastAsia="Times New Roman" w:cs="Times New Roman"/>
                <w:lang w:val="es-ES"/>
              </w:rPr>
            </w:pPr>
            <w:r>
              <w:rPr>
                <w:rFonts w:eastAsia="Times New Roman" w:cs="Times New Roman"/>
                <w:lang w:val="pt-BR"/>
              </w:rPr>
              <w:t>Após uma revisão do número total de idiomas nativos falados por alunos em todo o estado e consulta com as partes interessadas, o NJDOE recomenda a alteração e análise adicional. O critério baseado no condado não fornece uma imagem justa ou confiável dos idiomas nativos mais falados, exceto o inglês, que é falado em todo o estado.</w:t>
            </w:r>
          </w:p>
        </w:tc>
      </w:tr>
      <w:tr w:rsidR="00C566B2" w14:paraId="5015EA73"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2FC3636" w14:textId="77777777" w:rsidR="002E7402" w:rsidRPr="00C87D35" w:rsidRDefault="00000000" w:rsidP="002E7402">
            <w:pPr>
              <w:spacing w:after="0" w:line="240" w:lineRule="auto"/>
              <w:textAlignment w:val="baseline"/>
              <w:rPr>
                <w:rFonts w:eastAsia="Times New Roman" w:cs="Times New Roman"/>
              </w:rPr>
            </w:pPr>
            <w:r>
              <w:rPr>
                <w:rFonts w:eastAsia="Times New Roman" w:cs="Times New Roman"/>
                <w:b/>
                <w:bCs/>
                <w:lang w:val="pt-BR"/>
              </w:rPr>
              <w:lastRenderedPageBreak/>
              <w:t>Título IA: Responsabilização</w:t>
            </w:r>
            <w:r>
              <w:rPr>
                <w:rFonts w:eastAsia="Times New Roman" w:cs="Times New Roman"/>
                <w:lang w:val="pt-BR"/>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60B890F4" w14:textId="77777777" w:rsidR="0016743D" w:rsidRPr="00CC1CB4" w:rsidRDefault="00000000" w:rsidP="002E7402">
            <w:pPr>
              <w:spacing w:after="0" w:line="240" w:lineRule="auto"/>
              <w:textAlignment w:val="baseline"/>
              <w:rPr>
                <w:rFonts w:eastAsia="Times New Roman" w:cs="Times New Roman"/>
                <w:b/>
                <w:bCs/>
                <w:lang w:val="es-ES"/>
              </w:rPr>
            </w:pPr>
            <w:r>
              <w:rPr>
                <w:rFonts w:eastAsia="Times New Roman" w:cs="Times New Roman"/>
                <w:b/>
                <w:bCs/>
                <w:lang w:val="pt-BR"/>
              </w:rPr>
              <w:t>Subgrupos/</w:t>
            </w:r>
          </w:p>
          <w:p w14:paraId="239DCA97" w14:textId="77777777" w:rsidR="002E7402" w:rsidRPr="00CC1CB4" w:rsidRDefault="00000000" w:rsidP="002E7402">
            <w:pPr>
              <w:spacing w:after="0" w:line="240" w:lineRule="auto"/>
              <w:textAlignment w:val="baseline"/>
              <w:rPr>
                <w:rFonts w:eastAsia="Times New Roman" w:cs="Times New Roman"/>
                <w:lang w:val="es-ES"/>
              </w:rPr>
            </w:pPr>
            <w:r>
              <w:rPr>
                <w:rFonts w:eastAsia="Times New Roman" w:cs="Times New Roman"/>
                <w:b/>
                <w:bCs/>
                <w:lang w:val="pt-BR"/>
              </w:rPr>
              <w:t>ao longo de todo o</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7771D68C" w14:textId="77777777" w:rsidR="002E7402" w:rsidRPr="00CC1CB4" w:rsidRDefault="00000000" w:rsidP="002E7402">
            <w:pPr>
              <w:spacing w:after="0" w:line="240" w:lineRule="auto"/>
              <w:textAlignment w:val="baseline"/>
              <w:rPr>
                <w:rFonts w:eastAsia="Times New Roman" w:cs="Times New Roman"/>
                <w:lang w:val="es-ES"/>
              </w:rPr>
            </w:pPr>
            <w:r>
              <w:rPr>
                <w:rFonts w:eastAsia="Times New Roman" w:cs="Times New Roman"/>
                <w:color w:val="000000"/>
                <w:lang w:val="pt-BR"/>
              </w:rPr>
              <w:t xml:space="preserve">“Subgrupo” é um termo definido na ESSA e destina-se apenas a observar grupos dentro de um grupo maior. </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6540B4F0" w14:textId="77777777" w:rsidR="002E7402" w:rsidRPr="00CC1CB4" w:rsidRDefault="00000000" w:rsidP="002E7402">
            <w:pPr>
              <w:spacing w:after="0" w:line="240" w:lineRule="auto"/>
              <w:textAlignment w:val="baseline"/>
              <w:rPr>
                <w:rFonts w:eastAsia="Times New Roman" w:cs="Times New Roman"/>
                <w:lang w:val="es-ES"/>
              </w:rPr>
            </w:pPr>
            <w:r>
              <w:rPr>
                <w:rFonts w:eastAsia="Times New Roman" w:cs="Times New Roman"/>
                <w:color w:val="000000"/>
                <w:lang w:val="pt-BR"/>
              </w:rPr>
              <w:t xml:space="preserve">O NJDOE agora se refere a “subgrupos” como “grupos de alunos”. </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7E6A5398" w14:textId="77777777" w:rsidR="002E7402" w:rsidRPr="00C87D35" w:rsidRDefault="00000000" w:rsidP="11C0E351">
            <w:pPr>
              <w:spacing w:after="0" w:line="240" w:lineRule="auto"/>
              <w:textAlignment w:val="baseline"/>
              <w:rPr>
                <w:rFonts w:eastAsia="Times New Roman" w:cs="Times New Roman"/>
                <w:color w:val="000000" w:themeColor="text1"/>
              </w:rPr>
            </w:pPr>
            <w:r>
              <w:rPr>
                <w:rFonts w:eastAsia="Times New Roman" w:cs="Times New Roman"/>
                <w:color w:val="000000"/>
                <w:lang w:val="pt-BR"/>
              </w:rPr>
              <w:t>O objetivo do NJDOE é mudar para uma linguagem baseada em ativos o máximo possível. Essa alteração está alinhada com as políticas estaduais.</w:t>
            </w:r>
          </w:p>
        </w:tc>
      </w:tr>
      <w:tr w:rsidR="00C566B2" w:rsidRPr="00C04CDD" w14:paraId="59E46ED3"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3D01DE8" w14:textId="77777777" w:rsidR="00A76C2A" w:rsidRPr="00C87D35" w:rsidRDefault="00000000" w:rsidP="002E7402">
            <w:pPr>
              <w:spacing w:after="0" w:line="240" w:lineRule="auto"/>
              <w:textAlignment w:val="baseline"/>
              <w:rPr>
                <w:rFonts w:eastAsia="Times New Roman" w:cs="Times New Roman"/>
                <w:b/>
                <w:bCs/>
              </w:rPr>
            </w:pPr>
            <w:r>
              <w:rPr>
                <w:rFonts w:eastAsia="Times New Roman" w:cs="Times New Roman"/>
                <w:b/>
                <w:bCs/>
                <w:lang w:val="pt-BR"/>
              </w:rPr>
              <w:t>Título IA: Responsabilização</w:t>
            </w:r>
            <w:r>
              <w:rPr>
                <w:rFonts w:eastAsia="Times New Roman" w:cs="Times New Roman"/>
                <w:lang w:val="pt-BR"/>
              </w:rPr>
              <w:t> </w:t>
            </w:r>
          </w:p>
        </w:tc>
        <w:tc>
          <w:tcPr>
            <w:tcW w:w="1496" w:type="dxa"/>
            <w:tcBorders>
              <w:top w:val="single" w:sz="6" w:space="0" w:color="auto"/>
              <w:left w:val="single" w:sz="6" w:space="0" w:color="auto"/>
              <w:bottom w:val="single" w:sz="6" w:space="0" w:color="auto"/>
              <w:right w:val="single" w:sz="6" w:space="0" w:color="auto"/>
            </w:tcBorders>
            <w:shd w:val="clear" w:color="auto" w:fill="auto"/>
          </w:tcPr>
          <w:p w14:paraId="12184F36" w14:textId="77777777" w:rsidR="00A76C2A" w:rsidRPr="00C87D35" w:rsidRDefault="00000000" w:rsidP="002E7402">
            <w:pPr>
              <w:spacing w:after="0" w:line="240" w:lineRule="auto"/>
              <w:textAlignment w:val="baseline"/>
              <w:rPr>
                <w:rFonts w:eastAsia="Times New Roman" w:cs="Times New Roman"/>
              </w:rPr>
            </w:pPr>
            <w:r>
              <w:rPr>
                <w:rFonts w:eastAsia="Times New Roman" w:cs="Times New Roman"/>
                <w:b/>
                <w:bCs/>
                <w:lang w:val="pt-BR"/>
              </w:rPr>
              <w:t>Subgrupos</w:t>
            </w:r>
            <w:r>
              <w:rPr>
                <w:rFonts w:eastAsia="Times New Roman" w:cs="Times New Roman"/>
                <w:lang w:val="pt-BR"/>
              </w:rPr>
              <w:t xml:space="preserve"> (</w:t>
            </w:r>
            <w:r>
              <w:rPr>
                <w:rFonts w:eastAsia="Times New Roman" w:cs="Times New Roman"/>
                <w:b/>
                <w:bCs/>
                <w:lang w:val="pt-BR"/>
              </w:rPr>
              <w:t>pergunta “c.”)</w:t>
            </w:r>
          </w:p>
        </w:tc>
        <w:tc>
          <w:tcPr>
            <w:tcW w:w="1872" w:type="dxa"/>
            <w:tcBorders>
              <w:top w:val="single" w:sz="6" w:space="0" w:color="auto"/>
              <w:left w:val="single" w:sz="6" w:space="0" w:color="auto"/>
              <w:bottom w:val="single" w:sz="6" w:space="0" w:color="auto"/>
              <w:right w:val="single" w:sz="6" w:space="0" w:color="auto"/>
            </w:tcBorders>
            <w:shd w:val="clear" w:color="auto" w:fill="auto"/>
          </w:tcPr>
          <w:p w14:paraId="49A37CE5" w14:textId="77777777" w:rsidR="00A76C2A" w:rsidRPr="00CC1CB4" w:rsidRDefault="00000000" w:rsidP="002E7402">
            <w:pPr>
              <w:spacing w:after="0" w:line="240" w:lineRule="auto"/>
              <w:textAlignment w:val="baseline"/>
              <w:rPr>
                <w:rFonts w:eastAsia="Times New Roman" w:cs="Times New Roman"/>
                <w:color w:val="000000" w:themeColor="text1"/>
                <w:lang w:val="es-ES"/>
              </w:rPr>
            </w:pPr>
            <w:r>
              <w:rPr>
                <w:rFonts w:eastAsia="Times New Roman" w:cs="Times New Roman"/>
                <w:color w:val="000000"/>
                <w:lang w:val="pt-BR"/>
              </w:rPr>
              <w:t>Em alinhamento com os cálculos de Conquista Acadêmica e Progresso Acadêmico, o NJDOE pretendia atribuir dados de absenteísmo crônico para um estudante previamente identificado como aluno multilíngue e por quatro anos após ele deixar de ser identificado como aluno multilíngue para o grupo de alunos multilíngues.</w:t>
            </w:r>
          </w:p>
        </w:tc>
        <w:tc>
          <w:tcPr>
            <w:tcW w:w="2170" w:type="dxa"/>
            <w:tcBorders>
              <w:top w:val="single" w:sz="6" w:space="0" w:color="auto"/>
              <w:left w:val="single" w:sz="6" w:space="0" w:color="auto"/>
              <w:bottom w:val="single" w:sz="6" w:space="0" w:color="auto"/>
              <w:right w:val="single" w:sz="6" w:space="0" w:color="auto"/>
            </w:tcBorders>
            <w:shd w:val="clear" w:color="auto" w:fill="auto"/>
          </w:tcPr>
          <w:p w14:paraId="1FFB3276" w14:textId="77777777" w:rsidR="00A76C2A" w:rsidRPr="00CC1CB4" w:rsidRDefault="00000000" w:rsidP="002E7402">
            <w:pPr>
              <w:spacing w:after="0" w:line="240" w:lineRule="auto"/>
              <w:textAlignment w:val="baseline"/>
              <w:rPr>
                <w:rFonts w:eastAsia="Times New Roman" w:cs="Times New Roman"/>
                <w:color w:val="000000"/>
                <w:lang w:val="es-ES"/>
              </w:rPr>
            </w:pPr>
            <w:r>
              <w:rPr>
                <w:rFonts w:eastAsia="Times New Roman" w:cs="Times New Roman"/>
                <w:color w:val="000000"/>
                <w:lang w:val="pt-BR"/>
              </w:rPr>
              <w:t xml:space="preserve">O NJDOE removeu esta disposição para o indicador de qualidade escolar ou de sucesso do aluno. </w:t>
            </w:r>
          </w:p>
        </w:tc>
        <w:tc>
          <w:tcPr>
            <w:tcW w:w="2211" w:type="dxa"/>
            <w:tcBorders>
              <w:top w:val="single" w:sz="6" w:space="0" w:color="auto"/>
              <w:left w:val="single" w:sz="6" w:space="0" w:color="auto"/>
              <w:bottom w:val="single" w:sz="6" w:space="0" w:color="auto"/>
              <w:right w:val="single" w:sz="6" w:space="0" w:color="auto"/>
            </w:tcBorders>
            <w:shd w:val="clear" w:color="auto" w:fill="auto"/>
          </w:tcPr>
          <w:p w14:paraId="02CBA779" w14:textId="77777777" w:rsidR="00A76C2A" w:rsidRPr="00CC1CB4" w:rsidRDefault="00000000" w:rsidP="11C0E351">
            <w:pPr>
              <w:spacing w:after="0" w:line="240" w:lineRule="auto"/>
              <w:textAlignment w:val="baseline"/>
              <w:rPr>
                <w:rFonts w:eastAsia="Times New Roman" w:cs="Times New Roman"/>
                <w:color w:val="000000" w:themeColor="text1"/>
                <w:lang w:val="es-ES"/>
              </w:rPr>
            </w:pPr>
            <w:r>
              <w:rPr>
                <w:rFonts w:eastAsia="Times New Roman" w:cs="Times New Roman"/>
                <w:color w:val="000000"/>
                <w:lang w:val="pt-BR"/>
              </w:rPr>
              <w:t xml:space="preserve">Esta disposição foi incluída por engano e a seção agora descreve com precisão a prática atual do NJDOE. Ele também se alinha com a ESSA, que não permite que os estados incluam alunos previamente identificados como MLs no grupo de alunos de ML para fins do indicador de sucesso de qualidade escolar. </w:t>
            </w:r>
          </w:p>
        </w:tc>
      </w:tr>
      <w:tr w:rsidR="00C566B2" w:rsidRPr="00C04CDD" w14:paraId="3FFEA512"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2B7C7264" w14:textId="77777777" w:rsidR="00D60D05" w:rsidRPr="00C87D35" w:rsidRDefault="00000000" w:rsidP="00D60D05">
            <w:pPr>
              <w:spacing w:after="0" w:line="240" w:lineRule="auto"/>
              <w:textAlignment w:val="baseline"/>
              <w:rPr>
                <w:rFonts w:eastAsia="Times New Roman" w:cs="Times New Roman"/>
                <w:b/>
                <w:bCs/>
              </w:rPr>
            </w:pPr>
            <w:r>
              <w:rPr>
                <w:rFonts w:eastAsia="Times New Roman" w:cs="Times New Roman"/>
                <w:b/>
                <w:bCs/>
                <w:lang w:val="pt-BR"/>
              </w:rPr>
              <w:lastRenderedPageBreak/>
              <w:t>Título IA: Responsabilização</w:t>
            </w:r>
            <w:r>
              <w:rPr>
                <w:rFonts w:eastAsia="Times New Roman" w:cs="Times New Roman"/>
                <w:lang w:val="pt-BR"/>
              </w:rPr>
              <w:t> </w:t>
            </w:r>
          </w:p>
        </w:tc>
        <w:tc>
          <w:tcPr>
            <w:tcW w:w="1496" w:type="dxa"/>
            <w:tcBorders>
              <w:top w:val="single" w:sz="6" w:space="0" w:color="auto"/>
              <w:left w:val="single" w:sz="6" w:space="0" w:color="auto"/>
              <w:bottom w:val="single" w:sz="6" w:space="0" w:color="auto"/>
              <w:right w:val="single" w:sz="6" w:space="0" w:color="auto"/>
            </w:tcBorders>
            <w:shd w:val="clear" w:color="auto" w:fill="auto"/>
          </w:tcPr>
          <w:p w14:paraId="603D39B9" w14:textId="77777777" w:rsidR="00D60D05" w:rsidRPr="00C87D35" w:rsidRDefault="00000000" w:rsidP="00D60D05">
            <w:pPr>
              <w:spacing w:after="0" w:line="240" w:lineRule="auto"/>
              <w:textAlignment w:val="baseline"/>
              <w:rPr>
                <w:rFonts w:eastAsia="Times New Roman" w:cs="Times New Roman"/>
                <w:b/>
                <w:bCs/>
              </w:rPr>
            </w:pPr>
            <w:r>
              <w:rPr>
                <w:rFonts w:eastAsia="Times New Roman" w:cs="Times New Roman"/>
                <w:b/>
                <w:bCs/>
                <w:lang w:val="pt-BR"/>
              </w:rPr>
              <w:t>Subgrupos (pergunta “d.”)</w:t>
            </w:r>
          </w:p>
        </w:tc>
        <w:tc>
          <w:tcPr>
            <w:tcW w:w="1872" w:type="dxa"/>
            <w:tcBorders>
              <w:top w:val="single" w:sz="6" w:space="0" w:color="auto"/>
              <w:left w:val="single" w:sz="6" w:space="0" w:color="auto"/>
              <w:bottom w:val="single" w:sz="6" w:space="0" w:color="auto"/>
              <w:right w:val="single" w:sz="6" w:space="0" w:color="auto"/>
            </w:tcBorders>
            <w:shd w:val="clear" w:color="auto" w:fill="auto"/>
          </w:tcPr>
          <w:p w14:paraId="27DC4E6B" w14:textId="77777777" w:rsidR="00D60D05" w:rsidRPr="00CC1CB4" w:rsidRDefault="00000000" w:rsidP="00D60D05">
            <w:pPr>
              <w:spacing w:after="0" w:line="240" w:lineRule="auto"/>
              <w:textAlignment w:val="baseline"/>
              <w:rPr>
                <w:rFonts w:eastAsia="Times New Roman" w:cs="Times New Roman"/>
                <w:color w:val="000000" w:themeColor="text1"/>
                <w:lang w:val="es-ES"/>
              </w:rPr>
            </w:pPr>
            <w:r>
              <w:rPr>
                <w:rFonts w:eastAsia="Times New Roman" w:cs="Times New Roman"/>
                <w:color w:val="000000"/>
                <w:lang w:val="pt-BR"/>
              </w:rPr>
              <w:t>Em seu plano de 2017, o NJDOE propôs que os alunos multilíngues em transição de uma avaliação descrita na Seção 1111(b)(2)(B)(v)(I) da ESSA em um idioma diferente do inglês para avaliações em inglês serão isentos do indicador de progresso acadêmico devido a possíveis proficiências diferentes de idioma em uma língua diferente do inglês e do inglês.</w:t>
            </w:r>
          </w:p>
        </w:tc>
        <w:tc>
          <w:tcPr>
            <w:tcW w:w="2170" w:type="dxa"/>
            <w:tcBorders>
              <w:top w:val="single" w:sz="6" w:space="0" w:color="auto"/>
              <w:left w:val="single" w:sz="6" w:space="0" w:color="auto"/>
              <w:bottom w:val="single" w:sz="6" w:space="0" w:color="auto"/>
              <w:right w:val="single" w:sz="6" w:space="0" w:color="auto"/>
            </w:tcBorders>
            <w:shd w:val="clear" w:color="auto" w:fill="auto"/>
          </w:tcPr>
          <w:p w14:paraId="49B91B0A" w14:textId="77777777" w:rsidR="00D60D05" w:rsidRPr="00CC1CB4" w:rsidRDefault="00000000" w:rsidP="00D60D05">
            <w:pPr>
              <w:spacing w:after="0" w:line="240" w:lineRule="auto"/>
              <w:textAlignment w:val="baseline"/>
              <w:rPr>
                <w:rFonts w:eastAsia="Times New Roman" w:cs="Times New Roman"/>
                <w:color w:val="000000"/>
                <w:lang w:val="es-ES"/>
              </w:rPr>
            </w:pPr>
            <w:r>
              <w:rPr>
                <w:rFonts w:eastAsia="Times New Roman" w:cs="Times New Roman"/>
                <w:color w:val="000000"/>
                <w:lang w:val="pt-BR"/>
              </w:rPr>
              <w:t xml:space="preserve">O NJDOE removeu esta disposição para o indicador de qualidade escolar ou de sucesso do aluno. </w:t>
            </w:r>
          </w:p>
        </w:tc>
        <w:tc>
          <w:tcPr>
            <w:tcW w:w="2211" w:type="dxa"/>
            <w:tcBorders>
              <w:top w:val="single" w:sz="6" w:space="0" w:color="auto"/>
              <w:left w:val="single" w:sz="6" w:space="0" w:color="auto"/>
              <w:bottom w:val="single" w:sz="6" w:space="0" w:color="auto"/>
              <w:right w:val="single" w:sz="6" w:space="0" w:color="auto"/>
            </w:tcBorders>
            <w:shd w:val="clear" w:color="auto" w:fill="auto"/>
          </w:tcPr>
          <w:p w14:paraId="5D4F2300" w14:textId="77777777" w:rsidR="00D60D05" w:rsidRPr="00CC1CB4" w:rsidRDefault="00000000" w:rsidP="00D60D05">
            <w:pPr>
              <w:spacing w:after="0" w:line="240" w:lineRule="auto"/>
              <w:textAlignment w:val="baseline"/>
              <w:rPr>
                <w:rFonts w:eastAsia="Times New Roman" w:cs="Times New Roman"/>
                <w:color w:val="000000"/>
                <w:lang w:val="es-ES"/>
              </w:rPr>
            </w:pPr>
            <w:r>
              <w:rPr>
                <w:rFonts w:eastAsia="Times New Roman" w:cs="Times New Roman"/>
                <w:color w:val="000000"/>
                <w:lang w:val="pt-BR"/>
              </w:rPr>
              <w:t xml:space="preserve">Esta disposição foi incluída por engano e a seção agora descreve com precisão a prática atual do NJDOE. Ele também se alinha com a ESSA, que não permite que os estados isentem MLs do indicador de progresso acadêmico. </w:t>
            </w:r>
            <w:r>
              <w:rPr>
                <w:rFonts w:eastAsia="Times New Roman" w:cs="Arial"/>
                <w:lang w:val="pt-BR"/>
              </w:rPr>
              <w:t>Como parte dos requisitos de revisão por pares da avaliação do Título I, o NJDOE demonstrou que os resultados para as versões em espanhol e inglês do NJDOE das avaliações em todo o estado são comparáveis.</w:t>
            </w:r>
          </w:p>
        </w:tc>
      </w:tr>
      <w:tr w:rsidR="00C566B2" w:rsidRPr="00C04CDD" w14:paraId="24F386F2"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70F76DC"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b/>
                <w:bCs/>
                <w:lang w:val="pt-BR"/>
              </w:rPr>
              <w:lastRenderedPageBreak/>
              <w:t>Título IA: Metas de longo prazo</w:t>
            </w:r>
            <w:r>
              <w:rPr>
                <w:rFonts w:eastAsia="Times New Roman" w:cs="Times New Roman"/>
                <w:lang w:val="pt-BR"/>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174FAF2A"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b/>
                <w:bCs/>
                <w:lang w:val="pt-BR"/>
              </w:rPr>
              <w:t>Metas acadêmicas e taxa de formação</w:t>
            </w:r>
            <w:r>
              <w:rPr>
                <w:rFonts w:eastAsia="Times New Roman" w:cs="Times New Roman"/>
                <w:lang w:val="pt-BR"/>
              </w:rPr>
              <w:t xml:space="preserve">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66FF9E8B"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color w:val="000000"/>
                <w:lang w:val="pt-BR"/>
              </w:rPr>
              <w:t xml:space="preserve">Nova Jersey estabeleceu metas de longo prazo de 12 anos. </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777234DA"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lang w:val="pt-BR"/>
              </w:rPr>
              <w:t xml:space="preserve">Criar metas futuras, separadas das metas de longo prazo da ESSA, refletindo a meta final do estado para cada indicador e para todos os alunos. As novas metas de longo prazo da ESSA fecharão as lacunas entre o desempenho da linha de base e as metas futuras em uma porcentagem definida a cada 6 anos. A cada 6 anos, crie uma nova meta de longo prazo para fechar a lacuna entre a nova linha de base e a meta futura. </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736280C9"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lang w:val="pt-BR"/>
              </w:rPr>
              <w:t xml:space="preserve">As recomendações seguiram pesquisas e levantamentos de metas estaduais em outros estados, uma revisão da implementação estadual da medição do progresso de todas as escolas em direção a metas provisórias e uma revisão do progresso real da escola e do grupo de alunos nos últimos anos. As metas seriam reajustadas a cada ano para traçar um caminho de progresso anual adicional em direção às metas de longo prazo com base no desempenho mais recente da LEA. </w:t>
            </w:r>
          </w:p>
        </w:tc>
      </w:tr>
      <w:tr w:rsidR="00C566B2" w:rsidRPr="00C04CDD" w14:paraId="5FBBF5AC"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D8CC95B" w14:textId="77777777" w:rsidR="00D60D05" w:rsidRPr="00CC1CB4" w:rsidRDefault="00000000" w:rsidP="00D60D05">
            <w:pPr>
              <w:spacing w:after="0" w:line="240" w:lineRule="auto"/>
              <w:textAlignment w:val="baseline"/>
              <w:rPr>
                <w:rFonts w:eastAsia="Times New Roman" w:cs="Times New Roman"/>
                <w:b/>
                <w:bCs/>
                <w:lang w:val="es-ES"/>
              </w:rPr>
            </w:pPr>
            <w:r>
              <w:rPr>
                <w:rFonts w:eastAsia="Times New Roman" w:cs="Times New Roman"/>
                <w:b/>
                <w:bCs/>
                <w:lang w:val="pt-BR"/>
              </w:rPr>
              <w:lastRenderedPageBreak/>
              <w:t xml:space="preserve">Título IA: Metas de longo prazo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0D1580ED" w14:textId="77777777" w:rsidR="00D60D05" w:rsidRPr="00C87D35" w:rsidRDefault="00000000" w:rsidP="00D60D05">
            <w:pPr>
              <w:spacing w:after="0" w:line="240" w:lineRule="auto"/>
              <w:textAlignment w:val="baseline"/>
              <w:rPr>
                <w:rFonts w:eastAsia="Times New Roman" w:cs="Times New Roman"/>
                <w:b/>
                <w:bCs/>
              </w:rPr>
            </w:pPr>
            <w:r>
              <w:rPr>
                <w:rFonts w:eastAsia="Times New Roman" w:cs="Times New Roman"/>
                <w:b/>
                <w:bCs/>
                <w:lang w:val="pt-BR"/>
              </w:rPr>
              <w:t xml:space="preserve">Língua inglesa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0CFFC7E9"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lang w:val="pt-BR"/>
              </w:rPr>
              <w:t xml:space="preserve">As expectativas de crescimento da ELP para alunos multilíngues aumentam em intervalos iguais a cada ano, para que todos os alunos multilíngues atendam à proficiência dentro de cinco anos após entrarem em uma LEA. </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4BA4F7E1"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lang w:val="pt-BR"/>
              </w:rPr>
              <w:t xml:space="preserve">Nos próximos 18 meses, o NJDOE trabalhará com o Laboratório Regional de Educação (Regional Educational Lab, REL) do Meio Atlântico para pesquisar a métrica de Proficiência na língua inglesa (English Language Proficiency, ELP) e se envolver com um grupo consultivo multilíngue/bilíngue. </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12C66276"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lang w:val="pt-BR"/>
              </w:rPr>
              <w:t xml:space="preserve">Por meio desse processo de revisão contínuo, as melhorias na métrica da ELP serão informadas por especialistas em pesquisa e profissionais, de modo que a métrica forneça, dentro dos requisitos federais, a melhor métrica possível para medir e comparar o progresso em direção à proficiência no idioma inglês em todas as escolas. </w:t>
            </w:r>
          </w:p>
        </w:tc>
      </w:tr>
      <w:tr w:rsidR="00C566B2" w:rsidRPr="00C04CDD" w14:paraId="1FFDC8FC" w14:textId="77777777" w:rsidTr="00A5231B">
        <w:trPr>
          <w:cantSplit/>
          <w:trHeight w:val="585"/>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8CCB926"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b/>
                <w:bCs/>
                <w:lang w:val="pt-BR"/>
              </w:rPr>
              <w:lastRenderedPageBreak/>
              <w:t>Título IA: Indicadores de responsabilização escolar</w:t>
            </w:r>
            <w:r>
              <w:rPr>
                <w:rFonts w:eastAsia="Times New Roman" w:cs="Times New Roman"/>
                <w:lang w:val="pt-BR"/>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70E7D5B2" w14:textId="77777777" w:rsidR="00D60D05" w:rsidRPr="00C87D35" w:rsidRDefault="00000000" w:rsidP="00D60D05">
            <w:pPr>
              <w:spacing w:after="0" w:line="240" w:lineRule="auto"/>
              <w:textAlignment w:val="baseline"/>
              <w:rPr>
                <w:rFonts w:eastAsia="Times New Roman" w:cs="Times New Roman"/>
              </w:rPr>
            </w:pPr>
            <w:r>
              <w:rPr>
                <w:rFonts w:eastAsia="Times New Roman" w:cs="Times New Roman"/>
                <w:b/>
                <w:bCs/>
                <w:lang w:val="pt-BR"/>
              </w:rPr>
              <w:t>Realização acadêmica</w:t>
            </w:r>
            <w:r>
              <w:rPr>
                <w:rFonts w:eastAsia="Times New Roman" w:cs="Times New Roman"/>
                <w:lang w:val="pt-BR"/>
              </w:rPr>
              <w:t xml:space="preserve">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08FE0747"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lang w:val="pt-BR"/>
              </w:rPr>
              <w:t xml:space="preserve">Porcentagem de alunos na escola que atendem aos padrões de nível de série em cada avaliação anual estadual em letras e artes em inglês (English language arts, ELA) e matemática (3º a 8º ano e ensino médio). </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1469DAC7"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lang w:val="pt-BR"/>
              </w:rPr>
              <w:t>Explorar e avaliar as medidas de proficiência baseadas em índice no SY 2024-2025 e, em seguida, relatar os resultados da métrica por pelo menos um ano antes de adicioná-los como um indicador no sistema de responsabilização da ESSA. Durante todo o processo de desenvolvimento, o NJDOE buscará feedback das partes interessadas.</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3BFACFAC" w14:textId="77777777" w:rsidR="00D60D05" w:rsidRPr="00CC1CB4" w:rsidRDefault="00000000" w:rsidP="00D60D05">
            <w:pPr>
              <w:spacing w:after="0" w:line="240" w:lineRule="auto"/>
              <w:ind w:left="45"/>
              <w:rPr>
                <w:rFonts w:eastAsia="Times New Roman" w:cs="Times New Roman"/>
                <w:lang w:val="es-ES"/>
              </w:rPr>
            </w:pPr>
            <w:r>
              <w:rPr>
                <w:rFonts w:eastAsia="Times New Roman" w:cs="Times New Roman"/>
                <w:lang w:val="pt-BR"/>
              </w:rPr>
              <w:t>As recomendações seguiram pesquisas e levantamentos de métricas baseadas em índices em outros estados e ambientes, discussões com profissionais sobre os efeitos da métrica atual no design de instrução e currículo, bem como uma revisão do progresso real da escola e do grupo de alunos nos últimos anos. Uma medida de proficiência baseada em índice ajuda a diferenciar melhor as escolas que possuem alunos mais distantes de atender às</w:t>
            </w:r>
            <w:r>
              <w:rPr>
                <w:rFonts w:eastAsia="Times New Roman" w:cs="Times New Roman"/>
                <w:color w:val="0078D4"/>
                <w:u w:val="single"/>
                <w:lang w:val="pt-BR"/>
              </w:rPr>
              <w:t xml:space="preserve"> </w:t>
            </w:r>
            <w:r>
              <w:rPr>
                <w:rFonts w:eastAsia="Times New Roman" w:cs="Times New Roman"/>
                <w:lang w:val="pt-BR"/>
              </w:rPr>
              <w:t xml:space="preserve">expectativas do nível do ano e, portanto, com maior necessidade de apoio. </w:t>
            </w:r>
          </w:p>
        </w:tc>
      </w:tr>
      <w:tr w:rsidR="00C566B2" w:rsidRPr="00C04CDD" w14:paraId="1C3F860A"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6143AAB"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b/>
                <w:bCs/>
                <w:lang w:val="pt-BR"/>
              </w:rPr>
              <w:lastRenderedPageBreak/>
              <w:t>Título IA: Indicadores de responsabilização escolar</w:t>
            </w:r>
            <w:r>
              <w:rPr>
                <w:rFonts w:eastAsia="Times New Roman" w:cs="Times New Roman"/>
                <w:lang w:val="pt-BR"/>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311BAB22" w14:textId="77777777" w:rsidR="00D60D05" w:rsidRPr="00C87D35" w:rsidRDefault="00000000" w:rsidP="00D60D05">
            <w:pPr>
              <w:spacing w:after="0" w:line="240" w:lineRule="auto"/>
              <w:textAlignment w:val="baseline"/>
              <w:rPr>
                <w:rFonts w:eastAsia="Times New Roman" w:cs="Times New Roman"/>
              </w:rPr>
            </w:pPr>
            <w:r>
              <w:rPr>
                <w:rFonts w:eastAsia="Times New Roman" w:cs="Times New Roman"/>
                <w:b/>
                <w:bCs/>
                <w:lang w:val="pt-BR"/>
              </w:rPr>
              <w:t>Taxa de formação</w:t>
            </w:r>
            <w:r>
              <w:rPr>
                <w:rFonts w:eastAsia="Times New Roman" w:cs="Times New Roman"/>
                <w:lang w:val="pt-BR"/>
              </w:rPr>
              <w:t xml:space="preserve">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0D80F83E"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color w:val="000000"/>
                <w:lang w:val="pt-BR"/>
              </w:rPr>
              <w:t xml:space="preserve">Incluiu taxas de formação de grupo ajustado em 4 e 5 anos no indicador de responsabilização. A ponderação dos indicadores foi de 50% para grupos de 4 anos e 50% para grupos de 5 anos. </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27C0218A"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color w:val="000000"/>
                <w:lang w:val="pt-BR"/>
              </w:rPr>
              <w:t xml:space="preserve">Adição da taxa de formação de grupo ajustado de 6 anos como parte do cálculo da taxa de formação geral. A taxa de 4 anos continuaria a ser responsável por 50% do indicador, e as taxas de 5 e 6 anos seriam responsáveis por 25% cada. </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10D37BC2"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color w:val="000000"/>
                <w:lang w:val="pt-BR"/>
              </w:rPr>
              <w:t>Estes são dados disponíveis recentemente</w:t>
            </w:r>
            <w:r>
              <w:rPr>
                <w:rFonts w:eastAsia="Times New Roman" w:cs="Times New Roman"/>
                <w:b/>
                <w:bCs/>
                <w:color w:val="000000"/>
                <w:lang w:val="pt-BR"/>
              </w:rPr>
              <w:t xml:space="preserve">. </w:t>
            </w:r>
            <w:r>
              <w:rPr>
                <w:rFonts w:eastAsia="Times New Roman" w:cs="Times New Roman"/>
                <w:color w:val="000000"/>
                <w:lang w:val="pt-BR"/>
              </w:rPr>
              <w:t xml:space="preserve">O NJDOE e as partes interessadas queriam considerar a taxa de formação de 6 anos; no entanto, os dados não estavam disponíveis em 2017. A taxa de formação de 6 anos incluirá alunos que recebem tempo adicional e ajuda de que precisam para concluir o ensino médio. </w:t>
            </w:r>
          </w:p>
        </w:tc>
      </w:tr>
      <w:tr w:rsidR="00C566B2" w:rsidRPr="00C04CDD" w14:paraId="4E4AD74A"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C05E8D3"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b/>
                <w:bCs/>
                <w:lang w:val="pt-BR"/>
              </w:rPr>
              <w:t>Título IA: Indicadores de responsabilidade escolar</w:t>
            </w:r>
            <w:r>
              <w:rPr>
                <w:rFonts w:eastAsia="Times New Roman" w:cs="Times New Roman"/>
                <w:lang w:val="pt-BR"/>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19C1D387" w14:textId="77777777" w:rsidR="00D60D05" w:rsidRPr="00C87D35" w:rsidRDefault="00000000" w:rsidP="00D60D05">
            <w:pPr>
              <w:spacing w:after="0" w:line="240" w:lineRule="auto"/>
              <w:textAlignment w:val="baseline"/>
              <w:rPr>
                <w:rFonts w:eastAsia="Times New Roman" w:cs="Times New Roman"/>
              </w:rPr>
            </w:pPr>
            <w:r>
              <w:rPr>
                <w:rFonts w:eastAsia="Times New Roman" w:cs="Times New Roman"/>
                <w:b/>
                <w:bCs/>
                <w:color w:val="000000"/>
                <w:lang w:val="pt-BR"/>
              </w:rPr>
              <w:t>Proficiência em inglês</w:t>
            </w:r>
            <w:r>
              <w:rPr>
                <w:rFonts w:eastAsia="Times New Roman" w:cs="Times New Roman"/>
                <w:color w:val="000000"/>
                <w:lang w:val="pt-BR"/>
              </w:rPr>
              <w:t xml:space="preserve">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3BDC9299"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color w:val="000000"/>
                <w:lang w:val="pt-BR"/>
              </w:rPr>
              <w:t xml:space="preserve">O indicador de ELP de Nova Jersey é a porcentagem de alunos multilíngues que fazem progresso anual esperado na avaliação de proficiência em inglês do ACCESS for ELLs. </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17F0C609"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color w:val="000000"/>
                <w:lang w:val="pt-BR"/>
              </w:rPr>
              <w:t xml:space="preserve">O NJDOE não está propondo nenhuma alteração nesta métrica no momento. No entanto, ele está comprometido em </w:t>
            </w:r>
            <w:r>
              <w:rPr>
                <w:rFonts w:eastAsia="Times New Roman" w:cs="Times New Roman"/>
                <w:lang w:val="pt-BR"/>
              </w:rPr>
              <w:t xml:space="preserve">explorar modelos de crescimento alternativos para o progresso em direção à proficiência no idioma inglês nos próximos anos por meio de várias iniciativas, incluindo o envolvimento de pesquisadores e partes interessadas. </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0AEA0191"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color w:val="000000"/>
                <w:lang w:val="pt-BR"/>
              </w:rPr>
              <w:t xml:space="preserve">O NJDOE está comprometido em fazer melhorias, no entanto, é primeiramente uma parceria com organizações de pesquisa e partes interessadas especializadas para melhorar a eficácia dessa métrica de forma mais eficaz. </w:t>
            </w:r>
          </w:p>
        </w:tc>
      </w:tr>
      <w:tr w:rsidR="00C566B2" w:rsidRPr="00C04CDD" w14:paraId="18952814"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83213E4"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b/>
                <w:bCs/>
                <w:lang w:val="pt-BR"/>
              </w:rPr>
              <w:lastRenderedPageBreak/>
              <w:t>Título IA: Indicadores de responsabilização escolar</w:t>
            </w:r>
            <w:r>
              <w:rPr>
                <w:rFonts w:eastAsia="Times New Roman" w:cs="Times New Roman"/>
                <w:lang w:val="pt-BR"/>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2431DBC9"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b/>
                <w:bCs/>
                <w:lang w:val="pt-BR"/>
              </w:rPr>
              <w:t>Qualidade escolar ou métrica de sucesso do aluno</w:t>
            </w:r>
            <w:r>
              <w:rPr>
                <w:rFonts w:eastAsia="Times New Roman" w:cs="Times New Roman"/>
                <w:lang w:val="pt-BR"/>
              </w:rPr>
              <w:t xml:space="preserve">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27C96C36"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color w:val="000000"/>
                <w:lang w:val="pt-BR"/>
              </w:rPr>
              <w:t xml:space="preserve">As taxas de absenteísmo crônico para a qualidade escolar ou sucesso dos alunos de acordo com a ESSA serão calculadas com base na porcentagem de todos os alunos “associados” por 45 dias ou mais. </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75492450" w14:textId="77777777" w:rsidR="00D60D05" w:rsidRPr="00C87D35" w:rsidRDefault="00000000" w:rsidP="00D60D05">
            <w:pPr>
              <w:spacing w:after="0" w:line="240" w:lineRule="auto"/>
              <w:textAlignment w:val="baseline"/>
              <w:rPr>
                <w:rFonts w:eastAsia="Times New Roman" w:cs="Times New Roman"/>
              </w:rPr>
            </w:pPr>
            <w:r>
              <w:rPr>
                <w:rFonts w:eastAsia="Times New Roman" w:cs="Times New Roman"/>
                <w:color w:val="000000"/>
                <w:lang w:val="pt-BR"/>
              </w:rPr>
              <w:t xml:space="preserve">O tempo de associação foi alterado para 90 dias ou mais. </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120302F5"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color w:val="000000"/>
                <w:lang w:val="pt-BR"/>
              </w:rPr>
              <w:t xml:space="preserve">Alterado para cumprir a definição federal de participação parcial. </w:t>
            </w:r>
          </w:p>
        </w:tc>
      </w:tr>
      <w:tr w:rsidR="00C566B2" w:rsidRPr="00C04CDD" w14:paraId="4BD28FAC"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D2F4E26"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b/>
                <w:bCs/>
                <w:lang w:val="pt-BR"/>
              </w:rPr>
              <w:t>Título IA: Indicadores de responsabilização escolar</w:t>
            </w:r>
            <w:r>
              <w:rPr>
                <w:rFonts w:eastAsia="Times New Roman" w:cs="Times New Roman"/>
                <w:lang w:val="pt-BR"/>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0AD5DB34"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b/>
                <w:bCs/>
                <w:lang w:val="pt-BR"/>
              </w:rPr>
              <w:t>Qualidade escolar ou métrica de sucesso do aluno</w:t>
            </w:r>
            <w:r>
              <w:rPr>
                <w:rFonts w:eastAsia="Times New Roman" w:cs="Times New Roman"/>
                <w:lang w:val="pt-BR"/>
              </w:rPr>
              <w:t xml:space="preserve">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494713BC"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color w:val="000000"/>
                <w:lang w:val="pt-BR"/>
              </w:rPr>
              <w:t xml:space="preserve">Taxa de absenteísmo crônico calculada sob o indicador de qualidade escolar ou sucesso do aluno. </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46CCF5D4"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color w:val="000000"/>
                <w:lang w:val="pt-BR"/>
              </w:rPr>
              <w:t>Nova Jersey adicionará “persistência no ensino médio” como um novo indicador da qualidade escolar ou do sucesso dos alunos a partir do ano letivo de 2024-2025. Inicialmente, o indicador terá 0% de peso no sistema de responsabilização. O NJDOE se envolverá com as partes interessadas e analisará os dados para determinar o peso que será usado para o indicador de persistência do ensino médio para anos futuros, além de fornecer os pesos ajustados em uma futura emenda ao plano estadual.</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3FFF9A63"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color w:val="000000"/>
                <w:lang w:val="pt-BR"/>
              </w:rPr>
              <w:t xml:space="preserve">Incluir uma medida de responsabilidade que credita às escolas seu trabalho em manter os alunos engajados e matriculados ajudará a concentrar a atenção nos estudantes que precisam de mais apoio. </w:t>
            </w:r>
          </w:p>
        </w:tc>
      </w:tr>
      <w:tr w:rsidR="00C566B2" w:rsidRPr="00856537" w14:paraId="0EE5C940"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7DE8CCD" w14:textId="77777777" w:rsidR="00D60D05" w:rsidRPr="00C87D35" w:rsidRDefault="00000000" w:rsidP="00D60D05">
            <w:pPr>
              <w:spacing w:after="0" w:line="240" w:lineRule="auto"/>
              <w:textAlignment w:val="baseline"/>
              <w:rPr>
                <w:rFonts w:eastAsia="Times New Roman" w:cs="Times New Roman"/>
              </w:rPr>
            </w:pPr>
            <w:r>
              <w:rPr>
                <w:rFonts w:eastAsia="Times New Roman" w:cs="Times New Roman"/>
                <w:b/>
                <w:bCs/>
                <w:lang w:val="pt-BR"/>
              </w:rPr>
              <w:lastRenderedPageBreak/>
              <w:t>Título IA: Responsabilização</w:t>
            </w:r>
            <w:r>
              <w:rPr>
                <w:rFonts w:eastAsia="Times New Roman" w:cs="Times New Roman"/>
                <w:lang w:val="pt-BR"/>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5FCC9413" w14:textId="77777777" w:rsidR="00D60D05" w:rsidRPr="00C87D35" w:rsidRDefault="00000000" w:rsidP="00D60D05">
            <w:pPr>
              <w:spacing w:after="0" w:line="240" w:lineRule="auto"/>
              <w:textAlignment w:val="baseline"/>
              <w:rPr>
                <w:rFonts w:eastAsia="Times New Roman" w:cs="Times New Roman"/>
              </w:rPr>
            </w:pPr>
            <w:r>
              <w:rPr>
                <w:rFonts w:eastAsia="Times New Roman" w:cs="Times New Roman"/>
                <w:b/>
                <w:bCs/>
                <w:lang w:val="pt-BR"/>
              </w:rPr>
              <w:t>Diferenciação anual significativa</w:t>
            </w:r>
            <w:r>
              <w:rPr>
                <w:rFonts w:eastAsia="Times New Roman" w:cs="Times New Roman"/>
                <w:lang w:val="pt-BR"/>
              </w:rPr>
              <w:t xml:space="preserve">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4659838E"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color w:val="000000"/>
                <w:lang w:val="pt-BR"/>
              </w:rPr>
              <w:t xml:space="preserve">Categorias de objetivo anual para realização acadêmica, formação e progresso em direção à ELP: </w:t>
            </w:r>
          </w:p>
          <w:p w14:paraId="7318B294" w14:textId="77777777" w:rsidR="00D60D05" w:rsidRPr="00C87D35" w:rsidRDefault="00000000" w:rsidP="00D60D05">
            <w:pPr>
              <w:pStyle w:val="a6"/>
              <w:numPr>
                <w:ilvl w:val="0"/>
                <w:numId w:val="95"/>
              </w:numPr>
              <w:spacing w:after="0" w:line="240" w:lineRule="auto"/>
              <w:ind w:left="342" w:hanging="198"/>
              <w:textAlignment w:val="baseline"/>
              <w:rPr>
                <w:rFonts w:eastAsia="Times New Roman" w:cs="Times New Roman"/>
              </w:rPr>
            </w:pPr>
            <w:r>
              <w:rPr>
                <w:rFonts w:eastAsia="Times New Roman" w:cs="Times New Roman"/>
                <w:color w:val="000000"/>
                <w:lang w:val="pt-BR"/>
              </w:rPr>
              <w:t xml:space="preserve">objetivo não atingido; </w:t>
            </w:r>
          </w:p>
          <w:p w14:paraId="1587C95C" w14:textId="77777777" w:rsidR="00D60D05" w:rsidRPr="00C87D35" w:rsidRDefault="00000000" w:rsidP="00D60D05">
            <w:pPr>
              <w:pStyle w:val="a6"/>
              <w:numPr>
                <w:ilvl w:val="0"/>
                <w:numId w:val="95"/>
              </w:numPr>
              <w:spacing w:after="0" w:line="240" w:lineRule="auto"/>
              <w:ind w:left="342" w:hanging="198"/>
              <w:textAlignment w:val="baseline"/>
              <w:rPr>
                <w:rFonts w:eastAsia="Times New Roman" w:cs="Times New Roman"/>
              </w:rPr>
            </w:pPr>
            <w:r>
              <w:rPr>
                <w:rFonts w:eastAsia="Times New Roman" w:cs="Times New Roman"/>
                <w:color w:val="000000"/>
                <w:lang w:val="pt-BR"/>
              </w:rPr>
              <w:t xml:space="preserve">objetivo atingido; </w:t>
            </w:r>
          </w:p>
          <w:p w14:paraId="15448FFD" w14:textId="77777777" w:rsidR="00D60D05" w:rsidRPr="00C87D35" w:rsidRDefault="00000000" w:rsidP="00D60D05">
            <w:pPr>
              <w:pStyle w:val="a6"/>
              <w:numPr>
                <w:ilvl w:val="0"/>
                <w:numId w:val="95"/>
              </w:numPr>
              <w:spacing w:after="0" w:line="240" w:lineRule="auto"/>
              <w:ind w:left="342" w:hanging="198"/>
              <w:textAlignment w:val="baseline"/>
              <w:rPr>
                <w:rFonts w:eastAsia="Times New Roman" w:cs="Times New Roman"/>
              </w:rPr>
            </w:pPr>
            <w:r>
              <w:rPr>
                <w:rFonts w:eastAsia="Times New Roman" w:cs="Times New Roman"/>
                <w:color w:val="000000"/>
                <w:lang w:val="pt-BR"/>
              </w:rPr>
              <w:t xml:space="preserve">meta atingida. </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02548DEB"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color w:val="000000"/>
                <w:lang w:val="pt-BR"/>
              </w:rPr>
              <w:t xml:space="preserve">Categoria “Objetivo não atingido” separada em “Sem melhoria” e “Progresso” para identificar escolas que estão mostrando melhoria: </w:t>
            </w:r>
          </w:p>
          <w:p w14:paraId="00D51BE9" w14:textId="77777777" w:rsidR="00D60D05" w:rsidRPr="00C87D35" w:rsidRDefault="00000000" w:rsidP="00D60D05">
            <w:pPr>
              <w:spacing w:after="0" w:line="240" w:lineRule="auto"/>
              <w:textAlignment w:val="baseline"/>
              <w:rPr>
                <w:rFonts w:eastAsia="Times New Roman" w:cs="Times New Roman"/>
              </w:rPr>
            </w:pPr>
            <w:r>
              <w:rPr>
                <w:rFonts w:eastAsia="Times New Roman" w:cs="Times New Roman"/>
                <w:color w:val="000000"/>
                <w:lang w:val="pt-BR"/>
              </w:rPr>
              <w:t xml:space="preserve">Categorias de objetivos anuais: </w:t>
            </w:r>
          </w:p>
          <w:p w14:paraId="0A9C5B38" w14:textId="77777777" w:rsidR="00D60D05" w:rsidRPr="00C87D35" w:rsidRDefault="00000000" w:rsidP="00D60D05">
            <w:pPr>
              <w:pStyle w:val="a6"/>
              <w:numPr>
                <w:ilvl w:val="0"/>
                <w:numId w:val="93"/>
              </w:numPr>
              <w:spacing w:after="0" w:line="240" w:lineRule="auto"/>
              <w:ind w:left="371" w:hanging="188"/>
              <w:textAlignment w:val="baseline"/>
              <w:rPr>
                <w:rFonts w:eastAsia="Times New Roman" w:cs="Times New Roman"/>
              </w:rPr>
            </w:pPr>
            <w:r>
              <w:rPr>
                <w:rFonts w:eastAsia="Times New Roman" w:cs="Times New Roman"/>
                <w:color w:val="000000"/>
                <w:lang w:val="pt-BR"/>
              </w:rPr>
              <w:t xml:space="preserve">Sem melhoria </w:t>
            </w:r>
          </w:p>
          <w:p w14:paraId="2B6425D7" w14:textId="77777777" w:rsidR="00D60D05" w:rsidRPr="00C87D35" w:rsidRDefault="00000000" w:rsidP="00D60D05">
            <w:pPr>
              <w:pStyle w:val="a6"/>
              <w:numPr>
                <w:ilvl w:val="0"/>
                <w:numId w:val="93"/>
              </w:numPr>
              <w:spacing w:after="0" w:line="240" w:lineRule="auto"/>
              <w:ind w:left="371" w:hanging="188"/>
              <w:textAlignment w:val="baseline"/>
              <w:rPr>
                <w:rFonts w:eastAsia="Times New Roman" w:cs="Times New Roman"/>
              </w:rPr>
            </w:pPr>
            <w:r>
              <w:rPr>
                <w:rFonts w:eastAsia="Times New Roman" w:cs="Times New Roman"/>
                <w:color w:val="000000"/>
                <w:lang w:val="pt-BR"/>
              </w:rPr>
              <w:t xml:space="preserve">Progresso, Objetivo não atingido </w:t>
            </w:r>
          </w:p>
          <w:p w14:paraId="3C0C8027" w14:textId="77777777" w:rsidR="00D60D05" w:rsidRPr="00C87D35" w:rsidRDefault="00000000" w:rsidP="00D60D05">
            <w:pPr>
              <w:pStyle w:val="a6"/>
              <w:numPr>
                <w:ilvl w:val="0"/>
                <w:numId w:val="93"/>
              </w:numPr>
              <w:spacing w:after="0" w:line="240" w:lineRule="auto"/>
              <w:ind w:left="371" w:hanging="188"/>
              <w:textAlignment w:val="baseline"/>
              <w:rPr>
                <w:rFonts w:eastAsia="Times New Roman" w:cs="Times New Roman"/>
              </w:rPr>
            </w:pPr>
            <w:r>
              <w:rPr>
                <w:rFonts w:eastAsia="Times New Roman" w:cs="Times New Roman"/>
                <w:color w:val="000000"/>
                <w:lang w:val="pt-BR"/>
              </w:rPr>
              <w:t>Objetivo atingido</w:t>
            </w:r>
          </w:p>
          <w:p w14:paraId="469D3C6C" w14:textId="77777777" w:rsidR="00D60D05" w:rsidRPr="00C87D35" w:rsidRDefault="00000000" w:rsidP="00D60D05">
            <w:pPr>
              <w:pStyle w:val="a6"/>
              <w:numPr>
                <w:ilvl w:val="0"/>
                <w:numId w:val="93"/>
              </w:numPr>
              <w:spacing w:after="0" w:line="240" w:lineRule="auto"/>
              <w:ind w:left="371" w:hanging="188"/>
              <w:textAlignment w:val="baseline"/>
              <w:rPr>
                <w:rFonts w:eastAsia="Times New Roman" w:cs="Times New Roman"/>
              </w:rPr>
            </w:pPr>
            <w:r>
              <w:rPr>
                <w:rFonts w:eastAsia="Times New Roman" w:cs="Times New Roman"/>
                <w:color w:val="000000"/>
                <w:lang w:val="pt-BR"/>
              </w:rPr>
              <w:t xml:space="preserve">Meta atingida </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1923D66D"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color w:val="000000"/>
                <w:lang w:val="pt-BR"/>
              </w:rPr>
              <w:t xml:space="preserve">Isso permite que o NJDOE destaque e recompense os esforços de melhoria contínua para escolas que estão progredindo, mesmo que não tenham cumprido totalmente seus objetivos. </w:t>
            </w:r>
          </w:p>
        </w:tc>
      </w:tr>
      <w:tr w:rsidR="00C566B2" w:rsidRPr="00856537" w14:paraId="543BAD94" w14:textId="77777777" w:rsidTr="00A5231B">
        <w:trPr>
          <w:cantSplit/>
          <w:trHeight w:val="1844"/>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06651D3" w14:textId="77777777" w:rsidR="19411BAA" w:rsidRPr="00CC1CB4" w:rsidRDefault="00000000" w:rsidP="00554C02">
            <w:pPr>
              <w:spacing w:after="0" w:line="240" w:lineRule="auto"/>
              <w:rPr>
                <w:rFonts w:eastAsia="Times New Roman" w:cs="Times New Roman"/>
                <w:lang w:val="es-ES"/>
              </w:rPr>
            </w:pPr>
            <w:r>
              <w:rPr>
                <w:rFonts w:eastAsia="Times New Roman" w:cs="Times New Roman"/>
                <w:b/>
                <w:bCs/>
                <w:lang w:val="pt-BR"/>
              </w:rPr>
              <w:t>Título I, Parte A: Escolas com taxas desproporcionais de acesso a educadores</w:t>
            </w:r>
            <w:r>
              <w:rPr>
                <w:rFonts w:eastAsia="Times New Roman" w:cs="Times New Roman"/>
                <w:lang w:val="pt-BR"/>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105DE0A0" w14:textId="77777777" w:rsidR="19411BAA" w:rsidRPr="00CC1CB4" w:rsidRDefault="00000000" w:rsidP="19411BAA">
            <w:pPr>
              <w:spacing w:line="240" w:lineRule="auto"/>
              <w:rPr>
                <w:rFonts w:eastAsia="Times New Roman" w:cs="Times New Roman"/>
                <w:b/>
                <w:bCs/>
                <w:lang w:val="es-ES"/>
              </w:rPr>
            </w:pPr>
            <w:r>
              <w:rPr>
                <w:rFonts w:eastAsia="Times New Roman" w:cs="Arial"/>
                <w:b/>
                <w:bCs/>
                <w:lang w:val="pt-BR"/>
              </w:rPr>
              <w:t xml:space="preserve">Taxas desproporcionais de acesso a educadores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7C7F0CD9" w14:textId="77777777" w:rsidR="19411BAA" w:rsidRPr="00CC1CB4" w:rsidRDefault="00000000" w:rsidP="19411BAA">
            <w:pPr>
              <w:spacing w:line="240" w:lineRule="auto"/>
              <w:rPr>
                <w:rFonts w:eastAsia="Times New Roman" w:cs="Times New Roman"/>
                <w:color w:val="000000" w:themeColor="text1"/>
                <w:lang w:val="es-ES"/>
              </w:rPr>
            </w:pPr>
            <w:r>
              <w:rPr>
                <w:rFonts w:eastAsia="Times New Roman" w:cs="Times New Roman"/>
                <w:color w:val="000000"/>
                <w:lang w:val="pt-BR"/>
              </w:rPr>
              <w:t>Descreve os dados disponíveis de ações do educador e as teorias de ação descritas no Plano de ações do educador de 2015 do NJDOE.</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311CDFE9" w14:textId="77777777" w:rsidR="19411BAA" w:rsidRPr="00CC1CB4" w:rsidRDefault="00000000" w:rsidP="19411BAA">
            <w:pPr>
              <w:spacing w:line="240" w:lineRule="auto"/>
              <w:rPr>
                <w:rFonts w:eastAsia="Times New Roman" w:cs="Times New Roman"/>
                <w:color w:val="000000" w:themeColor="text1"/>
                <w:lang w:val="es-ES"/>
              </w:rPr>
            </w:pPr>
            <w:r>
              <w:rPr>
                <w:rFonts w:eastAsia="Times New Roman" w:cs="Times New Roman"/>
                <w:color w:val="000000"/>
                <w:lang w:val="pt-BR"/>
              </w:rPr>
              <w:t>Descrições de ações do educador encurtadas para responder às perguntas atualizadas do modelo do USED e dados de ações do educador atualizados.</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3BC6C9E2" w14:textId="77777777" w:rsidR="19411BAA" w:rsidRPr="00CC1CB4" w:rsidRDefault="00000000" w:rsidP="19411BAA">
            <w:pPr>
              <w:spacing w:line="240" w:lineRule="auto"/>
              <w:rPr>
                <w:rFonts w:eastAsia="Times New Roman" w:cs="Times New Roman"/>
                <w:color w:val="000000" w:themeColor="text1"/>
                <w:lang w:val="es-ES"/>
              </w:rPr>
            </w:pPr>
            <w:r>
              <w:rPr>
                <w:rFonts w:eastAsia="Times New Roman" w:cs="Times New Roman"/>
                <w:color w:val="000000"/>
                <w:lang w:val="pt-BR"/>
              </w:rPr>
              <w:t>A seção atualizada reflete os dados mais recentes sobre equidade de educadores.</w:t>
            </w:r>
          </w:p>
        </w:tc>
      </w:tr>
      <w:tr w:rsidR="00C566B2" w:rsidRPr="00C04CDD" w14:paraId="0309D603"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07EF5BD"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b/>
                <w:bCs/>
                <w:lang w:val="pt-BR"/>
              </w:rPr>
              <w:t>Título I, Parte A: Escolas com taxas desproporcionais de acesso a educadores</w:t>
            </w:r>
            <w:r>
              <w:rPr>
                <w:rFonts w:eastAsia="Times New Roman" w:cs="Times New Roman"/>
                <w:lang w:val="pt-BR"/>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71A60782" w14:textId="77777777" w:rsidR="00D60D05" w:rsidRPr="00C87D35" w:rsidRDefault="00000000" w:rsidP="00D60D05">
            <w:pPr>
              <w:spacing w:after="0" w:line="240" w:lineRule="auto"/>
              <w:textAlignment w:val="baseline"/>
              <w:rPr>
                <w:rFonts w:eastAsia="Times New Roman" w:cs="Times New Roman"/>
              </w:rPr>
            </w:pPr>
            <w:r>
              <w:rPr>
                <w:rFonts w:eastAsia="Times New Roman" w:cs="Times New Roman"/>
                <w:b/>
                <w:bCs/>
                <w:lang w:val="pt-BR"/>
              </w:rPr>
              <w:t>Definição de professor inexperiente</w:t>
            </w:r>
            <w:r>
              <w:rPr>
                <w:rFonts w:eastAsia="Times New Roman" w:cs="Times New Roman"/>
                <w:lang w:val="pt-BR"/>
              </w:rPr>
              <w:t xml:space="preserve">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097AFABE"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color w:val="000000"/>
                <w:lang w:val="pt-BR"/>
              </w:rPr>
              <w:t xml:space="preserve">Define a inexperiência como um educador com menos de 4 anos de experiência prévia em uma determinada LEA.  </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4DF20FE2"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color w:val="000000"/>
                <w:lang w:val="pt-BR"/>
              </w:rPr>
              <w:t xml:space="preserve">Definição alterada para “um educador com menos de 4 anos de experiência anterior”. </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5A58282B"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color w:val="000000"/>
                <w:lang w:val="pt-BR"/>
              </w:rPr>
              <w:t xml:space="preserve">A nova definição leva em consideração que os professores muitas vezes fazem a </w:t>
            </w:r>
            <w:r>
              <w:rPr>
                <w:rFonts w:eastAsia="Times New Roman" w:cs="Times New Roman"/>
                <w:color w:val="244061"/>
                <w:lang w:val="pt-BR"/>
              </w:rPr>
              <w:t>transição para outras</w:t>
            </w:r>
            <w:r>
              <w:rPr>
                <w:rFonts w:eastAsia="Times New Roman" w:cs="Times New Roman"/>
                <w:color w:val="244061"/>
                <w:u w:val="single"/>
                <w:lang w:val="pt-BR"/>
              </w:rPr>
              <w:t xml:space="preserve"> </w:t>
            </w:r>
            <w:r>
              <w:rPr>
                <w:rFonts w:eastAsia="Times New Roman" w:cs="Times New Roman"/>
                <w:color w:val="000000"/>
                <w:lang w:val="pt-BR"/>
              </w:rPr>
              <w:t>LEAs. Portanto, um professor com menos de 4 anos de experiência em uma determinada LEA pode ter mais anos de experiência total fora da LEA.</w:t>
            </w:r>
          </w:p>
        </w:tc>
      </w:tr>
      <w:tr w:rsidR="00C566B2" w:rsidRPr="00C04CDD" w14:paraId="252C4246" w14:textId="77777777" w:rsidTr="00A5231B">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B63E325"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b/>
                <w:bCs/>
                <w:lang w:val="pt-BR"/>
              </w:rPr>
              <w:lastRenderedPageBreak/>
              <w:t>Título I, Parte C: Educação de crianças migratórias</w:t>
            </w:r>
            <w:r>
              <w:rPr>
                <w:rFonts w:eastAsia="Times New Roman" w:cs="Times New Roman"/>
                <w:lang w:val="pt-BR"/>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320DC2CF" w14:textId="77777777" w:rsidR="00D60D05" w:rsidRPr="00C87D35" w:rsidRDefault="00000000" w:rsidP="00D60D05">
            <w:pPr>
              <w:spacing w:after="0" w:line="240" w:lineRule="auto"/>
              <w:textAlignment w:val="baseline"/>
              <w:rPr>
                <w:rFonts w:eastAsia="Times New Roman" w:cs="Times New Roman"/>
              </w:rPr>
            </w:pPr>
            <w:r>
              <w:rPr>
                <w:rFonts w:eastAsia="Times New Roman" w:cs="Times New Roman"/>
                <w:b/>
                <w:bCs/>
                <w:lang w:val="pt-BR"/>
              </w:rPr>
              <w:t>Seção completa</w:t>
            </w:r>
            <w:r>
              <w:rPr>
                <w:rFonts w:eastAsia="Times New Roman" w:cs="Times New Roman"/>
                <w:lang w:val="pt-BR"/>
              </w:rPr>
              <w:t xml:space="preserve">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54F74ACD"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color w:val="000000"/>
                <w:lang w:val="pt-BR"/>
              </w:rPr>
              <w:t xml:space="preserve">Refletiu o mais recente Plano de prestação de serviços em 2017. </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2DFD7EE1"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color w:val="000000"/>
                <w:lang w:val="pt-BR"/>
              </w:rPr>
              <w:t xml:space="preserve">Atualizado para refletir o SDP atual escrito em colaboração com as principais partes interessadas. </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70F9407F"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color w:val="000000"/>
                <w:lang w:val="pt-BR"/>
              </w:rPr>
              <w:t xml:space="preserve">Atualizado para refletir a prática atual de acordo com o Plano de prestação de serviços atual do NJDOE, adotado em junho de 2023 para os períodos de relatório de 2023-2024 a 2025-2026. </w:t>
            </w:r>
          </w:p>
        </w:tc>
      </w:tr>
      <w:tr w:rsidR="00C566B2" w:rsidRPr="00856537" w14:paraId="3EA1EBEF" w14:textId="77777777" w:rsidTr="00A5231B">
        <w:trPr>
          <w:cantSplit/>
          <w:trHeight w:val="1961"/>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2DF72DE7" w14:textId="77777777" w:rsidR="00D60D05" w:rsidRPr="00CC1CB4" w:rsidRDefault="00000000" w:rsidP="00D60D05">
            <w:pPr>
              <w:spacing w:after="0" w:line="240" w:lineRule="auto"/>
              <w:textAlignment w:val="baseline"/>
              <w:rPr>
                <w:rFonts w:eastAsia="Times New Roman" w:cs="Times New Roman"/>
                <w:b/>
                <w:bCs/>
                <w:lang w:val="es-ES"/>
              </w:rPr>
            </w:pPr>
            <w:r>
              <w:rPr>
                <w:rFonts w:eastAsia="Times New Roman" w:cs="Times New Roman"/>
                <w:b/>
                <w:bCs/>
                <w:lang w:val="pt-BR"/>
              </w:rPr>
              <w:t>Título III, Parte A: Aquisição e aprimoramento da língua inglesa</w:t>
            </w:r>
            <w:r>
              <w:rPr>
                <w:rFonts w:eastAsia="Times New Roman" w:cs="Times New Roman"/>
                <w:lang w:val="pt-BR"/>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tcPr>
          <w:p w14:paraId="7EA8D2C7" w14:textId="77777777" w:rsidR="00D60D05" w:rsidRPr="00CC1CB4" w:rsidRDefault="00000000" w:rsidP="00D60D05">
            <w:pPr>
              <w:spacing w:after="0" w:line="240" w:lineRule="auto"/>
              <w:textAlignment w:val="baseline"/>
              <w:rPr>
                <w:rFonts w:eastAsia="Times New Roman" w:cs="Times New Roman"/>
                <w:b/>
                <w:bCs/>
                <w:lang w:val="es-ES"/>
              </w:rPr>
            </w:pPr>
            <w:r>
              <w:rPr>
                <w:rFonts w:eastAsia="Times New Roman" w:cs="Times New Roman"/>
                <w:b/>
                <w:bCs/>
                <w:lang w:val="pt-BR"/>
              </w:rPr>
              <w:t>Procedimentos de entrada e saída</w:t>
            </w:r>
          </w:p>
        </w:tc>
        <w:tc>
          <w:tcPr>
            <w:tcW w:w="1872" w:type="dxa"/>
            <w:tcBorders>
              <w:top w:val="single" w:sz="6" w:space="0" w:color="auto"/>
              <w:left w:val="single" w:sz="6" w:space="0" w:color="auto"/>
              <w:bottom w:val="single" w:sz="6" w:space="0" w:color="auto"/>
              <w:right w:val="single" w:sz="6" w:space="0" w:color="auto"/>
            </w:tcBorders>
            <w:shd w:val="clear" w:color="auto" w:fill="auto"/>
          </w:tcPr>
          <w:p w14:paraId="2DAB10A8" w14:textId="77777777" w:rsidR="00D60D05" w:rsidRPr="00CC1CB4" w:rsidRDefault="00000000" w:rsidP="00D60D05">
            <w:pPr>
              <w:spacing w:after="0" w:line="240" w:lineRule="auto"/>
              <w:textAlignment w:val="baseline"/>
              <w:rPr>
                <w:rFonts w:eastAsia="Times New Roman" w:cs="Times New Roman"/>
                <w:color w:val="000000"/>
                <w:lang w:val="es-ES"/>
              </w:rPr>
            </w:pPr>
            <w:r>
              <w:rPr>
                <w:rFonts w:eastAsia="Times New Roman" w:cs="Times New Roman"/>
                <w:color w:val="000000"/>
                <w:lang w:val="pt-BR"/>
              </w:rPr>
              <w:t>Explicação dos procedimentos de entrada e saída do NJDOE da pré-escola até o 12º ano.</w:t>
            </w:r>
          </w:p>
        </w:tc>
        <w:tc>
          <w:tcPr>
            <w:tcW w:w="2170" w:type="dxa"/>
            <w:tcBorders>
              <w:top w:val="single" w:sz="6" w:space="0" w:color="auto"/>
              <w:left w:val="single" w:sz="6" w:space="0" w:color="auto"/>
              <w:bottom w:val="single" w:sz="6" w:space="0" w:color="auto"/>
              <w:right w:val="single" w:sz="6" w:space="0" w:color="auto"/>
            </w:tcBorders>
            <w:shd w:val="clear" w:color="auto" w:fill="auto"/>
          </w:tcPr>
          <w:p w14:paraId="16AADA52" w14:textId="77777777" w:rsidR="00D60D05" w:rsidRPr="00CC1CB4" w:rsidRDefault="00000000" w:rsidP="00D60D05">
            <w:pPr>
              <w:spacing w:after="0" w:line="240" w:lineRule="auto"/>
              <w:textAlignment w:val="baseline"/>
              <w:rPr>
                <w:rFonts w:eastAsia="Times New Roman" w:cs="Times New Roman"/>
                <w:color w:val="000000"/>
                <w:lang w:val="es-ES"/>
              </w:rPr>
            </w:pPr>
            <w:r>
              <w:rPr>
                <w:rFonts w:eastAsia="Times New Roman" w:cs="Times New Roman"/>
                <w:color w:val="000000"/>
                <w:lang w:val="pt-BR"/>
              </w:rPr>
              <w:t>Procedimentos de entrada e saída da pré-escola até o 12º ano atualizados.</w:t>
            </w:r>
          </w:p>
        </w:tc>
        <w:tc>
          <w:tcPr>
            <w:tcW w:w="2211" w:type="dxa"/>
            <w:tcBorders>
              <w:top w:val="single" w:sz="6" w:space="0" w:color="auto"/>
              <w:left w:val="single" w:sz="6" w:space="0" w:color="auto"/>
              <w:bottom w:val="single" w:sz="6" w:space="0" w:color="auto"/>
              <w:right w:val="single" w:sz="6" w:space="0" w:color="auto"/>
            </w:tcBorders>
            <w:shd w:val="clear" w:color="auto" w:fill="auto"/>
          </w:tcPr>
          <w:p w14:paraId="338634BC" w14:textId="77777777" w:rsidR="007C2FA2" w:rsidRPr="00CC1CB4" w:rsidRDefault="00000000" w:rsidP="00B90BB3">
            <w:pPr>
              <w:spacing w:after="0" w:line="240" w:lineRule="auto"/>
              <w:textAlignment w:val="baseline"/>
              <w:rPr>
                <w:rFonts w:eastAsia="Times New Roman" w:cs="Times New Roman"/>
                <w:lang w:val="es-ES"/>
              </w:rPr>
            </w:pPr>
            <w:r>
              <w:rPr>
                <w:rFonts w:eastAsia="Times New Roman" w:cs="Times New Roman"/>
                <w:color w:val="000000"/>
                <w:lang w:val="pt-BR"/>
              </w:rPr>
              <w:t>Em 2023, o NJDOE alterou os regulamentos estaduais relacionados aos serviços para alunos multilíngues. A descrição atualizada reflete a prática, os regulamentos e os requisitos federais atuais do NJDOE.</w:t>
            </w:r>
          </w:p>
        </w:tc>
      </w:tr>
      <w:tr w:rsidR="00C566B2" w:rsidRPr="00C04CDD" w14:paraId="6A03393D" w14:textId="77777777" w:rsidTr="00A5231B">
        <w:trPr>
          <w:cantSplit/>
          <w:trHeight w:val="300"/>
        </w:trPr>
        <w:tc>
          <w:tcPr>
            <w:tcW w:w="1583" w:type="dxa"/>
            <w:tcBorders>
              <w:top w:val="single" w:sz="6" w:space="0" w:color="auto"/>
              <w:left w:val="single" w:sz="6" w:space="0" w:color="auto"/>
              <w:bottom w:val="single" w:sz="6" w:space="0" w:color="auto"/>
            </w:tcBorders>
            <w:shd w:val="clear" w:color="auto" w:fill="F2F2F2" w:themeFill="background1" w:themeFillShade="F2"/>
            <w:hideMark/>
          </w:tcPr>
          <w:p w14:paraId="64E50F48"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b/>
                <w:bCs/>
                <w:lang w:val="pt-BR"/>
              </w:rPr>
              <w:t>Título III, Parte A: Aquisição e aprimoramento da língua inglesa</w:t>
            </w:r>
            <w:r>
              <w:rPr>
                <w:rFonts w:eastAsia="Times New Roman" w:cs="Times New Roman"/>
                <w:lang w:val="pt-BR"/>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428826BB"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b/>
                <w:bCs/>
                <w:lang w:val="pt-BR"/>
              </w:rPr>
              <w:t>Suporte para o progresso do aluno de inglês</w:t>
            </w:r>
            <w:r>
              <w:rPr>
                <w:rFonts w:eastAsia="Times New Roman" w:cs="Times New Roman"/>
                <w:lang w:val="pt-BR"/>
              </w:rPr>
              <w:t xml:space="preserve">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7C42AB26"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color w:val="000000"/>
                <w:lang w:val="pt-BR"/>
              </w:rPr>
              <w:t xml:space="preserve">Apoio estadual e processo de identificação e saída para identificar alunos de inglês descritos. </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24ACBB21"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color w:val="000000"/>
                <w:lang w:val="pt-BR"/>
              </w:rPr>
              <w:t xml:space="preserve">Descrição atualizada dos suportes do programa, requisitos estaduais e linguagem para refletir a terminologia baseada em ativos de Nova Jersey – deixando de ser “aprendiz de inglês” para “aprendiz multilíngue”.  </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1193B13D"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color w:val="000000"/>
                <w:lang w:val="pt-BR"/>
              </w:rPr>
              <w:t xml:space="preserve">Esta seção foi atualizada para refletir a prática atual e para se alinhar com a lei estadual.  </w:t>
            </w:r>
          </w:p>
        </w:tc>
      </w:tr>
      <w:tr w:rsidR="00C566B2" w:rsidRPr="00C04CDD" w14:paraId="12D73DA2" w14:textId="77777777" w:rsidTr="00A5231B">
        <w:trPr>
          <w:cantSplit/>
          <w:trHeight w:val="300"/>
        </w:trPr>
        <w:tc>
          <w:tcPr>
            <w:tcW w:w="1583" w:type="dxa"/>
            <w:tcBorders>
              <w:top w:val="single" w:sz="6" w:space="0" w:color="auto"/>
              <w:left w:val="single" w:sz="6" w:space="0" w:color="auto"/>
              <w:bottom w:val="single" w:sz="6" w:space="0" w:color="auto"/>
            </w:tcBorders>
            <w:shd w:val="clear" w:color="auto" w:fill="F2F2F2" w:themeFill="background1" w:themeFillShade="F2"/>
            <w:hideMark/>
          </w:tcPr>
          <w:p w14:paraId="18B7CF53" w14:textId="77777777" w:rsidR="00D60D05" w:rsidRPr="00CC1CB4" w:rsidRDefault="00000000" w:rsidP="00D60D05">
            <w:pPr>
              <w:spacing w:after="0" w:line="240" w:lineRule="auto"/>
              <w:rPr>
                <w:rFonts w:eastAsia="Times New Roman" w:cs="Times New Roman"/>
                <w:lang w:val="es-ES"/>
              </w:rPr>
            </w:pPr>
            <w:r>
              <w:rPr>
                <w:rFonts w:eastAsia="Times New Roman" w:cs="Times New Roman"/>
                <w:b/>
                <w:bCs/>
                <w:lang w:val="pt-BR"/>
              </w:rPr>
              <w:lastRenderedPageBreak/>
              <w:t>Título III, Parte A: Aquisição e aprimoramento da língua inglesa</w:t>
            </w:r>
            <w:r>
              <w:rPr>
                <w:rFonts w:eastAsia="Times New Roman" w:cs="Times New Roman"/>
                <w:lang w:val="pt-BR"/>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auto"/>
            <w:hideMark/>
          </w:tcPr>
          <w:p w14:paraId="5E9967C9" w14:textId="77777777" w:rsidR="00D60D05" w:rsidRPr="00C87D35" w:rsidRDefault="00000000" w:rsidP="00D60D05">
            <w:pPr>
              <w:spacing w:after="0" w:line="240" w:lineRule="auto"/>
              <w:textAlignment w:val="baseline"/>
              <w:rPr>
                <w:rFonts w:eastAsia="Times New Roman" w:cs="Times New Roman"/>
              </w:rPr>
            </w:pPr>
            <w:r>
              <w:rPr>
                <w:rFonts w:eastAsia="Times New Roman" w:cs="Times New Roman"/>
                <w:b/>
                <w:bCs/>
                <w:lang w:val="pt-BR"/>
              </w:rPr>
              <w:t>Processo de monitoramento</w:t>
            </w:r>
            <w:r>
              <w:rPr>
                <w:rFonts w:eastAsia="Times New Roman" w:cs="Times New Roman"/>
                <w:lang w:val="pt-BR"/>
              </w:rPr>
              <w:t xml:space="preserve">  </w:t>
            </w:r>
          </w:p>
        </w:tc>
        <w:tc>
          <w:tcPr>
            <w:tcW w:w="1872" w:type="dxa"/>
            <w:tcBorders>
              <w:top w:val="single" w:sz="6" w:space="0" w:color="auto"/>
              <w:left w:val="single" w:sz="6" w:space="0" w:color="auto"/>
              <w:bottom w:val="single" w:sz="6" w:space="0" w:color="auto"/>
              <w:right w:val="single" w:sz="6" w:space="0" w:color="auto"/>
            </w:tcBorders>
            <w:shd w:val="clear" w:color="auto" w:fill="auto"/>
            <w:hideMark/>
          </w:tcPr>
          <w:p w14:paraId="3E2F728C" w14:textId="77777777" w:rsidR="00D60D05" w:rsidRPr="00CC1CB4" w:rsidRDefault="00000000" w:rsidP="00D60D05">
            <w:pPr>
              <w:spacing w:after="0" w:line="240" w:lineRule="auto"/>
              <w:textAlignment w:val="baseline"/>
              <w:rPr>
                <w:rFonts w:eastAsia="Times New Roman" w:cs="Times New Roman"/>
                <w:lang w:val="es-ES"/>
              </w:rPr>
            </w:pPr>
            <w:r>
              <w:rPr>
                <w:rFonts w:eastAsia="Times New Roman" w:cs="Times New Roman"/>
                <w:color w:val="000000"/>
                <w:lang w:val="pt-BR"/>
              </w:rPr>
              <w:t xml:space="preserve">Práticas e planos de monitoramento para consolidar processos de monitoramento descritas.  </w:t>
            </w:r>
          </w:p>
        </w:tc>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3D4A273F" w14:textId="77777777" w:rsidR="00D60D05" w:rsidRPr="00C87D35" w:rsidRDefault="00000000" w:rsidP="00D60D05">
            <w:pPr>
              <w:spacing w:after="0" w:line="240" w:lineRule="auto"/>
              <w:textAlignment w:val="baseline"/>
              <w:rPr>
                <w:rFonts w:eastAsia="Times New Roman" w:cs="Times New Roman"/>
              </w:rPr>
            </w:pPr>
            <w:r>
              <w:rPr>
                <w:rFonts w:eastAsia="Times New Roman" w:cs="Times New Roman"/>
                <w:color w:val="000000"/>
                <w:lang w:val="pt-BR"/>
              </w:rPr>
              <w:t xml:space="preserve">Descrição do monitoramento atualizada. A cada ano, o NJDOE seleciona LEAs para monitorar com base em uma ferramenta de avaliação de risco de monitoramento colaborativo projetada para avaliar o risco agregado de cada LEA de não conformidade com os requisitos federais e estaduais.   </w:t>
            </w:r>
          </w:p>
        </w:tc>
        <w:tc>
          <w:tcPr>
            <w:tcW w:w="2211" w:type="dxa"/>
            <w:tcBorders>
              <w:top w:val="single" w:sz="6" w:space="0" w:color="auto"/>
              <w:left w:val="single" w:sz="6" w:space="0" w:color="auto"/>
              <w:bottom w:val="single" w:sz="6" w:space="0" w:color="auto"/>
              <w:right w:val="single" w:sz="6" w:space="0" w:color="auto"/>
            </w:tcBorders>
            <w:shd w:val="clear" w:color="auto" w:fill="auto"/>
            <w:hideMark/>
          </w:tcPr>
          <w:p w14:paraId="60D0732D" w14:textId="77777777" w:rsidR="008B41B5" w:rsidRPr="00CC1CB4" w:rsidRDefault="00000000" w:rsidP="00D60D05">
            <w:pPr>
              <w:spacing w:after="0" w:line="240" w:lineRule="auto"/>
              <w:textAlignment w:val="baseline"/>
              <w:rPr>
                <w:rFonts w:eastAsia="Times New Roman" w:cs="Times New Roman"/>
                <w:color w:val="000000"/>
                <w:lang w:val="es-ES"/>
              </w:rPr>
            </w:pPr>
            <w:r>
              <w:rPr>
                <w:rFonts w:eastAsia="Times New Roman" w:cs="Times New Roman"/>
                <w:color w:val="000000"/>
                <w:lang w:val="pt-BR"/>
              </w:rPr>
              <w:t xml:space="preserve">Atualizado para refletir a prática atual. </w:t>
            </w:r>
          </w:p>
          <w:p w14:paraId="37DF76A4" w14:textId="77777777" w:rsidR="00D60D05" w:rsidRPr="00CC1CB4" w:rsidRDefault="00D60D05" w:rsidP="00D60D05">
            <w:pPr>
              <w:rPr>
                <w:rFonts w:eastAsia="Times New Roman" w:cs="Times New Roman"/>
                <w:lang w:val="es-ES"/>
              </w:rPr>
            </w:pPr>
          </w:p>
        </w:tc>
      </w:tr>
      <w:tr w:rsidR="00C566B2" w:rsidRPr="00C04CDD" w14:paraId="6BCD3946" w14:textId="77777777" w:rsidTr="00A5231B">
        <w:trPr>
          <w:cantSplit/>
          <w:trHeight w:val="300"/>
        </w:trPr>
        <w:tc>
          <w:tcPr>
            <w:tcW w:w="1583" w:type="dxa"/>
            <w:tcBorders>
              <w:top w:val="single" w:sz="6" w:space="0" w:color="auto"/>
              <w:left w:val="single" w:sz="6" w:space="0" w:color="auto"/>
              <w:bottom w:val="single" w:sz="6" w:space="0" w:color="auto"/>
            </w:tcBorders>
            <w:vAlign w:val="center"/>
          </w:tcPr>
          <w:p w14:paraId="66643156" w14:textId="77777777" w:rsidR="00D60D05" w:rsidRPr="00CC1CB4" w:rsidRDefault="00000000" w:rsidP="00D60D05">
            <w:pPr>
              <w:spacing w:after="0" w:line="240" w:lineRule="auto"/>
              <w:rPr>
                <w:rFonts w:eastAsia="Times New Roman" w:cs="Times New Roman"/>
                <w:b/>
                <w:bCs/>
                <w:lang w:val="es-ES"/>
              </w:rPr>
            </w:pPr>
            <w:r>
              <w:rPr>
                <w:rFonts w:eastAsia="Times New Roman" w:cs="Arial"/>
                <w:b/>
                <w:bCs/>
                <w:lang w:val="pt-BR"/>
              </w:rPr>
              <w:t>Título VII, Subtítulo B: Programa educacional para crianças e jovens em situação de rua (Education for Homeless Children and Youth, EHCY), Lei McKinney-Vento Homeless Assistance</w:t>
            </w:r>
          </w:p>
        </w:tc>
        <w:tc>
          <w:tcPr>
            <w:tcW w:w="1496" w:type="dxa"/>
            <w:tcBorders>
              <w:top w:val="single" w:sz="6" w:space="0" w:color="auto"/>
              <w:left w:val="single" w:sz="6" w:space="0" w:color="auto"/>
              <w:bottom w:val="single" w:sz="6" w:space="0" w:color="auto"/>
              <w:right w:val="single" w:sz="6" w:space="0" w:color="auto"/>
            </w:tcBorders>
            <w:shd w:val="clear" w:color="auto" w:fill="auto"/>
          </w:tcPr>
          <w:p w14:paraId="2CC5A701" w14:textId="77777777" w:rsidR="00D60D05" w:rsidRPr="00C87D35" w:rsidRDefault="00000000" w:rsidP="00D60D05">
            <w:pPr>
              <w:spacing w:after="0" w:line="240" w:lineRule="auto"/>
              <w:textAlignment w:val="baseline"/>
              <w:rPr>
                <w:rFonts w:eastAsia="Times New Roman" w:cs="Times New Roman"/>
                <w:b/>
                <w:bCs/>
              </w:rPr>
            </w:pPr>
            <w:r>
              <w:rPr>
                <w:rFonts w:eastAsia="Times New Roman" w:cs="Times New Roman"/>
                <w:b/>
                <w:bCs/>
                <w:lang w:val="pt-BR"/>
              </w:rPr>
              <w:t>Processo de monitoramento</w:t>
            </w:r>
          </w:p>
        </w:tc>
        <w:tc>
          <w:tcPr>
            <w:tcW w:w="1872" w:type="dxa"/>
            <w:tcBorders>
              <w:top w:val="single" w:sz="6" w:space="0" w:color="auto"/>
              <w:left w:val="single" w:sz="6" w:space="0" w:color="auto"/>
              <w:bottom w:val="single" w:sz="6" w:space="0" w:color="auto"/>
              <w:right w:val="single" w:sz="6" w:space="0" w:color="auto"/>
            </w:tcBorders>
            <w:shd w:val="clear" w:color="auto" w:fill="auto"/>
          </w:tcPr>
          <w:p w14:paraId="35A4A762" w14:textId="77777777" w:rsidR="00D60D05" w:rsidRPr="00CC1CB4" w:rsidRDefault="00000000" w:rsidP="00D60D05">
            <w:pPr>
              <w:spacing w:after="0" w:line="240" w:lineRule="auto"/>
              <w:textAlignment w:val="baseline"/>
              <w:rPr>
                <w:rFonts w:eastAsia="Times New Roman" w:cs="Times New Roman"/>
                <w:color w:val="000000"/>
                <w:lang w:val="es-ES"/>
              </w:rPr>
            </w:pPr>
            <w:r>
              <w:rPr>
                <w:rFonts w:eastAsia="Times New Roman" w:cs="Times New Roman"/>
                <w:color w:val="000000"/>
                <w:lang w:val="pt-BR"/>
              </w:rPr>
              <w:t>Protocolos e indicadores de monitoramento existentes compartilhados.</w:t>
            </w:r>
          </w:p>
        </w:tc>
        <w:tc>
          <w:tcPr>
            <w:tcW w:w="2170" w:type="dxa"/>
            <w:tcBorders>
              <w:top w:val="single" w:sz="6" w:space="0" w:color="auto"/>
              <w:left w:val="single" w:sz="6" w:space="0" w:color="auto"/>
              <w:bottom w:val="single" w:sz="6" w:space="0" w:color="auto"/>
              <w:right w:val="single" w:sz="6" w:space="0" w:color="auto"/>
            </w:tcBorders>
            <w:shd w:val="clear" w:color="auto" w:fill="auto"/>
          </w:tcPr>
          <w:p w14:paraId="08B62229" w14:textId="77777777" w:rsidR="00D60D05" w:rsidRPr="00CC1CB4" w:rsidRDefault="00000000" w:rsidP="00D60D05">
            <w:pPr>
              <w:spacing w:after="0" w:line="240" w:lineRule="auto"/>
              <w:textAlignment w:val="baseline"/>
              <w:rPr>
                <w:rFonts w:eastAsia="Times New Roman" w:cs="Times New Roman"/>
                <w:color w:val="000000"/>
                <w:lang w:val="es-ES"/>
              </w:rPr>
            </w:pPr>
            <w:r>
              <w:rPr>
                <w:rFonts w:eastAsia="Times New Roman" w:cs="Times New Roman"/>
                <w:lang w:val="pt-BR"/>
              </w:rPr>
              <w:t>O NJDOE atualizou o processo de identificação de LEAs com maior risco de não conformidade com os requisitos da McKinney-Vento, criando uma ferramenta de avaliação de risco para o EHCY.</w:t>
            </w:r>
          </w:p>
        </w:tc>
        <w:tc>
          <w:tcPr>
            <w:tcW w:w="2211" w:type="dxa"/>
            <w:tcBorders>
              <w:top w:val="single" w:sz="6" w:space="0" w:color="auto"/>
              <w:left w:val="single" w:sz="6" w:space="0" w:color="auto"/>
              <w:bottom w:val="single" w:sz="6" w:space="0" w:color="auto"/>
              <w:right w:val="single" w:sz="6" w:space="0" w:color="auto"/>
            </w:tcBorders>
            <w:shd w:val="clear" w:color="auto" w:fill="auto"/>
          </w:tcPr>
          <w:p w14:paraId="4E494447" w14:textId="77777777" w:rsidR="00D60D05" w:rsidRPr="00CC1CB4" w:rsidRDefault="00000000" w:rsidP="00D60D05">
            <w:pPr>
              <w:spacing w:before="100" w:beforeAutospacing="1" w:after="0" w:line="240" w:lineRule="auto"/>
              <w:textAlignment w:val="baseline"/>
              <w:rPr>
                <w:rFonts w:eastAsia="Times New Roman" w:cs="Times New Roman"/>
                <w:color w:val="000000"/>
                <w:lang w:val="es-ES"/>
              </w:rPr>
            </w:pPr>
            <w:r>
              <w:rPr>
                <w:rFonts w:eastAsia="Times New Roman" w:cs="Times New Roman"/>
                <w:lang w:val="pt-BR"/>
              </w:rPr>
              <w:t xml:space="preserve">O NJDOE melhora continuamente seu sistema de suporte para aprimorar o monitoramento de conformidade e o suporte às LEAs. </w:t>
            </w:r>
          </w:p>
        </w:tc>
      </w:tr>
    </w:tbl>
    <w:p w14:paraId="3B1B1855" w14:textId="77777777" w:rsidR="11C0E351" w:rsidRPr="00CC1CB4" w:rsidRDefault="00000000">
      <w:pPr>
        <w:rPr>
          <w:lang w:val="es-ES"/>
        </w:rPr>
      </w:pPr>
      <w:r w:rsidRPr="00CC1CB4">
        <w:rPr>
          <w:lang w:val="es-ES"/>
        </w:rPr>
        <w:br w:type="page"/>
      </w:r>
    </w:p>
    <w:p w14:paraId="19814FEB" w14:textId="77777777" w:rsidR="00426AA4" w:rsidRPr="00CC1CB4" w:rsidRDefault="00000000" w:rsidP="00856537">
      <w:pPr>
        <w:pStyle w:val="A20"/>
      </w:pPr>
      <w:bookmarkStart w:id="51" w:name="_Toc171333277"/>
      <w:bookmarkStart w:id="52" w:name="_Toc199403569"/>
      <w:bookmarkStart w:id="53" w:name="_Toc199403672"/>
      <w:r>
        <w:lastRenderedPageBreak/>
        <w:t>Observação sobre a linguagem</w:t>
      </w:r>
      <w:bookmarkEnd w:id="51"/>
      <w:bookmarkEnd w:id="52"/>
      <w:bookmarkEnd w:id="53"/>
    </w:p>
    <w:p w14:paraId="10E3B873" w14:textId="77777777" w:rsidR="00C471C2" w:rsidRPr="00CC1CB4" w:rsidRDefault="00000000" w:rsidP="6B71CBC4">
      <w:pPr>
        <w:rPr>
          <w:rFonts w:cs="Times New Roman"/>
          <w:lang w:val="es-ES"/>
        </w:rPr>
      </w:pPr>
      <w:r>
        <w:rPr>
          <w:rFonts w:eastAsia="Times New Roman" w:cs="Times New Roman"/>
          <w:lang w:val="pt-BR"/>
        </w:rPr>
        <w:t xml:space="preserve">Para usar a linguagem baseada em ativos o máximo possível, o NJDOE se refere a “subgrupos” como “grupos de alunos” e “alunos multilíngues” em vez de “alunos de inglês”. Além disso, em 2024, o Conselho Estadual de Educação de Nova Jersey adotou a seguinte definição: “aluno multilíngue” significa um aluno cujo idioma principal não é o inglês, que é identificado por meio do processo descrito nas regulamentações estaduais e que está desenvolvendo proficiência em vários idiomas (por exemplo, inglês e um idioma principal). O termo é sinônimo de “aluno de inglês” ou “aluno de língua inglesa”. </w:t>
      </w:r>
    </w:p>
    <w:p w14:paraId="0B27D199" w14:textId="77777777" w:rsidR="00F86F30" w:rsidRPr="00CC1CB4" w:rsidRDefault="00000000" w:rsidP="6B71CBC4">
      <w:pPr>
        <w:rPr>
          <w:rFonts w:cs="Times New Roman"/>
          <w:lang w:val="es-ES"/>
        </w:rPr>
      </w:pPr>
      <w:r>
        <w:rPr>
          <w:rFonts w:eastAsia="Times New Roman" w:cs="Times New Roman"/>
          <w:lang w:val="pt-BR"/>
        </w:rPr>
        <w:t xml:space="preserve">A tabela de Acrônimos da ESSA abaixo fornece ao leitor alguns dos acrônimos mais usados em todo o Plano estadual da ESSA, inclusive no modelo exigido federalmente. </w:t>
      </w:r>
    </w:p>
    <w:p w14:paraId="11A08871" w14:textId="77777777" w:rsidR="00F86F30" w:rsidRPr="00F86F30" w:rsidRDefault="00000000" w:rsidP="00F86F30">
      <w:pPr>
        <w:pStyle w:val="aff0"/>
      </w:pPr>
      <w:r>
        <w:rPr>
          <w:rFonts w:eastAsia="Cambria"/>
          <w:lang w:val="pt-BR"/>
        </w:rPr>
        <w:t>Acrônimos da ESSA</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373"/>
        <w:gridCol w:w="1229"/>
        <w:gridCol w:w="5938"/>
      </w:tblGrid>
      <w:tr w:rsidR="00C566B2" w14:paraId="5DD13945" w14:textId="77777777" w:rsidTr="00F86F30">
        <w:trPr>
          <w:trHeight w:val="286"/>
          <w:tblHeader/>
        </w:trPr>
        <w:tc>
          <w:tcPr>
            <w:tcW w:w="2373" w:type="dxa"/>
            <w:shd w:val="clear" w:color="auto" w:fill="auto"/>
            <w:tcMar>
              <w:top w:w="72" w:type="dxa"/>
              <w:left w:w="144" w:type="dxa"/>
              <w:bottom w:w="72" w:type="dxa"/>
              <w:right w:w="144" w:type="dxa"/>
            </w:tcMar>
            <w:hideMark/>
          </w:tcPr>
          <w:p w14:paraId="569F10D2" w14:textId="77777777" w:rsidR="007F2189" w:rsidRPr="00C87D35" w:rsidRDefault="00000000" w:rsidP="00C748D4">
            <w:pPr>
              <w:spacing w:after="0"/>
              <w:rPr>
                <w:rFonts w:eastAsia="Calibri" w:cs="Times New Roman"/>
              </w:rPr>
            </w:pPr>
            <w:r>
              <w:rPr>
                <w:rFonts w:eastAsia="Times New Roman" w:cs="Times New Roman"/>
                <w:b/>
                <w:bCs/>
                <w:lang w:val="pt-BR"/>
              </w:rPr>
              <w:t xml:space="preserve">Termos </w:t>
            </w:r>
          </w:p>
        </w:tc>
        <w:tc>
          <w:tcPr>
            <w:tcW w:w="1227" w:type="dxa"/>
            <w:shd w:val="clear" w:color="auto" w:fill="auto"/>
            <w:tcMar>
              <w:top w:w="72" w:type="dxa"/>
              <w:left w:w="144" w:type="dxa"/>
              <w:bottom w:w="72" w:type="dxa"/>
              <w:right w:w="144" w:type="dxa"/>
            </w:tcMar>
            <w:hideMark/>
          </w:tcPr>
          <w:p w14:paraId="2F5523DA" w14:textId="77777777" w:rsidR="007F2189" w:rsidRPr="00C87D35" w:rsidRDefault="00000000" w:rsidP="00C748D4">
            <w:pPr>
              <w:spacing w:after="0"/>
              <w:jc w:val="center"/>
              <w:rPr>
                <w:rFonts w:eastAsia="Calibri" w:cs="Times New Roman"/>
              </w:rPr>
            </w:pPr>
            <w:r>
              <w:rPr>
                <w:rFonts w:eastAsia="Times New Roman" w:cs="Times New Roman"/>
                <w:b/>
                <w:bCs/>
                <w:lang w:val="pt-BR"/>
              </w:rPr>
              <w:t>Acrônimo</w:t>
            </w:r>
          </w:p>
        </w:tc>
        <w:tc>
          <w:tcPr>
            <w:tcW w:w="5940" w:type="dxa"/>
            <w:shd w:val="clear" w:color="auto" w:fill="auto"/>
            <w:tcMar>
              <w:top w:w="72" w:type="dxa"/>
              <w:left w:w="144" w:type="dxa"/>
              <w:bottom w:w="72" w:type="dxa"/>
              <w:right w:w="144" w:type="dxa"/>
            </w:tcMar>
            <w:hideMark/>
          </w:tcPr>
          <w:p w14:paraId="704D3AAF" w14:textId="77777777" w:rsidR="007F2189" w:rsidRPr="00C87D35" w:rsidRDefault="00000000" w:rsidP="00C748D4">
            <w:pPr>
              <w:spacing w:after="0"/>
              <w:rPr>
                <w:rFonts w:eastAsia="Calibri" w:cs="Times New Roman"/>
              </w:rPr>
            </w:pPr>
            <w:r>
              <w:rPr>
                <w:rFonts w:eastAsia="Times New Roman" w:cs="Times New Roman"/>
                <w:b/>
                <w:bCs/>
                <w:lang w:val="pt-BR"/>
              </w:rPr>
              <w:t xml:space="preserve">Compreensão da ESSA </w:t>
            </w:r>
          </w:p>
        </w:tc>
      </w:tr>
      <w:tr w:rsidR="00C566B2" w:rsidRPr="00C04CDD" w14:paraId="0CE07106" w14:textId="77777777" w:rsidTr="00F86F30">
        <w:trPr>
          <w:trHeight w:val="736"/>
        </w:trPr>
        <w:tc>
          <w:tcPr>
            <w:tcW w:w="2373" w:type="dxa"/>
            <w:shd w:val="clear" w:color="auto" w:fill="DAE3F3"/>
            <w:tcMar>
              <w:top w:w="72" w:type="dxa"/>
              <w:left w:w="144" w:type="dxa"/>
              <w:bottom w:w="72" w:type="dxa"/>
              <w:right w:w="144" w:type="dxa"/>
            </w:tcMar>
          </w:tcPr>
          <w:p w14:paraId="3E8EE2E9" w14:textId="77777777" w:rsidR="00B71A26" w:rsidRPr="00C87D35" w:rsidRDefault="00000000" w:rsidP="00B71A26">
            <w:pPr>
              <w:spacing w:after="0"/>
              <w:rPr>
                <w:rFonts w:eastAsia="Calibri" w:cs="Times New Roman"/>
              </w:rPr>
            </w:pPr>
            <w:r>
              <w:rPr>
                <w:rFonts w:eastAsia="Times New Roman" w:cs="Times New Roman"/>
                <w:lang w:val="pt-BR"/>
              </w:rPr>
              <w:t>Elementary and Secondary Education Act</w:t>
            </w:r>
          </w:p>
        </w:tc>
        <w:tc>
          <w:tcPr>
            <w:tcW w:w="1227" w:type="dxa"/>
            <w:shd w:val="clear" w:color="auto" w:fill="DAE3F3"/>
            <w:tcMar>
              <w:top w:w="72" w:type="dxa"/>
              <w:left w:w="144" w:type="dxa"/>
              <w:bottom w:w="72" w:type="dxa"/>
              <w:right w:w="144" w:type="dxa"/>
            </w:tcMar>
          </w:tcPr>
          <w:p w14:paraId="0AA3CC21" w14:textId="77777777" w:rsidR="00B71A26" w:rsidRPr="00C87D35" w:rsidRDefault="00000000" w:rsidP="00B71A26">
            <w:pPr>
              <w:spacing w:after="0"/>
              <w:jc w:val="center"/>
              <w:rPr>
                <w:rFonts w:eastAsia="Calibri" w:cs="Times New Roman"/>
              </w:rPr>
            </w:pPr>
            <w:r>
              <w:rPr>
                <w:rFonts w:eastAsia="Times New Roman" w:cs="Times New Roman"/>
                <w:lang w:val="pt-BR"/>
              </w:rPr>
              <w:t>ESEA</w:t>
            </w:r>
          </w:p>
        </w:tc>
        <w:tc>
          <w:tcPr>
            <w:tcW w:w="5940" w:type="dxa"/>
            <w:shd w:val="clear" w:color="auto" w:fill="DAE3F3"/>
            <w:tcMar>
              <w:top w:w="72" w:type="dxa"/>
              <w:left w:w="144" w:type="dxa"/>
              <w:bottom w:w="72" w:type="dxa"/>
              <w:right w:w="144" w:type="dxa"/>
            </w:tcMar>
          </w:tcPr>
          <w:p w14:paraId="48DACC67" w14:textId="77777777" w:rsidR="00B71A26" w:rsidRPr="00CC1CB4" w:rsidRDefault="00000000" w:rsidP="00B71A26">
            <w:pPr>
              <w:spacing w:after="0"/>
              <w:rPr>
                <w:rFonts w:eastAsia="Calibri" w:cs="Times New Roman"/>
                <w:lang w:val="es-ES"/>
              </w:rPr>
            </w:pPr>
            <w:r>
              <w:rPr>
                <w:rFonts w:eastAsia="Times New Roman" w:cs="Times New Roman"/>
                <w:lang w:val="pt-BR"/>
              </w:rPr>
              <w:t xml:space="preserve">Assinada em 1965, o objetivo era distribuir dinheiro para estudantes em situação de pobreza e apoiar governos estaduais. </w:t>
            </w:r>
          </w:p>
        </w:tc>
      </w:tr>
      <w:tr w:rsidR="00C566B2" w:rsidRPr="00C04CDD" w14:paraId="76289C83" w14:textId="77777777" w:rsidTr="00F86F30">
        <w:trPr>
          <w:trHeight w:val="538"/>
        </w:trPr>
        <w:tc>
          <w:tcPr>
            <w:tcW w:w="2373" w:type="dxa"/>
            <w:shd w:val="clear" w:color="auto" w:fill="auto"/>
            <w:tcMar>
              <w:top w:w="72" w:type="dxa"/>
              <w:left w:w="144" w:type="dxa"/>
              <w:bottom w:w="72" w:type="dxa"/>
              <w:right w:w="144" w:type="dxa"/>
            </w:tcMar>
          </w:tcPr>
          <w:p w14:paraId="195CB259" w14:textId="77777777" w:rsidR="00B71A26" w:rsidRPr="00C87D35" w:rsidRDefault="00000000" w:rsidP="00B71A26">
            <w:pPr>
              <w:spacing w:after="0"/>
              <w:rPr>
                <w:rFonts w:eastAsia="Calibri" w:cs="Times New Roman"/>
              </w:rPr>
            </w:pPr>
            <w:r>
              <w:rPr>
                <w:rFonts w:eastAsia="Times New Roman" w:cs="Times New Roman"/>
                <w:lang w:val="pt-BR"/>
              </w:rPr>
              <w:t>Every Student Succeeds Act</w:t>
            </w:r>
          </w:p>
        </w:tc>
        <w:tc>
          <w:tcPr>
            <w:tcW w:w="1227" w:type="dxa"/>
            <w:shd w:val="clear" w:color="auto" w:fill="auto"/>
            <w:tcMar>
              <w:top w:w="72" w:type="dxa"/>
              <w:left w:w="144" w:type="dxa"/>
              <w:bottom w:w="72" w:type="dxa"/>
              <w:right w:w="144" w:type="dxa"/>
            </w:tcMar>
          </w:tcPr>
          <w:p w14:paraId="1432B888" w14:textId="77777777" w:rsidR="00B71A26" w:rsidRPr="00C87D35" w:rsidRDefault="00000000" w:rsidP="00B71A26">
            <w:pPr>
              <w:spacing w:after="0"/>
              <w:jc w:val="center"/>
              <w:rPr>
                <w:rFonts w:eastAsia="Calibri" w:cs="Times New Roman"/>
              </w:rPr>
            </w:pPr>
            <w:r>
              <w:rPr>
                <w:rFonts w:eastAsia="Times New Roman" w:cs="Times New Roman"/>
                <w:lang w:val="pt-BR"/>
              </w:rPr>
              <w:t>ESSA</w:t>
            </w:r>
          </w:p>
        </w:tc>
        <w:tc>
          <w:tcPr>
            <w:tcW w:w="5940" w:type="dxa"/>
            <w:shd w:val="clear" w:color="auto" w:fill="auto"/>
            <w:tcMar>
              <w:top w:w="72" w:type="dxa"/>
              <w:left w:w="144" w:type="dxa"/>
              <w:bottom w:w="72" w:type="dxa"/>
              <w:right w:w="144" w:type="dxa"/>
            </w:tcMar>
          </w:tcPr>
          <w:p w14:paraId="78DDF5B8" w14:textId="77777777" w:rsidR="00B71A26" w:rsidRPr="00CC1CB4" w:rsidRDefault="00000000" w:rsidP="00B71A26">
            <w:pPr>
              <w:spacing w:after="0"/>
              <w:rPr>
                <w:rFonts w:eastAsia="Calibri" w:cs="Times New Roman"/>
                <w:lang w:val="es-ES"/>
              </w:rPr>
            </w:pPr>
            <w:r>
              <w:rPr>
                <w:rFonts w:eastAsia="Times New Roman" w:cs="Times New Roman"/>
                <w:lang w:val="pt-BR"/>
              </w:rPr>
              <w:t xml:space="preserve">Assinada em 2015, a ESSA reautorizou a ESEA. </w:t>
            </w:r>
          </w:p>
        </w:tc>
      </w:tr>
      <w:tr w:rsidR="00C566B2" w14:paraId="6DCB7B3B" w14:textId="77777777" w:rsidTr="00F86F30">
        <w:trPr>
          <w:trHeight w:val="520"/>
        </w:trPr>
        <w:tc>
          <w:tcPr>
            <w:tcW w:w="2373" w:type="dxa"/>
            <w:shd w:val="clear" w:color="auto" w:fill="DAE3F3"/>
            <w:tcMar>
              <w:top w:w="72" w:type="dxa"/>
              <w:left w:w="144" w:type="dxa"/>
              <w:bottom w:w="72" w:type="dxa"/>
              <w:right w:w="144" w:type="dxa"/>
            </w:tcMar>
            <w:hideMark/>
          </w:tcPr>
          <w:p w14:paraId="0F09336C" w14:textId="77777777" w:rsidR="127CA621" w:rsidRPr="00CC1CB4" w:rsidRDefault="00000000" w:rsidP="127CA621">
            <w:pPr>
              <w:spacing w:after="0"/>
              <w:rPr>
                <w:rFonts w:eastAsia="Calibri" w:cs="Times New Roman"/>
                <w:lang w:val="es-ES"/>
              </w:rPr>
            </w:pPr>
            <w:r>
              <w:rPr>
                <w:rFonts w:eastAsia="Times New Roman" w:cs="Times New Roman"/>
                <w:lang w:val="pt-BR"/>
              </w:rPr>
              <w:t>Agência educacional local (Local Educational Agency)</w:t>
            </w:r>
          </w:p>
        </w:tc>
        <w:tc>
          <w:tcPr>
            <w:tcW w:w="1227" w:type="dxa"/>
            <w:shd w:val="clear" w:color="auto" w:fill="DAE3F3"/>
            <w:tcMar>
              <w:top w:w="72" w:type="dxa"/>
              <w:left w:w="144" w:type="dxa"/>
              <w:bottom w:w="72" w:type="dxa"/>
              <w:right w:w="144" w:type="dxa"/>
            </w:tcMar>
            <w:hideMark/>
          </w:tcPr>
          <w:p w14:paraId="6F066403" w14:textId="77777777" w:rsidR="127CA621" w:rsidRPr="00C87D35" w:rsidRDefault="00000000" w:rsidP="127CA621">
            <w:pPr>
              <w:spacing w:after="0"/>
              <w:jc w:val="center"/>
              <w:rPr>
                <w:rFonts w:eastAsia="Calibri" w:cs="Times New Roman"/>
              </w:rPr>
            </w:pPr>
            <w:r>
              <w:rPr>
                <w:rFonts w:eastAsia="Times New Roman" w:cs="Times New Roman"/>
                <w:lang w:val="pt-BR"/>
              </w:rPr>
              <w:t>LEA</w:t>
            </w:r>
          </w:p>
        </w:tc>
        <w:tc>
          <w:tcPr>
            <w:tcW w:w="5940" w:type="dxa"/>
            <w:shd w:val="clear" w:color="auto" w:fill="DAE3F3"/>
            <w:tcMar>
              <w:top w:w="72" w:type="dxa"/>
              <w:left w:w="144" w:type="dxa"/>
              <w:bottom w:w="72" w:type="dxa"/>
              <w:right w:w="144" w:type="dxa"/>
            </w:tcMar>
            <w:hideMark/>
          </w:tcPr>
          <w:p w14:paraId="6337C69E" w14:textId="77777777" w:rsidR="127CA621" w:rsidRPr="00C87D35" w:rsidRDefault="00000000" w:rsidP="127CA621">
            <w:pPr>
              <w:spacing w:after="0"/>
              <w:rPr>
                <w:rFonts w:eastAsia="Calibri" w:cs="Times New Roman"/>
              </w:rPr>
            </w:pPr>
            <w:r>
              <w:rPr>
                <w:rFonts w:eastAsia="Times New Roman" w:cs="Times New Roman"/>
                <w:lang w:val="pt-BR"/>
              </w:rPr>
              <w:t>Organização de nível local que mantém o controle administrativo de escolas públicas de ensino fundamental ou médio em uma localidade. A LEA é usada de forma intercambiável com “distrito”.</w:t>
            </w:r>
          </w:p>
        </w:tc>
      </w:tr>
      <w:tr w:rsidR="00C566B2" w:rsidRPr="00856537" w14:paraId="0C8AB1CE" w14:textId="77777777" w:rsidTr="00F86F30">
        <w:trPr>
          <w:trHeight w:val="466"/>
        </w:trPr>
        <w:tc>
          <w:tcPr>
            <w:tcW w:w="2373" w:type="dxa"/>
            <w:shd w:val="clear" w:color="auto" w:fill="auto"/>
            <w:tcMar>
              <w:top w:w="72" w:type="dxa"/>
              <w:left w:w="144" w:type="dxa"/>
              <w:bottom w:w="72" w:type="dxa"/>
              <w:right w:w="144" w:type="dxa"/>
            </w:tcMar>
            <w:hideMark/>
          </w:tcPr>
          <w:p w14:paraId="32436C7D" w14:textId="77777777" w:rsidR="00B71A26" w:rsidRPr="00C87D35" w:rsidRDefault="00000000" w:rsidP="00B71A26">
            <w:pPr>
              <w:spacing w:after="0"/>
              <w:rPr>
                <w:rFonts w:eastAsia="Calibri" w:cs="Times New Roman"/>
              </w:rPr>
            </w:pPr>
            <w:r>
              <w:rPr>
                <w:rFonts w:eastAsia="Times New Roman" w:cs="Times New Roman"/>
                <w:lang w:val="pt-BR"/>
              </w:rPr>
              <w:t>Agência Estadual de Educação (State Educational Agency)</w:t>
            </w:r>
          </w:p>
        </w:tc>
        <w:tc>
          <w:tcPr>
            <w:tcW w:w="1227" w:type="dxa"/>
            <w:shd w:val="clear" w:color="auto" w:fill="auto"/>
            <w:tcMar>
              <w:top w:w="72" w:type="dxa"/>
              <w:left w:w="144" w:type="dxa"/>
              <w:bottom w:w="72" w:type="dxa"/>
              <w:right w:w="144" w:type="dxa"/>
            </w:tcMar>
            <w:hideMark/>
          </w:tcPr>
          <w:p w14:paraId="5FA5BA2B" w14:textId="77777777" w:rsidR="00B71A26" w:rsidRPr="00C87D35" w:rsidRDefault="00000000" w:rsidP="00B71A26">
            <w:pPr>
              <w:spacing w:after="0"/>
              <w:jc w:val="center"/>
              <w:rPr>
                <w:rFonts w:eastAsia="Calibri" w:cs="Times New Roman"/>
              </w:rPr>
            </w:pPr>
            <w:r>
              <w:rPr>
                <w:rFonts w:eastAsia="Times New Roman" w:cs="Times New Roman"/>
                <w:lang w:val="pt-BR"/>
              </w:rPr>
              <w:t>SEA</w:t>
            </w:r>
          </w:p>
        </w:tc>
        <w:tc>
          <w:tcPr>
            <w:tcW w:w="5940" w:type="dxa"/>
            <w:shd w:val="clear" w:color="auto" w:fill="auto"/>
            <w:tcMar>
              <w:top w:w="72" w:type="dxa"/>
              <w:left w:w="144" w:type="dxa"/>
              <w:bottom w:w="72" w:type="dxa"/>
              <w:right w:w="144" w:type="dxa"/>
            </w:tcMar>
            <w:hideMark/>
          </w:tcPr>
          <w:p w14:paraId="73E3FDC0" w14:textId="77777777" w:rsidR="00B71A26" w:rsidRPr="00CC1CB4" w:rsidRDefault="00000000" w:rsidP="00B71A26">
            <w:pPr>
              <w:spacing w:after="0"/>
              <w:rPr>
                <w:rFonts w:eastAsia="Calibri" w:cs="Times New Roman"/>
                <w:lang w:val="es-ES"/>
              </w:rPr>
            </w:pPr>
            <w:r>
              <w:rPr>
                <w:rFonts w:eastAsia="Times New Roman" w:cs="Times New Roman"/>
                <w:lang w:val="pt-BR"/>
              </w:rPr>
              <w:t>Organizações governamentais estaduais que supervisionam sistemas e políticas públicas de educação estaduais.</w:t>
            </w:r>
          </w:p>
        </w:tc>
      </w:tr>
      <w:tr w:rsidR="00C566B2" w:rsidRPr="00C04CDD" w14:paraId="619D9820" w14:textId="77777777" w:rsidTr="00F86F30">
        <w:trPr>
          <w:trHeight w:val="520"/>
        </w:trPr>
        <w:tc>
          <w:tcPr>
            <w:tcW w:w="2373" w:type="dxa"/>
            <w:shd w:val="clear" w:color="auto" w:fill="DAE3F3"/>
            <w:tcMar>
              <w:top w:w="72" w:type="dxa"/>
              <w:left w:w="144" w:type="dxa"/>
              <w:bottom w:w="72" w:type="dxa"/>
              <w:right w:w="144" w:type="dxa"/>
            </w:tcMar>
            <w:hideMark/>
          </w:tcPr>
          <w:p w14:paraId="3FD3D379" w14:textId="77777777" w:rsidR="127CA621" w:rsidRPr="00C87D35" w:rsidRDefault="00000000" w:rsidP="127CA621">
            <w:pPr>
              <w:spacing w:after="0"/>
              <w:rPr>
                <w:rFonts w:eastAsia="Calibri" w:cs="Times New Roman"/>
              </w:rPr>
            </w:pPr>
            <w:r>
              <w:rPr>
                <w:rFonts w:eastAsia="Times New Roman" w:cs="Times New Roman"/>
                <w:lang w:val="pt-BR"/>
              </w:rPr>
              <w:t>Departamento de Educação dos Estados Unidos (United States Department of Education)</w:t>
            </w:r>
          </w:p>
        </w:tc>
        <w:tc>
          <w:tcPr>
            <w:tcW w:w="1227" w:type="dxa"/>
            <w:shd w:val="clear" w:color="auto" w:fill="DAE3F3"/>
            <w:tcMar>
              <w:top w:w="72" w:type="dxa"/>
              <w:left w:w="144" w:type="dxa"/>
              <w:bottom w:w="72" w:type="dxa"/>
              <w:right w:w="144" w:type="dxa"/>
            </w:tcMar>
            <w:hideMark/>
          </w:tcPr>
          <w:p w14:paraId="3C64A62B" w14:textId="77777777" w:rsidR="127CA621" w:rsidRPr="00C87D35" w:rsidRDefault="00000000" w:rsidP="127CA621">
            <w:pPr>
              <w:spacing w:after="0"/>
              <w:jc w:val="center"/>
              <w:rPr>
                <w:rFonts w:eastAsia="Calibri" w:cs="Times New Roman"/>
              </w:rPr>
            </w:pPr>
            <w:r>
              <w:rPr>
                <w:rFonts w:eastAsia="Times New Roman" w:cs="Times New Roman"/>
                <w:lang w:val="pt-BR"/>
              </w:rPr>
              <w:t>USED</w:t>
            </w:r>
          </w:p>
        </w:tc>
        <w:tc>
          <w:tcPr>
            <w:tcW w:w="5940" w:type="dxa"/>
            <w:shd w:val="clear" w:color="auto" w:fill="DAE3F3"/>
            <w:tcMar>
              <w:top w:w="72" w:type="dxa"/>
              <w:left w:w="144" w:type="dxa"/>
              <w:bottom w:w="72" w:type="dxa"/>
              <w:right w:w="144" w:type="dxa"/>
            </w:tcMar>
            <w:hideMark/>
          </w:tcPr>
          <w:p w14:paraId="7C4797F5" w14:textId="77777777" w:rsidR="127CA621" w:rsidRPr="00CC1CB4" w:rsidRDefault="00000000" w:rsidP="127CA621">
            <w:pPr>
              <w:spacing w:after="0"/>
              <w:rPr>
                <w:rFonts w:eastAsia="Calibri" w:cs="Times New Roman"/>
                <w:lang w:val="es-ES"/>
              </w:rPr>
            </w:pPr>
            <w:r>
              <w:rPr>
                <w:rFonts w:eastAsia="Times New Roman" w:cs="Times New Roman"/>
                <w:lang w:val="pt-BR"/>
              </w:rPr>
              <w:t xml:space="preserve">Departamento em nível de gabinete do governo dos Estados Unidos que administra e coordena a maior parte da assistência federal à educação. </w:t>
            </w:r>
          </w:p>
        </w:tc>
      </w:tr>
    </w:tbl>
    <w:p w14:paraId="75E1E2DB" w14:textId="77777777" w:rsidR="007F2189" w:rsidRPr="00CC1CB4" w:rsidRDefault="00000000" w:rsidP="6B71CBC4">
      <w:pPr>
        <w:spacing w:after="0" w:line="240" w:lineRule="auto"/>
        <w:rPr>
          <w:rFonts w:ascii="Cambria" w:eastAsia="Cambria" w:hAnsi="Cambria" w:cs="Cambria"/>
          <w:b/>
          <w:color w:val="074F6A"/>
          <w:sz w:val="24"/>
          <w:szCs w:val="24"/>
          <w:lang w:val="es-ES"/>
        </w:rPr>
      </w:pPr>
      <w:r w:rsidRPr="00CC1CB4">
        <w:rPr>
          <w:rFonts w:ascii="Cambria" w:eastAsia="Cambria" w:hAnsi="Cambria" w:cs="Cambria"/>
          <w:b/>
          <w:bCs/>
          <w:color w:val="074F6A"/>
          <w:sz w:val="24"/>
          <w:szCs w:val="24"/>
          <w:lang w:val="es-ES"/>
        </w:rPr>
        <w:br w:type="page"/>
      </w:r>
    </w:p>
    <w:p w14:paraId="75C8E697" w14:textId="77777777" w:rsidR="00AE121C" w:rsidRPr="00CC1CB4" w:rsidRDefault="00000000" w:rsidP="00AE121C">
      <w:pPr>
        <w:pStyle w:val="BeginUSED"/>
        <w:rPr>
          <w:lang w:val="es-ES"/>
        </w:rPr>
      </w:pPr>
      <w:r>
        <w:rPr>
          <w:rFonts w:eastAsia="Times New Roman"/>
          <w:color w:val="FFFFFF"/>
          <w:szCs w:val="4"/>
          <w:lang w:val="pt-BR"/>
        </w:rPr>
        <w:lastRenderedPageBreak/>
        <w:t>[iniciar o texto do USED]</w:t>
      </w:r>
    </w:p>
    <w:p w14:paraId="37431296" w14:textId="77777777" w:rsidR="00B04B89" w:rsidRPr="00CC1CB4" w:rsidRDefault="00000000" w:rsidP="00AF254B">
      <w:pPr>
        <w:pStyle w:val="1"/>
        <w:rPr>
          <w:lang w:val="es-ES"/>
        </w:rPr>
      </w:pPr>
      <w:bookmarkStart w:id="54" w:name="_Toc211004633"/>
      <w:r>
        <w:rPr>
          <w:rFonts w:eastAsia="Cambria"/>
          <w:szCs w:val="36"/>
          <w:lang w:val="pt-BR"/>
        </w:rPr>
        <w:t xml:space="preserve">A. T </w:t>
      </w:r>
      <w:bookmarkEnd w:id="1"/>
      <w:r>
        <w:rPr>
          <w:rFonts w:eastAsia="Cambria"/>
          <w:szCs w:val="36"/>
          <w:lang w:val="pt-BR"/>
        </w:rPr>
        <w:t>ítulo I, Parte A: Melhoria dos programas básicos operados por agências educacionais locais (LEAs)</w:t>
      </w:r>
      <w:bookmarkEnd w:id="54"/>
    </w:p>
    <w:p w14:paraId="232CD558" w14:textId="77777777" w:rsidR="00953185" w:rsidRPr="00CC1CB4" w:rsidRDefault="00000000" w:rsidP="00C14C84">
      <w:pPr>
        <w:pStyle w:val="EndUSED"/>
        <w:rPr>
          <w:lang w:val="es-ES"/>
        </w:rPr>
      </w:pPr>
      <w:r>
        <w:rPr>
          <w:rFonts w:eastAsia="Times New Roman"/>
          <w:color w:val="FFFFFF"/>
          <w:szCs w:val="4"/>
          <w:lang w:val="pt-BR"/>
        </w:rPr>
        <w:t>[finalizar texto do USED]</w:t>
      </w:r>
    </w:p>
    <w:p w14:paraId="0A014413" w14:textId="77777777" w:rsidR="006B3C20" w:rsidRPr="00CC1CB4" w:rsidRDefault="00000000" w:rsidP="00E66432">
      <w:pPr>
        <w:spacing w:before="240"/>
        <w:rPr>
          <w:rFonts w:cs="Times New Roman"/>
          <w:lang w:val="es-ES"/>
        </w:rPr>
      </w:pPr>
      <w:r>
        <w:rPr>
          <w:rFonts w:eastAsia="Times New Roman" w:cs="Times New Roman"/>
          <w:lang w:val="pt-BR"/>
        </w:rPr>
        <w:t xml:space="preserve">O Título I, Parte A fornece assistência financeira federal para as LEAs e escolas com altos números ou altas porcentagens de crianças de famílias com baixa renda para ajudar a garantir que todas elas atendam aos padrões acadêmicos estaduais desafiadores. Para que um estado receba financiamento do Título I, Parte A, a ESSA descreve vários requisitos que todos os estados devem atender. O Plano consolidado da ESSA pede a New Jersey que relate alguns desses requisitos, incluindo: </w:t>
      </w:r>
    </w:p>
    <w:tbl>
      <w:tblPr>
        <w:tblStyle w:val="6-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9" w:type="dxa"/>
          <w:left w:w="115" w:type="dxa"/>
          <w:bottom w:w="58" w:type="dxa"/>
          <w:right w:w="115" w:type="dxa"/>
        </w:tblCellMar>
        <w:tblLook w:val="04A0" w:firstRow="1" w:lastRow="0" w:firstColumn="1" w:lastColumn="0" w:noHBand="0" w:noVBand="1"/>
      </w:tblPr>
      <w:tblGrid>
        <w:gridCol w:w="1916"/>
        <w:gridCol w:w="4109"/>
        <w:gridCol w:w="3325"/>
      </w:tblGrid>
      <w:tr w:rsidR="00C566B2" w:rsidRPr="00C04CDD" w14:paraId="2402D8ED" w14:textId="77777777" w:rsidTr="00C566B2">
        <w:trPr>
          <w:cnfStyle w:val="100000000000" w:firstRow="1" w:lastRow="0" w:firstColumn="0" w:lastColumn="0" w:oddVBand="0" w:evenVBand="0" w:oddHBand="0" w:evenHBand="0" w:firstRowFirstColumn="0" w:firstRowLastColumn="0" w:lastRowFirstColumn="0" w:lastRowLastColumn="0"/>
          <w:trHeight w:val="294"/>
          <w:tblHeader/>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FFFFFF" w:themeColor="background1"/>
            </w:tcBorders>
            <w:shd w:val="clear" w:color="auto" w:fill="215868" w:themeFill="accent5" w:themeFillShade="80"/>
          </w:tcPr>
          <w:p w14:paraId="6D9D3BBB" w14:textId="77777777" w:rsidR="0045565A" w:rsidRPr="00CC1CB4" w:rsidRDefault="00000000">
            <w:pPr>
              <w:pStyle w:val="TableText"/>
              <w:rPr>
                <w:b w:val="0"/>
                <w:bCs w:val="0"/>
                <w:color w:val="FFFFFF" w:themeColor="background1"/>
                <w:sz w:val="22"/>
                <w:szCs w:val="22"/>
                <w:lang w:val="es-ES"/>
              </w:rPr>
            </w:pPr>
            <w:r>
              <w:rPr>
                <w:rFonts w:eastAsia="Times New Roman"/>
                <w:color w:val="FFFFFF"/>
                <w:sz w:val="22"/>
                <w:szCs w:val="22"/>
                <w:lang w:val="pt-BR"/>
              </w:rPr>
              <w:t>Números de pergunta da área e do modelo</w:t>
            </w:r>
          </w:p>
        </w:tc>
        <w:tc>
          <w:tcPr>
            <w:tcW w:w="4109" w:type="dxa"/>
            <w:tcBorders>
              <w:left w:val="single" w:sz="4" w:space="0" w:color="FFFFFF" w:themeColor="background1"/>
              <w:right w:val="single" w:sz="4" w:space="0" w:color="FFFFFF" w:themeColor="background1"/>
            </w:tcBorders>
            <w:shd w:val="clear" w:color="auto" w:fill="215868" w:themeFill="accent5" w:themeFillShade="80"/>
          </w:tcPr>
          <w:p w14:paraId="440962EE" w14:textId="77777777" w:rsidR="0045565A" w:rsidRPr="00C87D35" w:rsidRDefault="00000000">
            <w:pPr>
              <w:pStyle w:val="TableText"/>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szCs w:val="22"/>
              </w:rPr>
            </w:pPr>
            <w:r>
              <w:rPr>
                <w:rFonts w:eastAsia="Times New Roman"/>
                <w:color w:val="FFFFFF"/>
                <w:sz w:val="22"/>
                <w:szCs w:val="22"/>
                <w:lang w:val="pt-BR"/>
              </w:rPr>
              <w:t>Requisito</w:t>
            </w:r>
          </w:p>
        </w:tc>
        <w:tc>
          <w:tcPr>
            <w:tcW w:w="3325" w:type="dxa"/>
            <w:tcBorders>
              <w:left w:val="single" w:sz="4" w:space="0" w:color="FFFFFF" w:themeColor="background1"/>
            </w:tcBorders>
            <w:shd w:val="clear" w:color="auto" w:fill="215868" w:themeFill="accent5" w:themeFillShade="80"/>
          </w:tcPr>
          <w:p w14:paraId="372510D0" w14:textId="77777777" w:rsidR="0045565A" w:rsidRPr="00CC1CB4" w:rsidRDefault="00000000" w:rsidP="004E5310">
            <w:pPr>
              <w:pStyle w:val="TableText"/>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lang w:val="es-ES"/>
              </w:rPr>
            </w:pPr>
            <w:r>
              <w:rPr>
                <w:rFonts w:eastAsia="Times New Roman"/>
                <w:color w:val="FFFFFF"/>
                <w:sz w:val="22"/>
                <w:szCs w:val="22"/>
                <w:lang w:val="pt-BR"/>
              </w:rPr>
              <w:t>O que deve ser incluído no plano</w:t>
            </w:r>
          </w:p>
        </w:tc>
      </w:tr>
      <w:tr w:rsidR="00C566B2" w:rsidRPr="00C04CDD" w14:paraId="4DED2743" w14:textId="77777777" w:rsidTr="00C56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8BC04" w14:textId="77777777" w:rsidR="0045565A" w:rsidRPr="00CC1CB4" w:rsidRDefault="00000000">
            <w:pPr>
              <w:pStyle w:val="TableText"/>
              <w:rPr>
                <w:color w:val="000000" w:themeColor="text1"/>
                <w:sz w:val="22"/>
                <w:szCs w:val="22"/>
                <w:lang w:val="es-ES"/>
              </w:rPr>
            </w:pPr>
            <w:r>
              <w:rPr>
                <w:rFonts w:eastAsia="Times New Roman"/>
                <w:b w:val="0"/>
                <w:bCs w:val="0"/>
                <w:color w:val="000000"/>
                <w:sz w:val="22"/>
                <w:szCs w:val="22"/>
                <w:lang w:val="pt-BR"/>
              </w:rPr>
              <w:t>(1–3) Avaliação em todo o estado</w:t>
            </w:r>
          </w:p>
        </w:tc>
        <w:tc>
          <w:tcPr>
            <w:tcW w:w="4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1969C" w14:textId="77777777" w:rsidR="006415C4" w:rsidRPr="00CC1CB4" w:rsidRDefault="00000000" w:rsidP="004705B5">
            <w:pPr>
              <w:pStyle w:val="TableText"/>
              <w:ind w:left="46"/>
              <w:cnfStyle w:val="000000100000" w:firstRow="0" w:lastRow="0" w:firstColumn="0" w:lastColumn="0" w:oddVBand="0" w:evenVBand="0" w:oddHBand="1" w:evenHBand="0" w:firstRowFirstColumn="0" w:firstRowLastColumn="0" w:lastRowFirstColumn="0" w:lastRowLastColumn="0"/>
              <w:rPr>
                <w:color w:val="auto"/>
                <w:sz w:val="22"/>
                <w:szCs w:val="22"/>
                <w:lang w:val="es-ES"/>
              </w:rPr>
            </w:pPr>
            <w:r>
              <w:rPr>
                <w:rFonts w:eastAsia="Times New Roman"/>
                <w:color w:val="auto"/>
                <w:sz w:val="22"/>
                <w:szCs w:val="22"/>
                <w:lang w:val="pt-BR"/>
              </w:rPr>
              <w:t>Exige que os estados avaliem os alunos de acordo com as seguintes diretrizes, bem como forneçam uma avaliação alternativa para alunos com deficiências intelectuais mais significativas para cada assunto listado abaixo:</w:t>
            </w:r>
          </w:p>
          <w:p w14:paraId="13DB9825" w14:textId="77777777" w:rsidR="009D2AA3" w:rsidRPr="00C87D35" w:rsidRDefault="00000000" w:rsidP="006701D2">
            <w:pPr>
              <w:pStyle w:val="TableText"/>
              <w:cnfStyle w:val="000000100000" w:firstRow="0" w:lastRow="0" w:firstColumn="0" w:lastColumn="0" w:oddVBand="0" w:evenVBand="0" w:oddHBand="1" w:evenHBand="0" w:firstRowFirstColumn="0" w:firstRowLastColumn="0" w:lastRowFirstColumn="0" w:lastRowLastColumn="0"/>
              <w:rPr>
                <w:b/>
                <w:bCs/>
                <w:color w:val="auto"/>
                <w:sz w:val="22"/>
                <w:szCs w:val="22"/>
              </w:rPr>
            </w:pPr>
            <w:r>
              <w:rPr>
                <w:rFonts w:eastAsia="Times New Roman"/>
                <w:b/>
                <w:bCs/>
                <w:color w:val="auto"/>
                <w:sz w:val="22"/>
                <w:szCs w:val="22"/>
                <w:lang w:val="pt-BR"/>
              </w:rPr>
              <w:t>ELA/Matemática:</w:t>
            </w:r>
          </w:p>
          <w:p w14:paraId="6A688321" w14:textId="77777777" w:rsidR="009D2AA3" w:rsidRPr="00CC1CB4" w:rsidRDefault="00000000">
            <w:pPr>
              <w:pStyle w:val="TableText"/>
              <w:numPr>
                <w:ilvl w:val="0"/>
                <w:numId w:val="15"/>
              </w:numPr>
              <w:ind w:left="504"/>
              <w:cnfStyle w:val="000000100000" w:firstRow="0" w:lastRow="0" w:firstColumn="0" w:lastColumn="0" w:oddVBand="0" w:evenVBand="0" w:oddHBand="1" w:evenHBand="0" w:firstRowFirstColumn="0" w:firstRowLastColumn="0" w:lastRowFirstColumn="0" w:lastRowLastColumn="0"/>
              <w:rPr>
                <w:color w:val="auto"/>
                <w:sz w:val="22"/>
                <w:szCs w:val="22"/>
                <w:lang w:val="es-ES"/>
              </w:rPr>
            </w:pPr>
            <w:r>
              <w:rPr>
                <w:rFonts w:eastAsia="Times New Roman"/>
                <w:color w:val="auto"/>
                <w:sz w:val="22"/>
                <w:szCs w:val="22"/>
                <w:lang w:val="pt-BR"/>
              </w:rPr>
              <w:t>cada uma nos anos 3 a 8;</w:t>
            </w:r>
          </w:p>
          <w:p w14:paraId="467B71F6" w14:textId="77777777" w:rsidR="006415C4" w:rsidRPr="00CC1CB4" w:rsidRDefault="00000000">
            <w:pPr>
              <w:pStyle w:val="TableText"/>
              <w:numPr>
                <w:ilvl w:val="0"/>
                <w:numId w:val="15"/>
              </w:numPr>
              <w:ind w:left="504"/>
              <w:cnfStyle w:val="000000100000" w:firstRow="0" w:lastRow="0" w:firstColumn="0" w:lastColumn="0" w:oddVBand="0" w:evenVBand="0" w:oddHBand="1" w:evenHBand="0" w:firstRowFirstColumn="0" w:firstRowLastColumn="0" w:lastRowFirstColumn="0" w:lastRowLastColumn="0"/>
              <w:rPr>
                <w:color w:val="auto"/>
                <w:sz w:val="22"/>
                <w:szCs w:val="22"/>
                <w:lang w:val="es-ES"/>
              </w:rPr>
            </w:pPr>
            <w:r>
              <w:rPr>
                <w:rFonts w:eastAsia="Times New Roman"/>
                <w:color w:val="auto"/>
                <w:sz w:val="22"/>
                <w:szCs w:val="22"/>
                <w:lang w:val="pt-BR"/>
              </w:rPr>
              <w:t>uma vez nos anos 9 a 12</w:t>
            </w:r>
          </w:p>
          <w:p w14:paraId="08CFD691" w14:textId="77777777" w:rsidR="009D2AA3" w:rsidRPr="00C87D35" w:rsidRDefault="00000000" w:rsidP="006701D2">
            <w:pPr>
              <w:pStyle w:val="TableText"/>
              <w:cnfStyle w:val="000000100000" w:firstRow="0" w:lastRow="0" w:firstColumn="0" w:lastColumn="0" w:oddVBand="0" w:evenVBand="0" w:oddHBand="1" w:evenHBand="0" w:firstRowFirstColumn="0" w:firstRowLastColumn="0" w:lastRowFirstColumn="0" w:lastRowLastColumn="0"/>
              <w:rPr>
                <w:b/>
                <w:bCs/>
                <w:color w:val="auto"/>
                <w:sz w:val="22"/>
                <w:szCs w:val="22"/>
              </w:rPr>
            </w:pPr>
            <w:r>
              <w:rPr>
                <w:rFonts w:eastAsia="Times New Roman"/>
                <w:b/>
                <w:bCs/>
                <w:color w:val="auto"/>
                <w:sz w:val="22"/>
                <w:szCs w:val="22"/>
                <w:lang w:val="pt-BR"/>
              </w:rPr>
              <w:t>Ciência:</w:t>
            </w:r>
          </w:p>
          <w:p w14:paraId="2867373E" w14:textId="77777777" w:rsidR="009D2AA3" w:rsidRPr="00CC1CB4" w:rsidRDefault="00000000">
            <w:pPr>
              <w:pStyle w:val="TableText"/>
              <w:numPr>
                <w:ilvl w:val="0"/>
                <w:numId w:val="16"/>
              </w:numPr>
              <w:ind w:left="504"/>
              <w:cnfStyle w:val="000000100000" w:firstRow="0" w:lastRow="0" w:firstColumn="0" w:lastColumn="0" w:oddVBand="0" w:evenVBand="0" w:oddHBand="1" w:evenHBand="0" w:firstRowFirstColumn="0" w:firstRowLastColumn="0" w:lastRowFirstColumn="0" w:lastRowLastColumn="0"/>
              <w:rPr>
                <w:color w:val="auto"/>
                <w:sz w:val="22"/>
                <w:szCs w:val="22"/>
                <w:lang w:val="es-ES"/>
              </w:rPr>
            </w:pPr>
            <w:r>
              <w:rPr>
                <w:rFonts w:eastAsia="Times New Roman"/>
                <w:color w:val="auto"/>
                <w:sz w:val="22"/>
                <w:szCs w:val="22"/>
                <w:lang w:val="pt-BR"/>
              </w:rPr>
              <w:t>uma vez no ensino fundamental I;</w:t>
            </w:r>
          </w:p>
          <w:p w14:paraId="1ABF12B4" w14:textId="77777777" w:rsidR="00AC59AB" w:rsidRPr="00CC1CB4" w:rsidRDefault="00000000">
            <w:pPr>
              <w:pStyle w:val="TableText"/>
              <w:numPr>
                <w:ilvl w:val="0"/>
                <w:numId w:val="16"/>
              </w:numPr>
              <w:ind w:left="504"/>
              <w:cnfStyle w:val="000000100000" w:firstRow="0" w:lastRow="0" w:firstColumn="0" w:lastColumn="0" w:oddVBand="0" w:evenVBand="0" w:oddHBand="1" w:evenHBand="0" w:firstRowFirstColumn="0" w:firstRowLastColumn="0" w:lastRowFirstColumn="0" w:lastRowLastColumn="0"/>
              <w:rPr>
                <w:color w:val="auto"/>
                <w:sz w:val="22"/>
                <w:szCs w:val="22"/>
                <w:lang w:val="es-ES"/>
              </w:rPr>
            </w:pPr>
            <w:r>
              <w:rPr>
                <w:rFonts w:eastAsia="Times New Roman"/>
                <w:color w:val="auto"/>
                <w:sz w:val="22"/>
                <w:szCs w:val="22"/>
                <w:lang w:val="pt-BR"/>
              </w:rPr>
              <w:t>uma vez no ensino fundamental II;</w:t>
            </w:r>
          </w:p>
          <w:p w14:paraId="2F3D3A50" w14:textId="77777777" w:rsidR="008B41B5" w:rsidRPr="00C87D35" w:rsidRDefault="00000000">
            <w:pPr>
              <w:pStyle w:val="TableText"/>
              <w:numPr>
                <w:ilvl w:val="0"/>
                <w:numId w:val="16"/>
              </w:numPr>
              <w:ind w:left="504"/>
              <w:cnfStyle w:val="000000100000" w:firstRow="0" w:lastRow="0" w:firstColumn="0" w:lastColumn="0" w:oddVBand="0" w:evenVBand="0" w:oddHBand="1" w:evenHBand="0" w:firstRowFirstColumn="0" w:firstRowLastColumn="0" w:lastRowFirstColumn="0" w:lastRowLastColumn="0"/>
              <w:rPr>
                <w:b/>
                <w:bCs/>
                <w:color w:val="auto"/>
                <w:sz w:val="22"/>
                <w:szCs w:val="22"/>
              </w:rPr>
            </w:pPr>
            <w:r>
              <w:rPr>
                <w:rFonts w:eastAsia="Times New Roman"/>
                <w:color w:val="auto"/>
                <w:sz w:val="22"/>
                <w:szCs w:val="22"/>
                <w:lang w:val="pt-BR"/>
              </w:rPr>
              <w:t>uma vez no ensino médio</w:t>
            </w:r>
          </w:p>
          <w:p w14:paraId="5AF2EE5F" w14:textId="77777777" w:rsidR="00322F38" w:rsidRPr="00CC1CB4" w:rsidRDefault="00000000" w:rsidP="004D22F1">
            <w:pPr>
              <w:pStyle w:val="TableText"/>
              <w:cnfStyle w:val="000000100000" w:firstRow="0" w:lastRow="0" w:firstColumn="0" w:lastColumn="0" w:oddVBand="0" w:evenVBand="0" w:oddHBand="1" w:evenHBand="0" w:firstRowFirstColumn="0" w:firstRowLastColumn="0" w:lastRowFirstColumn="0" w:lastRowLastColumn="0"/>
              <w:rPr>
                <w:color w:val="auto"/>
                <w:sz w:val="22"/>
                <w:szCs w:val="22"/>
                <w:lang w:val="es-ES"/>
              </w:rPr>
            </w:pPr>
            <w:r>
              <w:rPr>
                <w:rFonts w:eastAsia="Times New Roman"/>
                <w:color w:val="auto"/>
                <w:sz w:val="22"/>
                <w:szCs w:val="22"/>
                <w:lang w:val="pt-BR"/>
              </w:rPr>
              <w:t>Os estados também devem avaliar anualmente todos os alunos multilíngues por meio de uma avaliação de proficiência em inglês.</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F8E26" w14:textId="77777777" w:rsidR="0045565A" w:rsidRPr="00CC1CB4" w:rsidRDefault="00000000" w:rsidP="00FA3760">
            <w:pPr>
              <w:pStyle w:val="TableText"/>
              <w:ind w:left="46"/>
              <w:cnfStyle w:val="000000100000" w:firstRow="0" w:lastRow="0" w:firstColumn="0" w:lastColumn="0" w:oddVBand="0" w:evenVBand="0" w:oddHBand="1" w:evenHBand="0" w:firstRowFirstColumn="0" w:firstRowLastColumn="0" w:lastRowFirstColumn="0" w:lastRowLastColumn="0"/>
              <w:rPr>
                <w:color w:val="auto"/>
                <w:sz w:val="22"/>
                <w:szCs w:val="22"/>
                <w:lang w:val="es-ES"/>
              </w:rPr>
            </w:pPr>
            <w:r>
              <w:rPr>
                <w:rFonts w:eastAsia="Times New Roman"/>
                <w:color w:val="auto"/>
                <w:sz w:val="22"/>
                <w:szCs w:val="22"/>
                <w:lang w:val="pt-BR"/>
              </w:rPr>
              <w:t>Os estados devem descrever o trabalho relacionado às duas áreas de avaliação a seguir: cursos avançados de matemática e idiomas diferentes do inglês.</w:t>
            </w:r>
          </w:p>
        </w:tc>
      </w:tr>
      <w:tr w:rsidR="00C566B2" w:rsidRPr="00C04CDD" w14:paraId="732081C4" w14:textId="77777777" w:rsidTr="00C566B2">
        <w:trPr>
          <w:cantSplit/>
        </w:trPr>
        <w:tc>
          <w:tcPr>
            <w:cnfStyle w:val="001000000000" w:firstRow="0" w:lastRow="0" w:firstColumn="1" w:lastColumn="0" w:oddVBand="0" w:evenVBand="0" w:oddHBand="0" w:evenHBand="0" w:firstRowFirstColumn="0" w:firstRowLastColumn="0" w:lastRowFirstColumn="0" w:lastRowLastColumn="0"/>
            <w:tcW w:w="1916" w:type="dxa"/>
          </w:tcPr>
          <w:p w14:paraId="1E081EEB" w14:textId="77777777" w:rsidR="0045565A" w:rsidRPr="00CC1CB4" w:rsidRDefault="00000000">
            <w:pPr>
              <w:pStyle w:val="TableText"/>
              <w:rPr>
                <w:color w:val="000000" w:themeColor="text1"/>
                <w:sz w:val="22"/>
                <w:szCs w:val="22"/>
                <w:lang w:val="es-ES"/>
              </w:rPr>
            </w:pPr>
            <w:r>
              <w:rPr>
                <w:rFonts w:eastAsia="Times New Roman"/>
                <w:b w:val="0"/>
                <w:bCs w:val="0"/>
                <w:color w:val="000000"/>
                <w:sz w:val="22"/>
                <w:szCs w:val="22"/>
                <w:lang w:val="pt-BR"/>
              </w:rPr>
              <w:lastRenderedPageBreak/>
              <w:t>(4) Sistema de responsabilidade estadual, atividades de apoio e melhoria escolar</w:t>
            </w:r>
          </w:p>
        </w:tc>
        <w:tc>
          <w:tcPr>
            <w:tcW w:w="4109" w:type="dxa"/>
          </w:tcPr>
          <w:p w14:paraId="3896CE3A" w14:textId="77777777" w:rsidR="006415C4" w:rsidRPr="00C04CDD" w:rsidRDefault="00000000" w:rsidP="00FF7597">
            <w:pPr>
              <w:pStyle w:val="TableText"/>
              <w:ind w:left="46"/>
              <w:cnfStyle w:val="000000000000" w:firstRow="0" w:lastRow="0" w:firstColumn="0" w:lastColumn="0" w:oddVBand="0" w:evenVBand="0" w:oddHBand="0" w:evenHBand="0" w:firstRowFirstColumn="0" w:firstRowLastColumn="0" w:lastRowFirstColumn="0" w:lastRowLastColumn="0"/>
              <w:rPr>
                <w:color w:val="auto"/>
                <w:sz w:val="22"/>
                <w:szCs w:val="22"/>
                <w:lang w:val="es-ES"/>
              </w:rPr>
            </w:pPr>
            <w:r>
              <w:rPr>
                <w:rFonts w:eastAsia="Times New Roman"/>
                <w:color w:val="auto"/>
                <w:sz w:val="22"/>
                <w:szCs w:val="22"/>
                <w:lang w:val="pt-BR"/>
              </w:rPr>
              <w:t xml:space="preserve">Os estados devem utilizar um conjunto de indicadores para medir o desempenho de todas as escolas. Cada um dos seguintes indicadores é necessário: </w:t>
            </w:r>
          </w:p>
          <w:p w14:paraId="0C724B09" w14:textId="77777777" w:rsidR="00DF3AFF" w:rsidRPr="00C87D35" w:rsidRDefault="00000000">
            <w:pPr>
              <w:pStyle w:val="TableText"/>
              <w:numPr>
                <w:ilvl w:val="0"/>
                <w:numId w:val="94"/>
              </w:numPr>
              <w:spacing w:before="60"/>
              <w:ind w:left="481"/>
              <w:cnfStyle w:val="000000000000" w:firstRow="0" w:lastRow="0" w:firstColumn="0" w:lastColumn="0" w:oddVBand="0" w:evenVBand="0" w:oddHBand="0" w:evenHBand="0" w:firstRowFirstColumn="0" w:firstRowLastColumn="0" w:lastRowFirstColumn="0" w:lastRowLastColumn="0"/>
              <w:rPr>
                <w:color w:val="auto"/>
                <w:sz w:val="22"/>
                <w:szCs w:val="22"/>
              </w:rPr>
            </w:pPr>
            <w:r>
              <w:rPr>
                <w:rFonts w:eastAsia="Times New Roman"/>
                <w:color w:val="auto"/>
                <w:sz w:val="22"/>
                <w:szCs w:val="22"/>
                <w:lang w:val="pt-BR"/>
              </w:rPr>
              <w:t>proficiência acadêmica;</w:t>
            </w:r>
          </w:p>
          <w:p w14:paraId="17B54215" w14:textId="77777777" w:rsidR="00DF3AFF" w:rsidRPr="00CC1CB4" w:rsidRDefault="00000000">
            <w:pPr>
              <w:pStyle w:val="TableText"/>
              <w:numPr>
                <w:ilvl w:val="0"/>
                <w:numId w:val="94"/>
              </w:numPr>
              <w:spacing w:before="60"/>
              <w:ind w:left="481"/>
              <w:cnfStyle w:val="000000000000" w:firstRow="0" w:lastRow="0" w:firstColumn="0" w:lastColumn="0" w:oddVBand="0" w:evenVBand="0" w:oddHBand="0" w:evenHBand="0" w:firstRowFirstColumn="0" w:firstRowLastColumn="0" w:lastRowFirstColumn="0" w:lastRowLastColumn="0"/>
              <w:rPr>
                <w:color w:val="auto"/>
                <w:sz w:val="22"/>
                <w:szCs w:val="22"/>
                <w:lang w:val="es-ES"/>
              </w:rPr>
            </w:pPr>
            <w:r>
              <w:rPr>
                <w:rFonts w:eastAsia="Times New Roman"/>
                <w:color w:val="auto"/>
                <w:sz w:val="22"/>
                <w:szCs w:val="22"/>
                <w:lang w:val="pt-BR"/>
              </w:rPr>
              <w:t>taxas de formação para o ensino médio;</w:t>
            </w:r>
          </w:p>
          <w:p w14:paraId="1FB4E0BE" w14:textId="77777777" w:rsidR="00DF3AFF" w:rsidRPr="00CC1CB4" w:rsidRDefault="00000000">
            <w:pPr>
              <w:pStyle w:val="TableText"/>
              <w:numPr>
                <w:ilvl w:val="0"/>
                <w:numId w:val="94"/>
              </w:numPr>
              <w:spacing w:before="60"/>
              <w:ind w:left="481"/>
              <w:cnfStyle w:val="000000000000" w:firstRow="0" w:lastRow="0" w:firstColumn="0" w:lastColumn="0" w:oddVBand="0" w:evenVBand="0" w:oddHBand="0" w:evenHBand="0" w:firstRowFirstColumn="0" w:firstRowLastColumn="0" w:lastRowFirstColumn="0" w:lastRowLastColumn="0"/>
              <w:rPr>
                <w:color w:val="auto"/>
                <w:sz w:val="22"/>
                <w:szCs w:val="22"/>
                <w:lang w:val="es-ES"/>
              </w:rPr>
            </w:pPr>
            <w:r>
              <w:rPr>
                <w:rFonts w:eastAsia="Times New Roman"/>
                <w:color w:val="auto"/>
                <w:sz w:val="22"/>
                <w:szCs w:val="22"/>
                <w:lang w:val="pt-BR"/>
              </w:rPr>
              <w:t>crescimento acadêmico ou outro indicador acadêmico estadual da pré-escola ao 8º ano;</w:t>
            </w:r>
          </w:p>
          <w:p w14:paraId="791EACF1" w14:textId="77777777" w:rsidR="00A12280" w:rsidRPr="00C04CDD" w:rsidRDefault="00000000">
            <w:pPr>
              <w:pStyle w:val="TableText"/>
              <w:numPr>
                <w:ilvl w:val="0"/>
                <w:numId w:val="94"/>
              </w:numPr>
              <w:spacing w:before="60"/>
              <w:ind w:left="481"/>
              <w:cnfStyle w:val="000000000000" w:firstRow="0" w:lastRow="0" w:firstColumn="0" w:lastColumn="0" w:oddVBand="0" w:evenVBand="0" w:oddHBand="0" w:evenHBand="0" w:firstRowFirstColumn="0" w:firstRowLastColumn="0" w:lastRowFirstColumn="0" w:lastRowLastColumn="0"/>
              <w:rPr>
                <w:color w:val="auto"/>
                <w:sz w:val="22"/>
                <w:szCs w:val="22"/>
                <w:lang w:val="it-CH"/>
              </w:rPr>
            </w:pPr>
            <w:r>
              <w:rPr>
                <w:rFonts w:eastAsia="Times New Roman"/>
                <w:color w:val="auto"/>
                <w:sz w:val="22"/>
                <w:szCs w:val="22"/>
                <w:lang w:val="pt-BR"/>
              </w:rPr>
              <w:t>progresso em direção à proficiência em inglês;</w:t>
            </w:r>
          </w:p>
          <w:p w14:paraId="28DD842D" w14:textId="77777777" w:rsidR="00DF3AFF" w:rsidRPr="00CC1CB4" w:rsidRDefault="00000000">
            <w:pPr>
              <w:pStyle w:val="TableText"/>
              <w:numPr>
                <w:ilvl w:val="0"/>
                <w:numId w:val="94"/>
              </w:numPr>
              <w:spacing w:before="60"/>
              <w:ind w:left="481"/>
              <w:cnfStyle w:val="000000000000" w:firstRow="0" w:lastRow="0" w:firstColumn="0" w:lastColumn="0" w:oddVBand="0" w:evenVBand="0" w:oddHBand="0" w:evenHBand="0" w:firstRowFirstColumn="0" w:firstRowLastColumn="0" w:lastRowFirstColumn="0" w:lastRowLastColumn="0"/>
              <w:rPr>
                <w:color w:val="auto"/>
                <w:sz w:val="22"/>
                <w:szCs w:val="22"/>
                <w:lang w:val="es-ES"/>
              </w:rPr>
            </w:pPr>
            <w:r>
              <w:rPr>
                <w:rFonts w:eastAsia="Times New Roman"/>
                <w:color w:val="auto"/>
                <w:sz w:val="22"/>
                <w:szCs w:val="22"/>
                <w:lang w:val="pt-BR"/>
              </w:rPr>
              <w:t>pelo menos um outro indicador determinado pelo estado da qualidade da escola ou do sucesso do aluno.</w:t>
            </w:r>
          </w:p>
        </w:tc>
        <w:tc>
          <w:tcPr>
            <w:tcW w:w="3325" w:type="dxa"/>
          </w:tcPr>
          <w:p w14:paraId="5524781B" w14:textId="77777777" w:rsidR="0045565A" w:rsidRPr="00CC1CB4" w:rsidRDefault="00000000" w:rsidP="00FF7597">
            <w:pPr>
              <w:pStyle w:val="TableText"/>
              <w:ind w:left="46"/>
              <w:cnfStyle w:val="000000000000" w:firstRow="0" w:lastRow="0" w:firstColumn="0" w:lastColumn="0" w:oddVBand="0" w:evenVBand="0" w:oddHBand="0" w:evenHBand="0" w:firstRowFirstColumn="0" w:firstRowLastColumn="0" w:lastRowFirstColumn="0" w:lastRowLastColumn="0"/>
              <w:rPr>
                <w:color w:val="auto"/>
                <w:sz w:val="22"/>
                <w:szCs w:val="22"/>
                <w:lang w:val="es-ES"/>
              </w:rPr>
            </w:pPr>
            <w:r>
              <w:rPr>
                <w:rFonts w:eastAsia="Times New Roman"/>
                <w:color w:val="auto"/>
                <w:sz w:val="22"/>
                <w:szCs w:val="22"/>
                <w:lang w:val="pt-BR"/>
              </w:rPr>
              <w:t xml:space="preserve">Os estados devem documentar o sistema de responsabilização em detalhes. </w:t>
            </w:r>
          </w:p>
        </w:tc>
      </w:tr>
      <w:tr w:rsidR="00C566B2" w:rsidRPr="00C04CDD" w14:paraId="22FD5C69" w14:textId="77777777" w:rsidTr="00C56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1F33DD" w14:textId="77777777" w:rsidR="0045565A" w:rsidRPr="00CC1CB4" w:rsidRDefault="00000000">
            <w:pPr>
              <w:pStyle w:val="TableText"/>
              <w:rPr>
                <w:color w:val="000000" w:themeColor="text1"/>
                <w:sz w:val="22"/>
                <w:szCs w:val="22"/>
                <w:lang w:val="es-ES"/>
              </w:rPr>
            </w:pPr>
            <w:r>
              <w:rPr>
                <w:rFonts w:eastAsia="Times New Roman"/>
                <w:b w:val="0"/>
                <w:bCs w:val="0"/>
                <w:color w:val="000000"/>
                <w:sz w:val="22"/>
                <w:szCs w:val="22"/>
                <w:lang w:val="pt-BR"/>
              </w:rPr>
              <w:t>(4iii) Metas acadêmicas de longo prazo</w:t>
            </w:r>
          </w:p>
        </w:tc>
        <w:tc>
          <w:tcPr>
            <w:tcW w:w="4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58245" w14:textId="77777777" w:rsidR="0045565A" w:rsidRPr="00CC1CB4" w:rsidRDefault="00000000" w:rsidP="00FF7597">
            <w:pPr>
              <w:pStyle w:val="TableText"/>
              <w:ind w:left="46"/>
              <w:cnfStyle w:val="000000100000" w:firstRow="0" w:lastRow="0" w:firstColumn="0" w:lastColumn="0" w:oddVBand="0" w:evenVBand="0" w:oddHBand="1" w:evenHBand="0" w:firstRowFirstColumn="0" w:firstRowLastColumn="0" w:lastRowFirstColumn="0" w:lastRowLastColumn="0"/>
              <w:rPr>
                <w:color w:val="auto"/>
                <w:sz w:val="22"/>
                <w:szCs w:val="22"/>
                <w:lang w:val="es-ES"/>
              </w:rPr>
            </w:pPr>
            <w:r>
              <w:rPr>
                <w:rStyle w:val="af9"/>
                <w:rFonts w:eastAsia="Times New Roman"/>
                <w:b w:val="0"/>
                <w:bCs w:val="0"/>
                <w:color w:val="auto"/>
                <w:sz w:val="22"/>
                <w:szCs w:val="22"/>
                <w:lang w:val="pt-BR"/>
              </w:rPr>
              <w:t xml:space="preserve">Os estados </w:t>
            </w:r>
            <w:r>
              <w:rPr>
                <w:rStyle w:val="af9"/>
                <w:rFonts w:eastAsia="Times New Roman"/>
                <w:b w:val="0"/>
                <w:bCs w:val="0"/>
                <w:color w:val="000000"/>
                <w:sz w:val="22"/>
                <w:szCs w:val="22"/>
                <w:lang w:val="pt-BR"/>
              </w:rPr>
              <w:t>devem</w:t>
            </w:r>
            <w:r>
              <w:rPr>
                <w:rStyle w:val="af9"/>
                <w:rFonts w:eastAsia="Times New Roman"/>
                <w:b w:val="0"/>
                <w:bCs w:val="0"/>
                <w:color w:val="auto"/>
                <w:sz w:val="22"/>
                <w:szCs w:val="22"/>
                <w:lang w:val="pt-BR"/>
              </w:rPr>
              <w:t xml:space="preserve"> definir metas de longo prazo para proficiência acadêmica, taxa de formação no ensino médio e proficiência em inglês.</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337ADE" w14:textId="77777777" w:rsidR="0045565A" w:rsidRPr="00CC1CB4" w:rsidRDefault="00000000" w:rsidP="00FF7597">
            <w:pPr>
              <w:pStyle w:val="TableText"/>
              <w:ind w:left="46"/>
              <w:cnfStyle w:val="000000100000" w:firstRow="0" w:lastRow="0" w:firstColumn="0" w:lastColumn="0" w:oddVBand="0" w:evenVBand="0" w:oddHBand="1" w:evenHBand="0" w:firstRowFirstColumn="0" w:firstRowLastColumn="0" w:lastRowFirstColumn="0" w:lastRowLastColumn="0"/>
              <w:rPr>
                <w:color w:val="auto"/>
                <w:sz w:val="22"/>
                <w:szCs w:val="22"/>
                <w:lang w:val="es-ES"/>
              </w:rPr>
            </w:pPr>
            <w:r>
              <w:rPr>
                <w:rFonts w:eastAsia="Times New Roman"/>
                <w:color w:val="auto"/>
                <w:sz w:val="22"/>
                <w:szCs w:val="22"/>
                <w:lang w:val="pt-BR"/>
              </w:rPr>
              <w:t>Os estados devem fornecer dados de linha de base, medições do progresso intermediário e metas de longo prazo para realização acadêmica, taxas de formação e proficiência em inglês.</w:t>
            </w:r>
          </w:p>
        </w:tc>
      </w:tr>
      <w:tr w:rsidR="00C566B2" w:rsidRPr="00C04CDD" w14:paraId="3F40D8BB" w14:textId="77777777" w:rsidTr="00C566B2">
        <w:trPr>
          <w:cantSplit/>
        </w:trPr>
        <w:tc>
          <w:tcPr>
            <w:cnfStyle w:val="001000000000" w:firstRow="0" w:lastRow="0" w:firstColumn="1" w:lastColumn="0" w:oddVBand="0" w:evenVBand="0" w:oddHBand="0" w:evenHBand="0" w:firstRowFirstColumn="0" w:firstRowLastColumn="0" w:lastRowFirstColumn="0" w:lastRowLastColumn="0"/>
            <w:tcW w:w="1916" w:type="dxa"/>
          </w:tcPr>
          <w:p w14:paraId="6CCEDFBD" w14:textId="77777777" w:rsidR="009076B1" w:rsidRPr="00CC1CB4" w:rsidRDefault="00000000" w:rsidP="009076B1">
            <w:pPr>
              <w:pStyle w:val="TableText"/>
              <w:rPr>
                <w:color w:val="000000" w:themeColor="text1"/>
                <w:sz w:val="22"/>
                <w:szCs w:val="22"/>
                <w:lang w:val="es-ES"/>
              </w:rPr>
            </w:pPr>
            <w:r>
              <w:rPr>
                <w:rFonts w:eastAsia="Times New Roman"/>
                <w:b w:val="0"/>
                <w:bCs w:val="0"/>
                <w:color w:val="000000"/>
                <w:sz w:val="22"/>
                <w:szCs w:val="22"/>
                <w:lang w:val="pt-BR"/>
              </w:rPr>
              <w:t>Identificação de escolas de baixo desempenho e estratégias de apoio associadas</w:t>
            </w:r>
          </w:p>
        </w:tc>
        <w:tc>
          <w:tcPr>
            <w:tcW w:w="4109" w:type="dxa"/>
          </w:tcPr>
          <w:p w14:paraId="576A4D52" w14:textId="77777777" w:rsidR="009076B1" w:rsidRPr="00CC1CB4" w:rsidRDefault="00000000" w:rsidP="0020124C">
            <w:pPr>
              <w:pStyle w:val="TableText"/>
              <w:ind w:left="46"/>
              <w:cnfStyle w:val="000000000000" w:firstRow="0" w:lastRow="0" w:firstColumn="0" w:lastColumn="0" w:oddVBand="0" w:evenVBand="0" w:oddHBand="0" w:evenHBand="0" w:firstRowFirstColumn="0" w:firstRowLastColumn="0" w:lastRowFirstColumn="0" w:lastRowLastColumn="0"/>
              <w:rPr>
                <w:rStyle w:val="af9"/>
                <w:color w:val="auto"/>
                <w:sz w:val="22"/>
                <w:szCs w:val="22"/>
                <w:lang w:val="es-ES"/>
              </w:rPr>
            </w:pPr>
            <w:r>
              <w:rPr>
                <w:rFonts w:eastAsia="Times New Roman"/>
                <w:color w:val="auto"/>
                <w:sz w:val="22"/>
                <w:szCs w:val="22"/>
                <w:lang w:val="pt-BR"/>
              </w:rPr>
              <w:t xml:space="preserve">Os estados devem identificar anualmente escolas que precisam de melhoria e fornecer monitoramento e apoio para garantir que elas melhorem. </w:t>
            </w:r>
          </w:p>
        </w:tc>
        <w:tc>
          <w:tcPr>
            <w:tcW w:w="3325" w:type="dxa"/>
          </w:tcPr>
          <w:p w14:paraId="24251FC7" w14:textId="77777777" w:rsidR="009076B1" w:rsidRPr="00CC1CB4" w:rsidRDefault="00000000" w:rsidP="00787EDE">
            <w:pPr>
              <w:pStyle w:val="TableText"/>
              <w:cnfStyle w:val="000000000000" w:firstRow="0" w:lastRow="0" w:firstColumn="0" w:lastColumn="0" w:oddVBand="0" w:evenVBand="0" w:oddHBand="0" w:evenHBand="0" w:firstRowFirstColumn="0" w:firstRowLastColumn="0" w:lastRowFirstColumn="0" w:lastRowLastColumn="0"/>
              <w:rPr>
                <w:color w:val="auto"/>
                <w:sz w:val="22"/>
                <w:szCs w:val="22"/>
                <w:lang w:val="es-ES"/>
              </w:rPr>
            </w:pPr>
            <w:r>
              <w:rPr>
                <w:rFonts w:eastAsia="Times New Roman"/>
                <w:color w:val="auto"/>
                <w:sz w:val="22"/>
                <w:szCs w:val="22"/>
                <w:lang w:val="pt-BR"/>
              </w:rPr>
              <w:t>Os estados devem documentar os critérios de entrada e saída para escolas que precisam de melhoria, bem como planos para monitorar o progresso identificado e fornecer apoio.</w:t>
            </w:r>
          </w:p>
        </w:tc>
      </w:tr>
    </w:tbl>
    <w:p w14:paraId="35C743B1" w14:textId="77777777" w:rsidR="00B26BDB" w:rsidRPr="00CC1CB4" w:rsidRDefault="00000000">
      <w:pPr>
        <w:rPr>
          <w:rFonts w:eastAsiaTheme="majorEastAsia" w:cs="Times New Roman"/>
          <w:color w:val="365F91" w:themeColor="accent1" w:themeShade="BF"/>
          <w:sz w:val="40"/>
          <w:szCs w:val="28"/>
          <w:lang w:val="es-ES"/>
        </w:rPr>
      </w:pPr>
      <w:r w:rsidRPr="00CC1CB4">
        <w:rPr>
          <w:b/>
          <w:bCs/>
          <w:color w:val="365F91" w:themeColor="accent1" w:themeShade="BF"/>
          <w:sz w:val="40"/>
          <w:lang w:val="es-ES"/>
        </w:rPr>
        <w:br w:type="page"/>
      </w:r>
    </w:p>
    <w:p w14:paraId="387CBB43" w14:textId="77777777" w:rsidR="00F33A9E" w:rsidRPr="00CC1CB4" w:rsidRDefault="00000000" w:rsidP="00F33A9E">
      <w:pPr>
        <w:pStyle w:val="BeginUSED"/>
        <w:rPr>
          <w:color w:val="244061" w:themeColor="accent1" w:themeShade="80"/>
          <w:sz w:val="28"/>
          <w:lang w:val="es-ES"/>
        </w:rPr>
      </w:pPr>
      <w:r>
        <w:rPr>
          <w:rFonts w:eastAsia="Times New Roman"/>
          <w:color w:val="FFFFFF"/>
          <w:szCs w:val="4"/>
          <w:lang w:val="pt-BR"/>
        </w:rPr>
        <w:lastRenderedPageBreak/>
        <w:t>[iniciar o texto do USED]</w:t>
      </w:r>
    </w:p>
    <w:p w14:paraId="2428CAA4" w14:textId="77777777" w:rsidR="00CF0B78" w:rsidRPr="00CC1CB4" w:rsidRDefault="00000000" w:rsidP="00831B57">
      <w:pPr>
        <w:pStyle w:val="2"/>
        <w:rPr>
          <w:lang w:val="es-ES"/>
        </w:rPr>
      </w:pPr>
      <w:bookmarkStart w:id="55" w:name="_Toc211004634"/>
      <w:r>
        <w:rPr>
          <w:rFonts w:eastAsia="Cambria"/>
          <w:szCs w:val="32"/>
          <w:lang w:val="pt-BR"/>
        </w:rPr>
        <w:t>1. Padrões e avaliações acadêmicos estaduais desafiadores</w:t>
      </w:r>
      <w:bookmarkEnd w:id="55"/>
      <w:r>
        <w:rPr>
          <w:rFonts w:eastAsia="Cambria"/>
          <w:szCs w:val="32"/>
          <w:lang w:val="pt-BR"/>
        </w:rPr>
        <w:t xml:space="preserve"> </w:t>
      </w:r>
    </w:p>
    <w:p w14:paraId="4BF2AC20" w14:textId="77777777" w:rsidR="009A4835" w:rsidRPr="00CC1CB4" w:rsidRDefault="00000000" w:rsidP="005A6B33">
      <w:pPr>
        <w:pStyle w:val="blue"/>
        <w:rPr>
          <w:lang w:val="es-ES"/>
        </w:rPr>
      </w:pPr>
      <w:r>
        <w:rPr>
          <w:rFonts w:ascii="Cambria" w:eastAsia="Cambria" w:hAnsi="Cambria"/>
          <w:lang w:val="pt-BR"/>
        </w:rPr>
        <w:t>(Seção 1111(b)(1) e (2) da ESEA e 34 CFR §§ 200.1−200.8.)</w:t>
      </w:r>
    </w:p>
    <w:p w14:paraId="37C22A75" w14:textId="77777777" w:rsidR="006415C4" w:rsidRPr="00CC1CB4" w:rsidRDefault="00000000" w:rsidP="00FA3760">
      <w:pPr>
        <w:pStyle w:val="blue"/>
        <w:rPr>
          <w:b/>
          <w:i/>
          <w:iCs/>
          <w:lang w:val="es-ES"/>
        </w:rPr>
      </w:pPr>
      <w:r>
        <w:rPr>
          <w:rFonts w:ascii="Cambria" w:eastAsia="Cambria" w:hAnsi="Cambria"/>
          <w:b/>
          <w:bCs/>
          <w:lang w:val="pt-BR"/>
        </w:rPr>
        <w:t>Observação</w:t>
      </w:r>
      <w:r>
        <w:rPr>
          <w:rFonts w:ascii="Cambria" w:eastAsia="Cambria" w:hAnsi="Cambria"/>
          <w:b/>
          <w:bCs/>
          <w:i/>
          <w:iCs/>
          <w:lang w:val="pt-BR"/>
        </w:rPr>
        <w:t xml:space="preserve"> </w:t>
      </w:r>
      <w:r>
        <w:rPr>
          <w:rFonts w:ascii="Cambria" w:eastAsia="Cambria" w:hAnsi="Cambria"/>
          <w:b/>
          <w:bCs/>
          <w:lang w:val="pt-BR"/>
        </w:rPr>
        <w:t>para o</w:t>
      </w:r>
      <w:r>
        <w:rPr>
          <w:rFonts w:ascii="Cambria" w:eastAsia="Cambria" w:hAnsi="Cambria"/>
          <w:b/>
          <w:bCs/>
          <w:i/>
          <w:iCs/>
          <w:lang w:val="pt-BR"/>
        </w:rPr>
        <w:t xml:space="preserve"> </w:t>
      </w:r>
      <w:r>
        <w:rPr>
          <w:rFonts w:ascii="Cambria" w:eastAsia="Cambria" w:hAnsi="Cambria"/>
          <w:b/>
          <w:bCs/>
          <w:lang w:val="pt-BR"/>
        </w:rPr>
        <w:t>leitor:</w:t>
      </w:r>
      <w:r>
        <w:rPr>
          <w:rFonts w:ascii="Cambria" w:eastAsia="Cambria" w:hAnsi="Cambria"/>
          <w:b/>
          <w:bCs/>
          <w:i/>
          <w:iCs/>
          <w:lang w:val="pt-BR"/>
        </w:rPr>
        <w:t xml:space="preserve"> </w:t>
      </w:r>
      <w:r>
        <w:rPr>
          <w:rFonts w:ascii="Cambria" w:eastAsia="Cambria" w:hAnsi="Cambria"/>
          <w:lang w:val="pt-BR"/>
        </w:rPr>
        <w:t>A nota de</w:t>
      </w:r>
      <w:r>
        <w:rPr>
          <w:rFonts w:ascii="Cambria" w:eastAsia="Cambria" w:hAnsi="Cambria"/>
          <w:i/>
          <w:iCs/>
          <w:lang w:val="pt-BR"/>
        </w:rPr>
        <w:t xml:space="preserve"> </w:t>
      </w:r>
      <w:r>
        <w:rPr>
          <w:rFonts w:ascii="Cambria" w:eastAsia="Cambria" w:hAnsi="Cambria"/>
          <w:lang w:val="pt-BR"/>
        </w:rPr>
        <w:t>rodapé</w:t>
      </w:r>
      <w:r>
        <w:rPr>
          <w:rFonts w:ascii="Cambria" w:eastAsia="Cambria" w:hAnsi="Cambria"/>
          <w:i/>
          <w:iCs/>
          <w:lang w:val="pt-BR"/>
        </w:rPr>
        <w:t xml:space="preserve"> </w:t>
      </w:r>
      <w:r>
        <w:rPr>
          <w:rFonts w:ascii="Cambria" w:eastAsia="Cambria" w:hAnsi="Cambria"/>
          <w:lang w:val="pt-BR"/>
        </w:rPr>
        <w:t>na</w:t>
      </w:r>
      <w:r>
        <w:rPr>
          <w:rFonts w:ascii="Cambria" w:eastAsia="Cambria" w:hAnsi="Cambria"/>
          <w:i/>
          <w:iCs/>
          <w:lang w:val="pt-BR"/>
        </w:rPr>
        <w:t xml:space="preserve"> </w:t>
      </w:r>
      <w:r>
        <w:rPr>
          <w:rFonts w:ascii="Cambria" w:eastAsia="Cambria" w:hAnsi="Cambria"/>
          <w:lang w:val="pt-BR"/>
        </w:rPr>
        <w:t xml:space="preserve">página </w:t>
      </w:r>
      <w:r>
        <w:rPr>
          <w:rFonts w:ascii="Cambria" w:eastAsia="Cambria" w:hAnsi="Cambria"/>
          <w:i/>
          <w:iCs/>
          <w:lang w:val="pt-BR"/>
        </w:rPr>
        <w:t xml:space="preserve"> </w:t>
      </w:r>
      <w:r>
        <w:rPr>
          <w:rFonts w:ascii="Cambria" w:eastAsia="Cambria" w:hAnsi="Cambria"/>
          <w:lang w:val="pt-BR"/>
        </w:rPr>
        <w:t>6</w:t>
      </w:r>
      <w:r>
        <w:rPr>
          <w:rFonts w:ascii="Cambria" w:eastAsia="Cambria" w:hAnsi="Cambria"/>
          <w:i/>
          <w:iCs/>
          <w:lang w:val="pt-BR"/>
        </w:rPr>
        <w:t xml:space="preserve">  </w:t>
      </w:r>
      <w:r>
        <w:rPr>
          <w:rFonts w:ascii="Cambria" w:eastAsia="Cambria" w:hAnsi="Cambria"/>
          <w:lang w:val="pt-BR"/>
        </w:rPr>
        <w:t>do</w:t>
      </w:r>
      <w:r>
        <w:rPr>
          <w:rFonts w:ascii="Cambria" w:eastAsia="Cambria" w:hAnsi="Cambria"/>
          <w:i/>
          <w:iCs/>
          <w:lang w:val="pt-BR"/>
        </w:rPr>
        <w:t xml:space="preserve"> </w:t>
      </w:r>
      <w:r>
        <w:rPr>
          <w:rFonts w:ascii="Cambria" w:eastAsia="Cambria" w:hAnsi="Cambria"/>
          <w:lang w:val="pt-BR"/>
        </w:rPr>
        <w:t xml:space="preserve">Modelo </w:t>
      </w:r>
      <w:r>
        <w:rPr>
          <w:rFonts w:ascii="Cambria" w:eastAsia="Cambria" w:hAnsi="Cambria"/>
          <w:i/>
          <w:iCs/>
          <w:lang w:val="pt-BR"/>
        </w:rPr>
        <w:t xml:space="preserve"> </w:t>
      </w:r>
      <w:r>
        <w:rPr>
          <w:rFonts w:ascii="Cambria" w:eastAsia="Cambria" w:hAnsi="Cambria"/>
          <w:lang w:val="pt-BR"/>
        </w:rPr>
        <w:t>estadual</w:t>
      </w:r>
      <w:r>
        <w:rPr>
          <w:rFonts w:ascii="Cambria" w:eastAsia="Cambria" w:hAnsi="Cambria"/>
          <w:i/>
          <w:iCs/>
          <w:lang w:val="pt-BR"/>
        </w:rPr>
        <w:t xml:space="preserve"> </w:t>
      </w:r>
      <w:r>
        <w:rPr>
          <w:rFonts w:ascii="Cambria" w:eastAsia="Cambria" w:hAnsi="Cambria"/>
          <w:lang w:val="pt-BR"/>
        </w:rPr>
        <w:t>revisado</w:t>
      </w:r>
      <w:r>
        <w:rPr>
          <w:rFonts w:ascii="Cambria" w:eastAsia="Cambria" w:hAnsi="Cambria"/>
          <w:i/>
          <w:iCs/>
          <w:lang w:val="pt-BR"/>
        </w:rPr>
        <w:t xml:space="preserve"> </w:t>
      </w:r>
      <w:r>
        <w:rPr>
          <w:rFonts w:ascii="Cambria" w:eastAsia="Cambria" w:hAnsi="Cambria"/>
          <w:lang w:val="pt-BR"/>
        </w:rPr>
        <w:t>para</w:t>
      </w:r>
      <w:r>
        <w:rPr>
          <w:rFonts w:ascii="Cambria" w:eastAsia="Cambria" w:hAnsi="Cambria"/>
          <w:i/>
          <w:iCs/>
          <w:lang w:val="pt-BR"/>
        </w:rPr>
        <w:t xml:space="preserve"> </w:t>
      </w:r>
      <w:r>
        <w:rPr>
          <w:rFonts w:ascii="Cambria" w:eastAsia="Cambria" w:hAnsi="Cambria"/>
          <w:lang w:val="pt-BR"/>
        </w:rPr>
        <w:t>o</w:t>
      </w:r>
      <w:r>
        <w:rPr>
          <w:rFonts w:ascii="Cambria" w:eastAsia="Cambria" w:hAnsi="Cambria"/>
          <w:i/>
          <w:iCs/>
          <w:lang w:val="pt-BR"/>
        </w:rPr>
        <w:t xml:space="preserve"> </w:t>
      </w:r>
      <w:r>
        <w:rPr>
          <w:rFonts w:ascii="Cambria" w:eastAsia="Cambria" w:hAnsi="Cambria"/>
          <w:lang w:val="pt-BR"/>
        </w:rPr>
        <w:t xml:space="preserve">Plano </w:t>
      </w:r>
      <w:r>
        <w:rPr>
          <w:rFonts w:ascii="Cambria" w:eastAsia="Cambria" w:hAnsi="Cambria"/>
          <w:i/>
          <w:iCs/>
          <w:lang w:val="pt-BR"/>
        </w:rPr>
        <w:t xml:space="preserve"> </w:t>
      </w:r>
      <w:r>
        <w:rPr>
          <w:rFonts w:ascii="Cambria" w:eastAsia="Cambria" w:hAnsi="Cambria"/>
          <w:lang w:val="pt-BR"/>
        </w:rPr>
        <w:t>estadual</w:t>
      </w:r>
      <w:r>
        <w:rPr>
          <w:rFonts w:ascii="Cambria" w:eastAsia="Cambria" w:hAnsi="Cambria"/>
          <w:i/>
          <w:iCs/>
          <w:lang w:val="pt-BR"/>
        </w:rPr>
        <w:t xml:space="preserve"> </w:t>
      </w:r>
      <w:r>
        <w:rPr>
          <w:rFonts w:ascii="Cambria" w:eastAsia="Cambria" w:hAnsi="Cambria"/>
          <w:lang w:val="pt-BR"/>
        </w:rPr>
        <w:t>consolidado</w:t>
      </w:r>
      <w:r>
        <w:rPr>
          <w:rFonts w:ascii="Cambria" w:eastAsia="Cambria" w:hAnsi="Cambria"/>
          <w:i/>
          <w:iCs/>
          <w:lang w:val="pt-BR"/>
        </w:rPr>
        <w:t xml:space="preserve"> </w:t>
      </w:r>
      <w:r>
        <w:rPr>
          <w:rFonts w:ascii="Cambria" w:eastAsia="Cambria" w:hAnsi="Cambria"/>
          <w:lang w:val="pt-BR"/>
        </w:rPr>
        <w:t>afirma:</w:t>
      </w:r>
      <w:r>
        <w:rPr>
          <w:rFonts w:ascii="Cambria" w:eastAsia="Cambria" w:hAnsi="Cambria"/>
          <w:i/>
          <w:iCs/>
          <w:lang w:val="pt-BR"/>
        </w:rPr>
        <w:t xml:space="preserve"> </w:t>
      </w:r>
      <w:r>
        <w:rPr>
          <w:rFonts w:ascii="Cambria" w:eastAsia="Cambria" w:hAnsi="Cambria"/>
          <w:b/>
          <w:bCs/>
          <w:lang w:val="pt-BR"/>
        </w:rPr>
        <w:t>“</w:t>
      </w:r>
      <w:r>
        <w:rPr>
          <w:rFonts w:ascii="Cambria" w:eastAsia="Cambria" w:hAnsi="Cambria"/>
          <w:lang w:val="pt-BR"/>
        </w:rPr>
        <w:t>O</w:t>
      </w:r>
      <w:r>
        <w:rPr>
          <w:rFonts w:ascii="Cambria" w:eastAsia="Cambria" w:hAnsi="Cambria"/>
          <w:i/>
          <w:iCs/>
          <w:lang w:val="pt-BR"/>
        </w:rPr>
        <w:t xml:space="preserve"> </w:t>
      </w:r>
      <w:r>
        <w:rPr>
          <w:rFonts w:ascii="Cambria" w:eastAsia="Cambria" w:hAnsi="Cambria"/>
          <w:lang w:val="pt-BR"/>
        </w:rPr>
        <w:t>Secretário</w:t>
      </w:r>
      <w:r>
        <w:rPr>
          <w:rFonts w:ascii="Cambria" w:eastAsia="Cambria" w:hAnsi="Cambria"/>
          <w:i/>
          <w:iCs/>
          <w:lang w:val="pt-BR"/>
        </w:rPr>
        <w:t xml:space="preserve"> </w:t>
      </w:r>
      <w:r>
        <w:rPr>
          <w:rFonts w:ascii="Cambria" w:eastAsia="Cambria" w:hAnsi="Cambria"/>
          <w:lang w:val="pt-BR"/>
        </w:rPr>
        <w:t>prevê a</w:t>
      </w:r>
      <w:r>
        <w:rPr>
          <w:rFonts w:ascii="Cambria" w:eastAsia="Cambria" w:hAnsi="Cambria"/>
          <w:i/>
          <w:iCs/>
          <w:lang w:val="pt-BR"/>
        </w:rPr>
        <w:t xml:space="preserve"> </w:t>
      </w:r>
      <w:r>
        <w:rPr>
          <w:rFonts w:ascii="Cambria" w:eastAsia="Cambria" w:hAnsi="Cambria"/>
          <w:lang w:val="pt-BR"/>
        </w:rPr>
        <w:t>coleta de</w:t>
      </w:r>
      <w:r>
        <w:rPr>
          <w:rFonts w:ascii="Cambria" w:eastAsia="Cambria" w:hAnsi="Cambria"/>
          <w:i/>
          <w:iCs/>
          <w:lang w:val="pt-BR"/>
        </w:rPr>
        <w:t xml:space="preserve"> </w:t>
      </w:r>
      <w:r>
        <w:rPr>
          <w:rFonts w:ascii="Cambria" w:eastAsia="Cambria" w:hAnsi="Cambria"/>
          <w:lang w:val="pt-BR"/>
        </w:rPr>
        <w:t>informações</w:t>
      </w:r>
      <w:r>
        <w:rPr>
          <w:rFonts w:ascii="Cambria" w:eastAsia="Cambria" w:hAnsi="Cambria"/>
          <w:i/>
          <w:iCs/>
          <w:lang w:val="pt-BR"/>
        </w:rPr>
        <w:t xml:space="preserve"> </w:t>
      </w:r>
      <w:r>
        <w:rPr>
          <w:rFonts w:ascii="Cambria" w:eastAsia="Cambria" w:hAnsi="Cambria"/>
          <w:lang w:val="pt-BR"/>
        </w:rPr>
        <w:t>relevantes</w:t>
      </w:r>
      <w:r>
        <w:rPr>
          <w:rFonts w:ascii="Cambria" w:eastAsia="Cambria" w:hAnsi="Cambria"/>
          <w:i/>
          <w:iCs/>
          <w:lang w:val="pt-BR"/>
        </w:rPr>
        <w:t xml:space="preserve"> </w:t>
      </w:r>
      <w:r>
        <w:rPr>
          <w:rFonts w:ascii="Cambria" w:eastAsia="Cambria" w:hAnsi="Cambria"/>
          <w:lang w:val="pt-BR"/>
        </w:rPr>
        <w:t>consistentes</w:t>
      </w:r>
      <w:r>
        <w:rPr>
          <w:rFonts w:ascii="Cambria" w:eastAsia="Cambria" w:hAnsi="Cambria"/>
          <w:i/>
          <w:iCs/>
          <w:lang w:val="pt-BR"/>
        </w:rPr>
        <w:t xml:space="preserve"> </w:t>
      </w:r>
      <w:r>
        <w:rPr>
          <w:rFonts w:ascii="Cambria" w:eastAsia="Cambria" w:hAnsi="Cambria"/>
          <w:lang w:val="pt-BR"/>
        </w:rPr>
        <w:t>com</w:t>
      </w:r>
      <w:r>
        <w:rPr>
          <w:rFonts w:ascii="Cambria" w:eastAsia="Cambria" w:hAnsi="Cambria"/>
          <w:i/>
          <w:iCs/>
          <w:lang w:val="pt-BR"/>
        </w:rPr>
        <w:t xml:space="preserve"> </w:t>
      </w:r>
      <w:r>
        <w:rPr>
          <w:rFonts w:ascii="Cambria" w:eastAsia="Cambria" w:hAnsi="Cambria"/>
          <w:lang w:val="pt-BR"/>
        </w:rPr>
        <w:t>o</w:t>
      </w:r>
      <w:r>
        <w:rPr>
          <w:rFonts w:ascii="Cambria" w:eastAsia="Cambria" w:hAnsi="Cambria"/>
          <w:i/>
          <w:iCs/>
          <w:lang w:val="pt-BR"/>
        </w:rPr>
        <w:t xml:space="preserve"> </w:t>
      </w:r>
      <w:r>
        <w:rPr>
          <w:rFonts w:ascii="Cambria" w:eastAsia="Cambria" w:hAnsi="Cambria"/>
          <w:lang w:val="pt-BR"/>
        </w:rPr>
        <w:t>processo</w:t>
      </w:r>
      <w:r>
        <w:rPr>
          <w:rFonts w:ascii="Cambria" w:eastAsia="Cambria" w:hAnsi="Cambria"/>
          <w:i/>
          <w:iCs/>
          <w:lang w:val="pt-BR"/>
        </w:rPr>
        <w:t xml:space="preserve"> </w:t>
      </w:r>
      <w:r>
        <w:rPr>
          <w:rFonts w:ascii="Cambria" w:eastAsia="Cambria" w:hAnsi="Cambria"/>
          <w:lang w:val="pt-BR"/>
        </w:rPr>
        <w:t>de</w:t>
      </w:r>
      <w:r>
        <w:rPr>
          <w:rFonts w:ascii="Cambria" w:eastAsia="Cambria" w:hAnsi="Cambria"/>
          <w:i/>
          <w:iCs/>
          <w:lang w:val="pt-BR"/>
        </w:rPr>
        <w:t xml:space="preserve"> </w:t>
      </w:r>
      <w:r>
        <w:rPr>
          <w:rFonts w:ascii="Cambria" w:eastAsia="Cambria" w:hAnsi="Cambria"/>
          <w:lang w:val="pt-BR"/>
        </w:rPr>
        <w:t>avaliação por</w:t>
      </w:r>
      <w:r>
        <w:rPr>
          <w:rFonts w:ascii="Cambria" w:eastAsia="Cambria" w:hAnsi="Cambria"/>
          <w:i/>
          <w:iCs/>
          <w:lang w:val="pt-BR"/>
        </w:rPr>
        <w:t xml:space="preserve"> </w:t>
      </w:r>
      <w:r>
        <w:rPr>
          <w:rFonts w:ascii="Cambria" w:eastAsia="Cambria" w:hAnsi="Cambria"/>
          <w:lang w:val="pt-BR"/>
        </w:rPr>
        <w:t>pares</w:t>
      </w:r>
      <w:r>
        <w:rPr>
          <w:rFonts w:ascii="Cambria" w:eastAsia="Cambria" w:hAnsi="Cambria"/>
          <w:i/>
          <w:iCs/>
          <w:lang w:val="pt-BR"/>
        </w:rPr>
        <w:t xml:space="preserve"> </w:t>
      </w:r>
      <w:r>
        <w:rPr>
          <w:rFonts w:ascii="Cambria" w:eastAsia="Cambria" w:hAnsi="Cambria"/>
          <w:lang w:val="pt-BR"/>
        </w:rPr>
        <w:t xml:space="preserve">em </w:t>
      </w:r>
      <w:r>
        <w:rPr>
          <w:rFonts w:ascii="Cambria" w:eastAsia="Cambria" w:hAnsi="Cambria"/>
          <w:i/>
          <w:iCs/>
          <w:lang w:val="pt-BR"/>
        </w:rPr>
        <w:t xml:space="preserve"> </w:t>
      </w:r>
      <w:r>
        <w:rPr>
          <w:rFonts w:ascii="Cambria" w:eastAsia="Cambria" w:hAnsi="Cambria"/>
          <w:lang w:val="pt-BR"/>
        </w:rPr>
        <w:t>34</w:t>
      </w:r>
      <w:r>
        <w:rPr>
          <w:rFonts w:ascii="Cambria" w:eastAsia="Cambria" w:hAnsi="Cambria"/>
          <w:i/>
          <w:iCs/>
          <w:lang w:val="pt-BR"/>
        </w:rPr>
        <w:t xml:space="preserve"> </w:t>
      </w:r>
      <w:r>
        <w:rPr>
          <w:rFonts w:ascii="Cambria" w:eastAsia="Cambria" w:hAnsi="Cambria"/>
          <w:lang w:val="pt-BR"/>
        </w:rPr>
        <w:t>CFR</w:t>
      </w:r>
      <w:r>
        <w:rPr>
          <w:rFonts w:ascii="Cambria" w:eastAsia="Cambria" w:hAnsi="Cambria"/>
          <w:i/>
          <w:iCs/>
          <w:lang w:val="pt-BR"/>
        </w:rPr>
        <w:t xml:space="preserve"> </w:t>
      </w:r>
      <w:r>
        <w:rPr>
          <w:rFonts w:ascii="Cambria" w:eastAsia="Cambria" w:hAnsi="Cambria"/>
          <w:lang w:val="pt-BR"/>
        </w:rPr>
        <w:t xml:space="preserve">§ </w:t>
      </w:r>
      <w:r>
        <w:rPr>
          <w:rFonts w:ascii="Cambria" w:eastAsia="Cambria" w:hAnsi="Cambria"/>
          <w:i/>
          <w:iCs/>
          <w:lang w:val="pt-BR"/>
        </w:rPr>
        <w:t xml:space="preserve"> </w:t>
      </w:r>
      <w:r>
        <w:rPr>
          <w:rFonts w:ascii="Cambria" w:eastAsia="Cambria" w:hAnsi="Cambria"/>
          <w:lang w:val="pt-BR"/>
        </w:rPr>
        <w:t>200.2(d).</w:t>
      </w:r>
      <w:r>
        <w:rPr>
          <w:rFonts w:ascii="Cambria" w:eastAsia="Cambria" w:hAnsi="Cambria"/>
          <w:i/>
          <w:iCs/>
          <w:lang w:val="pt-BR"/>
        </w:rPr>
        <w:t xml:space="preserve"> </w:t>
      </w:r>
      <w:r>
        <w:rPr>
          <w:rFonts w:ascii="Cambria" w:eastAsia="Cambria" w:hAnsi="Cambria"/>
          <w:lang w:val="pt-BR"/>
        </w:rPr>
        <w:t xml:space="preserve">Um </w:t>
      </w:r>
      <w:r>
        <w:rPr>
          <w:rFonts w:ascii="Cambria" w:eastAsia="Cambria" w:hAnsi="Cambria"/>
          <w:i/>
          <w:iCs/>
          <w:lang w:val="pt-BR"/>
        </w:rPr>
        <w:t xml:space="preserve"> </w:t>
      </w:r>
      <w:r>
        <w:rPr>
          <w:rFonts w:ascii="Cambria" w:eastAsia="Cambria" w:hAnsi="Cambria"/>
          <w:lang w:val="pt-BR"/>
        </w:rPr>
        <w:t>SEA</w:t>
      </w:r>
      <w:r>
        <w:rPr>
          <w:rFonts w:ascii="Cambria" w:eastAsia="Cambria" w:hAnsi="Cambria"/>
          <w:i/>
          <w:iCs/>
          <w:lang w:val="pt-BR"/>
        </w:rPr>
        <w:t xml:space="preserve"> </w:t>
      </w:r>
      <w:r>
        <w:rPr>
          <w:rFonts w:ascii="Cambria" w:eastAsia="Cambria" w:hAnsi="Cambria"/>
          <w:lang w:val="pt-BR"/>
        </w:rPr>
        <w:t>não</w:t>
      </w:r>
      <w:r>
        <w:rPr>
          <w:rFonts w:ascii="Cambria" w:eastAsia="Cambria" w:hAnsi="Cambria"/>
          <w:i/>
          <w:iCs/>
          <w:lang w:val="pt-BR"/>
        </w:rPr>
        <w:t xml:space="preserve"> </w:t>
      </w:r>
      <w:r>
        <w:rPr>
          <w:rFonts w:ascii="Cambria" w:eastAsia="Cambria" w:hAnsi="Cambria"/>
          <w:lang w:val="pt-BR"/>
        </w:rPr>
        <w:t>precisa</w:t>
      </w:r>
      <w:r>
        <w:rPr>
          <w:rFonts w:ascii="Cambria" w:eastAsia="Cambria" w:hAnsi="Cambria"/>
          <w:i/>
          <w:iCs/>
          <w:lang w:val="pt-BR"/>
        </w:rPr>
        <w:t xml:space="preserve"> </w:t>
      </w:r>
      <w:r>
        <w:rPr>
          <w:rFonts w:ascii="Cambria" w:eastAsia="Cambria" w:hAnsi="Cambria"/>
          <w:lang w:val="pt-BR"/>
        </w:rPr>
        <w:t>enviar</w:t>
      </w:r>
      <w:r>
        <w:rPr>
          <w:rFonts w:ascii="Cambria" w:eastAsia="Cambria" w:hAnsi="Cambria"/>
          <w:i/>
          <w:iCs/>
          <w:lang w:val="pt-BR"/>
        </w:rPr>
        <w:t xml:space="preserve"> </w:t>
      </w:r>
      <w:r>
        <w:rPr>
          <w:rFonts w:ascii="Cambria" w:eastAsia="Cambria" w:hAnsi="Cambria"/>
          <w:lang w:val="pt-BR"/>
        </w:rPr>
        <w:t>nenhuma</w:t>
      </w:r>
      <w:r>
        <w:rPr>
          <w:rFonts w:ascii="Cambria" w:eastAsia="Cambria" w:hAnsi="Cambria"/>
          <w:i/>
          <w:iCs/>
          <w:lang w:val="pt-BR"/>
        </w:rPr>
        <w:t xml:space="preserve"> </w:t>
      </w:r>
      <w:r>
        <w:rPr>
          <w:rFonts w:ascii="Cambria" w:eastAsia="Cambria" w:hAnsi="Cambria"/>
          <w:lang w:val="pt-BR"/>
        </w:rPr>
        <w:t>informação</w:t>
      </w:r>
      <w:r>
        <w:rPr>
          <w:rFonts w:ascii="Cambria" w:eastAsia="Cambria" w:hAnsi="Cambria"/>
          <w:i/>
          <w:iCs/>
          <w:lang w:val="pt-BR"/>
        </w:rPr>
        <w:t xml:space="preserve"> </w:t>
      </w:r>
      <w:r>
        <w:rPr>
          <w:rFonts w:ascii="Cambria" w:eastAsia="Cambria" w:hAnsi="Cambria"/>
          <w:lang w:val="pt-BR"/>
        </w:rPr>
        <w:t>sobre</w:t>
      </w:r>
      <w:r>
        <w:rPr>
          <w:rFonts w:ascii="Cambria" w:eastAsia="Cambria" w:hAnsi="Cambria"/>
          <w:i/>
          <w:iCs/>
          <w:lang w:val="pt-BR"/>
        </w:rPr>
        <w:t xml:space="preserve"> </w:t>
      </w:r>
      <w:r>
        <w:rPr>
          <w:rFonts w:ascii="Cambria" w:eastAsia="Cambria" w:hAnsi="Cambria"/>
          <w:lang w:val="pt-BR"/>
        </w:rPr>
        <w:t>padrões</w:t>
      </w:r>
      <w:r>
        <w:rPr>
          <w:rFonts w:ascii="Cambria" w:eastAsia="Cambria" w:hAnsi="Cambria"/>
          <w:i/>
          <w:iCs/>
          <w:lang w:val="pt-BR"/>
        </w:rPr>
        <w:t xml:space="preserve"> </w:t>
      </w:r>
      <w:r>
        <w:rPr>
          <w:rFonts w:ascii="Cambria" w:eastAsia="Cambria" w:hAnsi="Cambria"/>
          <w:lang w:val="pt-BR"/>
        </w:rPr>
        <w:t>acadêmicos</w:t>
      </w:r>
      <w:r>
        <w:rPr>
          <w:rFonts w:ascii="Cambria" w:eastAsia="Cambria" w:hAnsi="Cambria"/>
          <w:i/>
          <w:iCs/>
          <w:lang w:val="pt-BR"/>
        </w:rPr>
        <w:t xml:space="preserve"> </w:t>
      </w:r>
      <w:r>
        <w:rPr>
          <w:rFonts w:ascii="Cambria" w:eastAsia="Cambria" w:hAnsi="Cambria"/>
          <w:lang w:val="pt-BR"/>
        </w:rPr>
        <w:t>estaduais</w:t>
      </w:r>
      <w:r>
        <w:rPr>
          <w:rFonts w:ascii="Cambria" w:eastAsia="Cambria" w:hAnsi="Cambria"/>
          <w:i/>
          <w:iCs/>
          <w:lang w:val="pt-BR"/>
        </w:rPr>
        <w:t xml:space="preserve"> </w:t>
      </w:r>
      <w:r>
        <w:rPr>
          <w:rFonts w:ascii="Cambria" w:eastAsia="Cambria" w:hAnsi="Cambria"/>
          <w:lang w:val="pt-BR"/>
        </w:rPr>
        <w:t>desafiadores</w:t>
      </w:r>
      <w:r>
        <w:rPr>
          <w:rFonts w:ascii="Cambria" w:eastAsia="Cambria" w:hAnsi="Cambria"/>
          <w:i/>
          <w:iCs/>
          <w:lang w:val="pt-BR"/>
        </w:rPr>
        <w:t xml:space="preserve"> </w:t>
      </w:r>
      <w:r>
        <w:rPr>
          <w:rFonts w:ascii="Cambria" w:eastAsia="Cambria" w:hAnsi="Cambria"/>
          <w:lang w:val="pt-BR"/>
        </w:rPr>
        <w:t>e</w:t>
      </w:r>
      <w:r>
        <w:rPr>
          <w:rFonts w:ascii="Cambria" w:eastAsia="Cambria" w:hAnsi="Cambria"/>
          <w:i/>
          <w:iCs/>
          <w:lang w:val="pt-BR"/>
        </w:rPr>
        <w:t xml:space="preserve"> </w:t>
      </w:r>
      <w:r>
        <w:rPr>
          <w:rFonts w:ascii="Cambria" w:eastAsia="Cambria" w:hAnsi="Cambria"/>
          <w:lang w:val="pt-BR"/>
        </w:rPr>
        <w:t>avaliações</w:t>
      </w:r>
      <w:r>
        <w:rPr>
          <w:rFonts w:ascii="Cambria" w:eastAsia="Cambria" w:hAnsi="Cambria"/>
          <w:i/>
          <w:iCs/>
          <w:lang w:val="pt-BR"/>
        </w:rPr>
        <w:t xml:space="preserve"> </w:t>
      </w:r>
      <w:r>
        <w:rPr>
          <w:rFonts w:ascii="Cambria" w:eastAsia="Cambria" w:hAnsi="Cambria"/>
          <w:lang w:val="pt-BR"/>
        </w:rPr>
        <w:t>neste</w:t>
      </w:r>
      <w:r>
        <w:rPr>
          <w:rFonts w:ascii="Cambria" w:eastAsia="Cambria" w:hAnsi="Cambria"/>
          <w:i/>
          <w:iCs/>
          <w:lang w:val="pt-BR"/>
        </w:rPr>
        <w:t xml:space="preserve"> </w:t>
      </w:r>
      <w:r>
        <w:rPr>
          <w:rFonts w:ascii="Cambria" w:eastAsia="Cambria" w:hAnsi="Cambria"/>
          <w:lang w:val="pt-BR"/>
        </w:rPr>
        <w:t>momento.”</w:t>
      </w:r>
    </w:p>
    <w:p w14:paraId="2EE39462" w14:textId="77777777" w:rsidR="00FA3760" w:rsidRPr="00CC1CB4" w:rsidRDefault="00000000" w:rsidP="00831B57">
      <w:pPr>
        <w:pStyle w:val="2"/>
        <w:rPr>
          <w:lang w:val="es-ES"/>
        </w:rPr>
      </w:pPr>
      <w:bookmarkStart w:id="56" w:name="_Toc211004635"/>
      <w:r>
        <w:rPr>
          <w:rFonts w:eastAsia="Cambria"/>
          <w:szCs w:val="32"/>
          <w:lang w:val="pt-BR"/>
        </w:rPr>
        <w:t>2. Exceção de matemática do oitavo ano</w:t>
      </w:r>
      <w:bookmarkEnd w:id="56"/>
      <w:r>
        <w:rPr>
          <w:rFonts w:eastAsia="Cambria"/>
          <w:szCs w:val="32"/>
          <w:lang w:val="pt-BR"/>
        </w:rPr>
        <w:t xml:space="preserve"> </w:t>
      </w:r>
    </w:p>
    <w:p w14:paraId="6BC0512F" w14:textId="77777777" w:rsidR="00292B3E" w:rsidRPr="00CC1CB4" w:rsidRDefault="00000000" w:rsidP="005A6B33">
      <w:pPr>
        <w:pStyle w:val="blue"/>
        <w:rPr>
          <w:lang w:val="es-ES"/>
        </w:rPr>
      </w:pPr>
      <w:r>
        <w:rPr>
          <w:rFonts w:ascii="Cambria" w:eastAsia="Cambria" w:hAnsi="Cambria"/>
          <w:lang w:val="pt-BR"/>
        </w:rPr>
        <w:t>(Seção 1111(b)(2)(C) da ESEA e 34 CFR § 200.5(b)(4))</w:t>
      </w:r>
    </w:p>
    <w:p w14:paraId="4BF77342" w14:textId="77777777" w:rsidR="005A6B33" w:rsidRDefault="00000000">
      <w:pPr>
        <w:pStyle w:val="blue"/>
        <w:numPr>
          <w:ilvl w:val="0"/>
          <w:numId w:val="167"/>
        </w:numPr>
        <w:spacing w:after="120"/>
        <w:rPr>
          <w:rStyle w:val="Boxstatus"/>
          <w:color w:val="244061"/>
        </w:rPr>
      </w:pPr>
      <w:r>
        <w:rPr>
          <w:rFonts w:ascii="Cambria" w:eastAsia="Cambria" w:hAnsi="Cambria"/>
          <w:lang w:val="pt-BR"/>
        </w:rPr>
        <w:t>O estado administra uma avaliação matemática de fim de curso para atender aos requisitos da seção 1111(b)(2)(B)(v)(I)(bb) da ESEA?</w:t>
      </w:r>
      <w:r>
        <w:rPr>
          <w:rFonts w:ascii="Cambria" w:eastAsia="Cambria" w:hAnsi="Cambria"/>
          <w:lang w:val="pt-BR"/>
        </w:rPr>
        <w:br/>
      </w:r>
      <w:r>
        <w:rPr>
          <w:rFonts w:ascii="Segoe UI Symbol" w:eastAsia="Segoe UI Symbol" w:hAnsi="Segoe UI Symbol" w:cs="Segoe UI Symbol"/>
          <w:lang w:val="pt-BR"/>
        </w:rPr>
        <w:t xml:space="preserve">☒ </w:t>
      </w:r>
      <w:r>
        <w:rPr>
          <w:rFonts w:ascii="Cambria" w:eastAsia="Cambria" w:hAnsi="Cambria"/>
          <w:b/>
          <w:bCs/>
          <w:lang w:val="pt-BR"/>
        </w:rPr>
        <w:t xml:space="preserve">Sim </w:t>
      </w:r>
      <w:r>
        <w:rPr>
          <w:rFonts w:ascii="Times New Roman" w:eastAsia="Times New Roman" w:hAnsi="Times New Roman"/>
          <w:b/>
          <w:bCs/>
          <w:lang w:val="pt-BR"/>
        </w:rPr>
        <w:t>[caixa marcada]</w:t>
      </w:r>
    </w:p>
    <w:p w14:paraId="6F0D7621" w14:textId="77777777" w:rsidR="005A6B33" w:rsidRPr="00CC1CB4" w:rsidRDefault="00000000">
      <w:pPr>
        <w:pStyle w:val="blue"/>
        <w:numPr>
          <w:ilvl w:val="0"/>
          <w:numId w:val="167"/>
        </w:numPr>
        <w:spacing w:after="120"/>
        <w:rPr>
          <w:lang w:val="es-ES"/>
        </w:rPr>
      </w:pPr>
      <w:r>
        <w:rPr>
          <w:rFonts w:ascii="Cambria" w:eastAsia="Cambria" w:hAnsi="Cambria"/>
          <w:lang w:val="pt-BR"/>
        </w:rPr>
        <w:t>Se um estado responder “sim” à pergunta 2(i), ele deseja isentar um aluno do oitavo ano que faça o curso de matemática do ensino médio associado à avaliação de fim de curso da avaliação matemática normalmente administrada no oitavo ano, de acordo com a seção 1111(b)(2)(B)(v)(I)(aa) da ESEA, além de garantir que:</w:t>
      </w:r>
    </w:p>
    <w:p w14:paraId="7279B0F1" w14:textId="77777777" w:rsidR="005A6B33" w:rsidRPr="00CC1CB4" w:rsidRDefault="00000000">
      <w:pPr>
        <w:pStyle w:val="blue"/>
        <w:numPr>
          <w:ilvl w:val="1"/>
          <w:numId w:val="167"/>
        </w:numPr>
        <w:spacing w:after="120"/>
        <w:rPr>
          <w:lang w:val="es-ES"/>
        </w:rPr>
      </w:pPr>
      <w:r>
        <w:rPr>
          <w:rFonts w:ascii="Cambria" w:eastAsia="Cambria" w:hAnsi="Cambria"/>
          <w:lang w:val="pt-BR"/>
        </w:rPr>
        <w:t>em vez disso, o aluno faça a avaliação matemática de fim de curso que o estado administra aos alunos do ensino médio nos termos da seção 1111(b)(2)(B)(v)(I)(bb) da ESEA;</w:t>
      </w:r>
    </w:p>
    <w:p w14:paraId="41860F8D" w14:textId="77777777" w:rsidR="005A6B33" w:rsidRPr="00CC1CB4" w:rsidRDefault="00000000">
      <w:pPr>
        <w:pStyle w:val="blue"/>
        <w:numPr>
          <w:ilvl w:val="1"/>
          <w:numId w:val="167"/>
        </w:numPr>
        <w:spacing w:after="120"/>
        <w:rPr>
          <w:lang w:val="es-ES"/>
        </w:rPr>
      </w:pPr>
      <w:r>
        <w:rPr>
          <w:rFonts w:ascii="Cambria" w:eastAsia="Cambria" w:hAnsi="Cambria"/>
          <w:lang w:val="pt-BR"/>
        </w:rPr>
        <w:t>o desempenho do aluno na avaliação do ensino médio seja usado no ano em que o aluno faz a avaliação para fins de medição da realização acadêmica nos termos da seção 1111(c)(4)(B)(i) da ESEA e participação nas avaliações nos termos da seção 1111(c)(4)(E) da ESEA;</w:t>
      </w:r>
    </w:p>
    <w:p w14:paraId="4F0F73C1" w14:textId="77777777" w:rsidR="005A6B33" w:rsidRDefault="00000000">
      <w:pPr>
        <w:pStyle w:val="blue"/>
        <w:numPr>
          <w:ilvl w:val="1"/>
          <w:numId w:val="167"/>
        </w:numPr>
        <w:spacing w:after="120"/>
      </w:pPr>
      <w:r>
        <w:rPr>
          <w:rFonts w:ascii="Cambria" w:eastAsia="Cambria" w:hAnsi="Cambria"/>
          <w:lang w:val="pt-BR"/>
        </w:rPr>
        <w:t>No ensino médio:</w:t>
      </w:r>
    </w:p>
    <w:p w14:paraId="1ED8A3A8" w14:textId="77777777" w:rsidR="005A6B33" w:rsidRPr="00CC1CB4" w:rsidRDefault="00000000">
      <w:pPr>
        <w:pStyle w:val="blue"/>
        <w:numPr>
          <w:ilvl w:val="2"/>
          <w:numId w:val="167"/>
        </w:numPr>
        <w:spacing w:after="120"/>
        <w:ind w:left="2232"/>
        <w:rPr>
          <w:lang w:val="es-ES"/>
        </w:rPr>
      </w:pPr>
      <w:r>
        <w:rPr>
          <w:rFonts w:ascii="Cambria" w:eastAsia="Cambria" w:hAnsi="Cambria"/>
          <w:lang w:val="pt-BR"/>
        </w:rPr>
        <w:t xml:space="preserve">o aluno faça uma avaliação de fim de curso administrada pelo estado ou uma avaliação acadêmica nacionalmente reconhecida do ensino médio, conforme definido no 34 CFR § 200.3(d) em matemática, que é mais avançada do que a avaliação que o estado administra nos termos da seção 1111(b)(2)(B)(v)(I)(bb) da ESEA; </w:t>
      </w:r>
    </w:p>
    <w:p w14:paraId="780B3720" w14:textId="77777777" w:rsidR="005A6B33" w:rsidRPr="00CC1CB4" w:rsidRDefault="00000000">
      <w:pPr>
        <w:pStyle w:val="blue"/>
        <w:numPr>
          <w:ilvl w:val="2"/>
          <w:numId w:val="167"/>
        </w:numPr>
        <w:spacing w:after="120"/>
        <w:ind w:left="2232"/>
        <w:rPr>
          <w:lang w:val="es-ES"/>
        </w:rPr>
      </w:pPr>
      <w:r>
        <w:rPr>
          <w:rFonts w:ascii="Cambria" w:eastAsia="Cambria" w:hAnsi="Cambria"/>
          <w:lang w:val="pt-BR"/>
        </w:rPr>
        <w:t>o Estado disponha de acomodações adequadas, de acordo com o 34 CFR § 200.6(b) e (f);</w:t>
      </w:r>
    </w:p>
    <w:p w14:paraId="614EB152" w14:textId="77777777" w:rsidR="005A6B33" w:rsidRDefault="00000000">
      <w:pPr>
        <w:pStyle w:val="blue"/>
        <w:numPr>
          <w:ilvl w:val="2"/>
          <w:numId w:val="167"/>
        </w:numPr>
        <w:spacing w:after="120"/>
        <w:ind w:left="2232"/>
        <w:rPr>
          <w:rStyle w:val="Boxstatus"/>
          <w:color w:val="244061"/>
        </w:rPr>
      </w:pPr>
      <w:r>
        <w:rPr>
          <w:rFonts w:ascii="Cambria" w:eastAsia="Cambria" w:hAnsi="Cambria"/>
          <w:lang w:val="pt-BR"/>
        </w:rPr>
        <w:t xml:space="preserve">o desempenho do aluno na avaliação matemática mais avançada seja usado para fins de medição da realização acadêmica nos termos da seção 1111(c)(4)(B)(i) da ESEA e participação nas avaliações nos termos da seção 1111(c)(4)(E) da ESEA. </w:t>
      </w:r>
      <w:r>
        <w:rPr>
          <w:rFonts w:ascii="Cambria" w:eastAsia="Cambria" w:hAnsi="Cambria"/>
          <w:lang w:val="pt-BR"/>
        </w:rPr>
        <w:br/>
      </w:r>
      <w:r>
        <w:rPr>
          <w:rFonts w:ascii="Segoe UI Symbol" w:eastAsia="Segoe UI Symbol" w:hAnsi="Segoe UI Symbol" w:cs="Segoe UI Symbol"/>
          <w:lang w:val="pt-BR"/>
        </w:rPr>
        <w:t xml:space="preserve">☒ </w:t>
      </w:r>
      <w:r>
        <w:rPr>
          <w:rFonts w:ascii="Cambria" w:eastAsia="Cambria" w:hAnsi="Cambria"/>
          <w:b/>
          <w:bCs/>
          <w:lang w:val="pt-BR"/>
        </w:rPr>
        <w:t xml:space="preserve">Sim </w:t>
      </w:r>
      <w:r>
        <w:rPr>
          <w:rFonts w:ascii="Times New Roman" w:eastAsia="Times New Roman" w:hAnsi="Times New Roman"/>
          <w:b/>
          <w:bCs/>
          <w:lang w:val="pt-BR"/>
        </w:rPr>
        <w:t>[caixa marcada]</w:t>
      </w:r>
    </w:p>
    <w:p w14:paraId="22F589CE" w14:textId="77777777" w:rsidR="000132BE" w:rsidRPr="00CC1CB4" w:rsidRDefault="00000000">
      <w:pPr>
        <w:pStyle w:val="blue"/>
        <w:numPr>
          <w:ilvl w:val="0"/>
          <w:numId w:val="167"/>
        </w:numPr>
        <w:rPr>
          <w:lang w:val="es-ES"/>
        </w:rPr>
      </w:pPr>
      <w:r>
        <w:rPr>
          <w:rFonts w:ascii="Cambria" w:eastAsia="Cambria" w:hAnsi="Cambria"/>
          <w:lang w:val="pt-BR"/>
        </w:rPr>
        <w:lastRenderedPageBreak/>
        <w:t xml:space="preserve">Se um estado responder “sim” à pergunta 2(ii), de acordo com 34 CFR § 200.5(b)(4), descreva, com relação a essa exceção, suas estratégias para fornecer a todos os alunos do estado a oportunidade de se prepararem e fazerem cursos de matemática avançada no ensino médio. </w:t>
      </w:r>
    </w:p>
    <w:p w14:paraId="40B476B5" w14:textId="77777777" w:rsidR="000132BE" w:rsidRPr="00CC1CB4" w:rsidRDefault="00000000" w:rsidP="00894391">
      <w:pPr>
        <w:pStyle w:val="EndUSED"/>
        <w:rPr>
          <w:rStyle w:val="Boxstatus"/>
          <w:b/>
          <w:bCs/>
          <w:color w:val="365F91"/>
          <w:lang w:val="es-ES"/>
        </w:rPr>
      </w:pPr>
      <w:r>
        <w:rPr>
          <w:rStyle w:val="Boxstatus"/>
          <w:rFonts w:eastAsia="Times New Roman"/>
          <w:b/>
          <w:bCs/>
          <w:color w:val="365F91"/>
          <w:szCs w:val="4"/>
          <w:lang w:val="pt-BR"/>
        </w:rPr>
        <w:t xml:space="preserve"> </w:t>
      </w:r>
      <w:r>
        <w:rPr>
          <w:rStyle w:val="Boxstatus"/>
          <w:rFonts w:eastAsia="Times New Roman"/>
          <w:color w:val="FFFFFF"/>
          <w:szCs w:val="4"/>
          <w:lang w:val="pt-BR"/>
        </w:rPr>
        <w:t>[finalizar texto do USED]</w:t>
      </w:r>
    </w:p>
    <w:p w14:paraId="663AD38B" w14:textId="77777777" w:rsidR="00EE0713" w:rsidRPr="00CC1CB4" w:rsidRDefault="00000000" w:rsidP="001E3393">
      <w:pPr>
        <w:rPr>
          <w:rStyle w:val="NJDOEResponse"/>
          <w:lang w:val="es-ES"/>
        </w:rPr>
      </w:pPr>
      <w:r>
        <w:rPr>
          <w:rStyle w:val="NJDOEResponse"/>
          <w:rFonts w:eastAsia="Times New Roman"/>
          <w:color w:val="365F91"/>
          <w:lang w:val="pt-BR"/>
        </w:rPr>
        <w:t>[iniciar a resposta do NJDOE]</w:t>
      </w:r>
    </w:p>
    <w:p w14:paraId="79D27ADF" w14:textId="77777777" w:rsidR="007E1852" w:rsidRPr="00856537" w:rsidRDefault="00000000" w:rsidP="00856537">
      <w:pPr>
        <w:pStyle w:val="A30"/>
      </w:pPr>
      <w:bookmarkStart w:id="57" w:name="_Toc199403676"/>
      <w:r w:rsidRPr="00856537">
        <w:t>Exceção de sétimo e oitavo anos</w:t>
      </w:r>
      <w:bookmarkEnd w:id="57"/>
    </w:p>
    <w:p w14:paraId="1AC0B520" w14:textId="77777777" w:rsidR="007E1852" w:rsidRPr="00CC1CB4" w:rsidRDefault="00000000" w:rsidP="6B71CBC4">
      <w:pPr>
        <w:rPr>
          <w:lang w:val="es-ES"/>
        </w:rPr>
      </w:pPr>
      <w:r>
        <w:rPr>
          <w:rFonts w:eastAsia="Times New Roman" w:cs="Arial"/>
          <w:lang w:val="pt-BR"/>
        </w:rPr>
        <w:t>O NJDOE continuará a aplicar a exceção na seção 1111(b)(2)(C) para alunos do 8º ano que estão matriculados em cursos avançados de matemática. Além disso, o NJDOE recebeu aprovação de uma solicitação de isenção nos termos da seção 8401 da ESSA que permite que alunos do 7º ano, não apenas alunos do 8º ano, façam avaliações matemáticas avançadas em vez de avaliações no nível do ano. O NJDOE pretende continuar buscando prorrogações dessa renúncia.</w:t>
      </w:r>
    </w:p>
    <w:p w14:paraId="6DF146B1" w14:textId="77777777" w:rsidR="007E1852" w:rsidRPr="00CC1CB4" w:rsidRDefault="00000000" w:rsidP="6B71CBC4">
      <w:pPr>
        <w:rPr>
          <w:lang w:val="es-ES"/>
        </w:rPr>
      </w:pPr>
      <w:r>
        <w:rPr>
          <w:rFonts w:eastAsia="Times New Roman" w:cs="Arial"/>
          <w:lang w:val="pt-BR"/>
        </w:rPr>
        <w:t>Como resultado das ações necessárias estabelecidas no plano de ação corretiva (</w:t>
      </w:r>
      <w:hyperlink r:id="rId22">
        <w:r w:rsidR="007E1852">
          <w:rPr>
            <w:rFonts w:eastAsia="Times New Roman" w:cs="Arial"/>
            <w:color w:val="0000FF"/>
            <w:u w:val="single"/>
            <w:lang w:val="pt-BR"/>
          </w:rPr>
          <w:t>consulte o Relatório de análise de desempenho de Nova Jersey para o ano fiscal de 2019</w:t>
        </w:r>
      </w:hyperlink>
      <w:r>
        <w:rPr>
          <w:rFonts w:eastAsia="Times New Roman" w:cs="Arial"/>
          <w:lang w:val="pt-BR"/>
        </w:rPr>
        <w:t>), os alunos do ensino médio matriculados em um curso de matemática avançada no sexta ano devem ser avaliados na avaliação de nível de ano e no curso de Álgebra I ou Geometria.</w:t>
      </w:r>
    </w:p>
    <w:p w14:paraId="5C31EBBC" w14:textId="77777777" w:rsidR="0791E3B5" w:rsidRPr="00CC1CB4" w:rsidRDefault="00000000">
      <w:pPr>
        <w:rPr>
          <w:lang w:val="es-ES"/>
        </w:rPr>
      </w:pPr>
      <w:r>
        <w:rPr>
          <w:rFonts w:eastAsia="Times New Roman" w:cs="Arial"/>
          <w:lang w:val="pt-BR"/>
        </w:rPr>
        <w:t>Todos os alunos devem fazer a avaliação estadual de Álgebra I no fim do curso de ensino médio, exceto os alunos com exceções qualificadas. As exceções qualificadas incluem alunos que fazem a avaliação de Álgebra I no ensino médio e alunos que fazem a avaliação do Dynamic Learning Maps no ensino médio.</w:t>
      </w:r>
    </w:p>
    <w:p w14:paraId="022D79D2" w14:textId="77777777" w:rsidR="0791E3B5" w:rsidRPr="00CC1CB4" w:rsidRDefault="00000000">
      <w:pPr>
        <w:rPr>
          <w:lang w:val="es-ES"/>
        </w:rPr>
      </w:pPr>
      <w:r>
        <w:rPr>
          <w:rFonts w:eastAsia="Times New Roman" w:cs="Arial"/>
          <w:lang w:val="pt-BR"/>
        </w:rPr>
        <w:t>Os alunos que se enquadrarem nesta exceção e fizerem a avaliação do estado de Álgebra I no 7º ou 8º ano deverão fazer a avaliação de Geometria ou de Álgebra II no ensino médio. Para alunos do ensino médio que fizerem a avaliação do nível do ano e a avaliação de Álgebra I no 6º ano, a avaliação do nível da série será usada para fins de responsabilidade no ano em que o aluno estiver no 6º ano e a avaliação de Álgebra I será usada para fins de responsabilidade no ano em que o aluno estiver no 9º ano.</w:t>
      </w:r>
    </w:p>
    <w:p w14:paraId="25A71DB2" w14:textId="77777777" w:rsidR="007E1852" w:rsidRPr="00CC1CB4" w:rsidRDefault="00000000" w:rsidP="00856537">
      <w:pPr>
        <w:pStyle w:val="A30"/>
        <w:rPr>
          <w:lang w:val="es-ES"/>
        </w:rPr>
      </w:pPr>
      <w:bookmarkStart w:id="58" w:name="_Toc199403677"/>
      <w:r>
        <w:t>Apoio ao curso de matemática avançada no ensino médio</w:t>
      </w:r>
      <w:bookmarkEnd w:id="58"/>
      <w:r>
        <w:t xml:space="preserve"> </w:t>
      </w:r>
    </w:p>
    <w:p w14:paraId="172AF62F" w14:textId="77777777" w:rsidR="007E1852" w:rsidRPr="00CC1CB4" w:rsidRDefault="00000000" w:rsidP="6B71CBC4">
      <w:pPr>
        <w:rPr>
          <w:lang w:val="es-ES"/>
        </w:rPr>
      </w:pPr>
      <w:r>
        <w:rPr>
          <w:rFonts w:eastAsia="Times New Roman" w:cs="Arial"/>
          <w:lang w:val="pt-BR"/>
        </w:rPr>
        <w:t>O NJDOE tem o compromisso de garantir que a oportunidade de acessar cursos rigorosos seja disponibilizada aos alunos que atualmente não têm esse acesso. O NJDOE continuará a apoiar as LEAs na oferta de maiores oportunidades para alunos do ensino médio se matricularem em cursos de matemática de nível avançado, incluindo as seguintes atividades:</w:t>
      </w:r>
    </w:p>
    <w:p w14:paraId="66331C40" w14:textId="77777777" w:rsidR="007E1852" w:rsidRPr="00CC1CB4" w:rsidRDefault="00000000" w:rsidP="0053133D">
      <w:pPr>
        <w:pStyle w:val="a6"/>
        <w:numPr>
          <w:ilvl w:val="0"/>
          <w:numId w:val="20"/>
        </w:numPr>
        <w:spacing w:after="120"/>
        <w:contextualSpacing w:val="0"/>
        <w:rPr>
          <w:rFonts w:eastAsia="Times New Roman" w:cs="Times New Roman"/>
          <w:color w:val="000000" w:themeColor="text1"/>
          <w:lang w:val="es-ES"/>
        </w:rPr>
      </w:pPr>
      <w:r>
        <w:rPr>
          <w:rFonts w:eastAsia="Times New Roman" w:cs="Times New Roman"/>
          <w:color w:val="000000"/>
          <w:lang w:val="pt-BR"/>
        </w:rPr>
        <w:t>Projetar, implementar e avaliar oportunidades de aprendizagem profissional para as LEAs priorizando a matrícula de educadores em escolas de baixo desempenho e pobreza e escolas de minoria, nos Padrões de aprendizagem para estudantes de matemática de Nova Jersey nas séries 3 a 6, a fim de apoiar uma abordagem mais focada para ensinar pré-requisitos para Álgebra 1.</w:t>
      </w:r>
    </w:p>
    <w:p w14:paraId="51CF9F69" w14:textId="77777777" w:rsidR="007E1852" w:rsidRPr="00CC1CB4" w:rsidRDefault="00000000" w:rsidP="0053133D">
      <w:pPr>
        <w:pStyle w:val="a6"/>
        <w:numPr>
          <w:ilvl w:val="0"/>
          <w:numId w:val="20"/>
        </w:numPr>
        <w:spacing w:after="120"/>
        <w:contextualSpacing w:val="0"/>
        <w:rPr>
          <w:rFonts w:eastAsia="Times New Roman" w:cs="Times New Roman"/>
          <w:color w:val="000000" w:themeColor="text1"/>
          <w:lang w:val="es-ES"/>
        </w:rPr>
      </w:pPr>
      <w:r>
        <w:rPr>
          <w:rFonts w:eastAsia="Times New Roman" w:cs="Times New Roman"/>
          <w:color w:val="000000"/>
          <w:lang w:val="pt-BR"/>
        </w:rPr>
        <w:t xml:space="preserve">Desenvolver vários caminhos de cursos modelo (progressões aceleradas de aprendizagem) para escolas de ensino médio que permitam que os alunos do 8º ano concluam a Álgebra 1 e forneçam exemplos de caminhos e oportunidades de aprendizado profissional para apoiar a implementação de cada caminho de curso modelo. </w:t>
      </w:r>
    </w:p>
    <w:p w14:paraId="25236905" w14:textId="77777777" w:rsidR="00F36286" w:rsidRPr="00CC1CB4" w:rsidRDefault="00000000" w:rsidP="0053133D">
      <w:pPr>
        <w:pStyle w:val="a6"/>
        <w:numPr>
          <w:ilvl w:val="0"/>
          <w:numId w:val="20"/>
        </w:numPr>
        <w:spacing w:after="120"/>
        <w:contextualSpacing w:val="0"/>
        <w:rPr>
          <w:rFonts w:eastAsia="Times New Roman" w:cs="Times New Roman"/>
          <w:color w:val="000000" w:themeColor="text1"/>
          <w:lang w:val="es-ES"/>
        </w:rPr>
      </w:pPr>
      <w:r>
        <w:rPr>
          <w:rFonts w:eastAsia="Times New Roman" w:cs="Times New Roman"/>
          <w:color w:val="000000"/>
          <w:lang w:val="pt-BR"/>
        </w:rPr>
        <w:lastRenderedPageBreak/>
        <w:t>Desenvolver vários caminhos de cursos modelo (progressões aceleradas de aprendizagem) para escolas de ensino médio que permitam que os alunos do 8º ano concluam a Álgebra 1 e forneçam exemplos de caminhos e oportunidades de aprendizado profissional para apoiar a implementação de cada caminho de curso modelo.</w:t>
      </w:r>
    </w:p>
    <w:p w14:paraId="5A80B18B" w14:textId="77777777" w:rsidR="00F36286" w:rsidRPr="00CC1CB4" w:rsidRDefault="00000000" w:rsidP="0053133D">
      <w:pPr>
        <w:pStyle w:val="a6"/>
        <w:numPr>
          <w:ilvl w:val="0"/>
          <w:numId w:val="20"/>
        </w:numPr>
        <w:tabs>
          <w:tab w:val="left" w:pos="720"/>
        </w:tabs>
        <w:spacing w:after="120" w:line="259" w:lineRule="auto"/>
        <w:contextualSpacing w:val="0"/>
        <w:rPr>
          <w:rFonts w:eastAsia="Times New Roman" w:cs="Times New Roman"/>
          <w:color w:val="000000" w:themeColor="text1"/>
          <w:lang w:val="es-ES"/>
        </w:rPr>
      </w:pPr>
      <w:r>
        <w:rPr>
          <w:rFonts w:eastAsia="Times New Roman" w:cs="Times New Roman"/>
          <w:color w:val="000000"/>
          <w:lang w:val="pt-BR"/>
        </w:rPr>
        <w:t>Criar orientação sobre a duração e o uso do tempo de instrução dedicado à matemática e a integração de um bloco de enriquecimento que aproveita uma abordagem baseada em ativos para abordar as necessidades diferenciadas dos alunos em escolas de baixo desempenho, alta pobreza e/ou alta minoria.</w:t>
      </w:r>
    </w:p>
    <w:p w14:paraId="1627FB57" w14:textId="77777777" w:rsidR="00F36286" w:rsidRPr="00CC1CB4" w:rsidRDefault="00000000" w:rsidP="0053133D">
      <w:pPr>
        <w:pStyle w:val="a6"/>
        <w:numPr>
          <w:ilvl w:val="0"/>
          <w:numId w:val="20"/>
        </w:numPr>
        <w:tabs>
          <w:tab w:val="left" w:pos="720"/>
        </w:tabs>
        <w:spacing w:after="120" w:line="259" w:lineRule="auto"/>
        <w:contextualSpacing w:val="0"/>
        <w:rPr>
          <w:rFonts w:eastAsia="Times New Roman" w:cs="Times New Roman"/>
          <w:color w:val="000000" w:themeColor="text1"/>
          <w:lang w:val="es-ES"/>
        </w:rPr>
      </w:pPr>
      <w:r>
        <w:rPr>
          <w:rFonts w:eastAsia="Times New Roman" w:cs="Times New Roman"/>
          <w:color w:val="000000"/>
          <w:lang w:val="pt-BR"/>
        </w:rPr>
        <w:t>Fornecer orientação e apoio para especialistas em matemática do ensino fundamental e instrutores de ensino médio, incluindo orientação de políticas baseadas em evidências que apoiam sua eficácia. Isso pode incluir orientação que apoie sua integração eficaz e recursos para apoiar sua facilitação de orientação contínua incorporada ao trabalho. Também pode incluir assistência técnica com matrícula priorizada para educadores em escolas de baixo desempenho, alta pobreza e alta minoria.</w:t>
      </w:r>
    </w:p>
    <w:p w14:paraId="16E1E3EB" w14:textId="77777777" w:rsidR="008B41B5" w:rsidRPr="00CC1CB4" w:rsidRDefault="00000000" w:rsidP="00600088">
      <w:pPr>
        <w:pStyle w:val="a6"/>
        <w:numPr>
          <w:ilvl w:val="0"/>
          <w:numId w:val="20"/>
        </w:numPr>
        <w:tabs>
          <w:tab w:val="left" w:pos="720"/>
        </w:tabs>
        <w:spacing w:after="220" w:line="259" w:lineRule="auto"/>
        <w:rPr>
          <w:rFonts w:eastAsia="Times New Roman" w:cs="Times New Roman"/>
          <w:color w:val="000000" w:themeColor="text1"/>
          <w:lang w:val="es-ES"/>
        </w:rPr>
      </w:pPr>
      <w:r>
        <w:rPr>
          <w:rFonts w:eastAsia="Times New Roman" w:cs="Times New Roman"/>
          <w:color w:val="000000"/>
          <w:lang w:val="pt-BR"/>
        </w:rPr>
        <w:t xml:space="preserve">Desenvolver orientação para líderes de matemática sobre a integração de materiais instrucionais de alta qualidade, avaliação formativa local e programas matemáticos após a escola ou durante o verão que forneçam apoio acadêmico direcionado, com atenção especial às necessidades de escolas de baixo desempenho, alta pobreza e/ou alta minoria. </w:t>
      </w:r>
    </w:p>
    <w:p w14:paraId="72F16165" w14:textId="77777777" w:rsidR="007E1852" w:rsidRPr="00CC1CB4" w:rsidRDefault="00000000" w:rsidP="6B71CBC4">
      <w:pPr>
        <w:rPr>
          <w:lang w:val="es-ES"/>
        </w:rPr>
      </w:pPr>
      <w:r>
        <w:rPr>
          <w:rFonts w:eastAsia="Times New Roman" w:cs="Arial"/>
          <w:lang w:val="pt-BR"/>
        </w:rPr>
        <w:t>Este plano atualiza a descrição do suporte para o curso de matemática avançada após uma revisão pelo NJDOE para garantir que os suportes listados correspondam à aprendizagem profissional e assistência técnica que está sendo fornecida pelo NJDOE.</w:t>
      </w:r>
    </w:p>
    <w:p w14:paraId="31325448" w14:textId="7EC3C65C" w:rsidR="004D179E" w:rsidRPr="00CC1CB4" w:rsidRDefault="00000000" w:rsidP="6B71CBC4">
      <w:pPr>
        <w:rPr>
          <w:color w:val="365F91" w:themeColor="accent1" w:themeShade="BF"/>
          <w:lang w:val="es-ES"/>
        </w:rPr>
      </w:pPr>
      <w:r>
        <w:rPr>
          <w:rStyle w:val="NJDOEResponse"/>
          <w:rFonts w:eastAsia="Times New Roman"/>
          <w:color w:val="365F91"/>
          <w:lang w:val="pt-BR"/>
        </w:rPr>
        <w:t>[finalizar resposta do NJDOE]</w:t>
      </w:r>
      <w:r>
        <w:rPr>
          <w:rStyle w:val="NJDOEResponse"/>
          <w:rFonts w:eastAsia="Times New Roman" w:cs="Arial"/>
          <w:color w:val="365F91"/>
          <w:lang w:val="pt-BR"/>
        </w:rPr>
        <w:t xml:space="preserve"> </w:t>
      </w:r>
    </w:p>
    <w:p w14:paraId="72D819E8" w14:textId="77777777" w:rsidR="005F4FFE" w:rsidRPr="00CC1CB4" w:rsidRDefault="00000000" w:rsidP="00894391">
      <w:pPr>
        <w:pStyle w:val="BeginUSED"/>
        <w:rPr>
          <w:rStyle w:val="NJDOEResponse"/>
          <w:lang w:val="es-ES"/>
        </w:rPr>
      </w:pPr>
      <w:r>
        <w:rPr>
          <w:rFonts w:eastAsia="Times New Roman"/>
          <w:color w:val="FFFFFF"/>
          <w:szCs w:val="4"/>
          <w:lang w:val="pt-BR"/>
        </w:rPr>
        <w:t>[iniciar o texto do USED]</w:t>
      </w:r>
    </w:p>
    <w:p w14:paraId="6766CB9F" w14:textId="77777777" w:rsidR="005A6B33" w:rsidRPr="00CC1CB4" w:rsidRDefault="00000000" w:rsidP="00831B57">
      <w:pPr>
        <w:pStyle w:val="2"/>
        <w:rPr>
          <w:lang w:val="es-ES"/>
        </w:rPr>
      </w:pPr>
      <w:bookmarkStart w:id="59" w:name="_Toc211004636"/>
      <w:r>
        <w:rPr>
          <w:rFonts w:eastAsia="Cambria"/>
          <w:szCs w:val="32"/>
          <w:lang w:val="pt-BR"/>
        </w:rPr>
        <w:t>3. Avaliações de idioma nativo</w:t>
      </w:r>
      <w:bookmarkEnd w:id="59"/>
      <w:r>
        <w:rPr>
          <w:rFonts w:eastAsia="Cambria"/>
          <w:szCs w:val="32"/>
          <w:lang w:val="pt-BR"/>
        </w:rPr>
        <w:t xml:space="preserve"> </w:t>
      </w:r>
    </w:p>
    <w:p w14:paraId="6D9E73CB" w14:textId="77777777" w:rsidR="00EE0713" w:rsidRPr="00CC1CB4" w:rsidRDefault="00000000" w:rsidP="005A6B33">
      <w:pPr>
        <w:pStyle w:val="blue"/>
        <w:ind w:left="288"/>
        <w:rPr>
          <w:lang w:val="es-ES"/>
        </w:rPr>
      </w:pPr>
      <w:r>
        <w:rPr>
          <w:rFonts w:ascii="Cambria" w:eastAsia="Cambria" w:hAnsi="Cambria"/>
          <w:lang w:val="pt-BR"/>
        </w:rPr>
        <w:t>(seção ESEA 1111(b)(2)(F) e 34 CFR § 200.6(f)(2)(ii)) e (f)(4)</w:t>
      </w:r>
    </w:p>
    <w:p w14:paraId="72CD1533" w14:textId="77777777" w:rsidR="002C6D4F" w:rsidRPr="00CC1CB4" w:rsidRDefault="00000000" w:rsidP="00856537">
      <w:pPr>
        <w:pStyle w:val="A30"/>
        <w:rPr>
          <w:lang w:val="es-ES"/>
        </w:rPr>
      </w:pPr>
      <w:bookmarkStart w:id="60" w:name="_Toc199403679"/>
      <w:r>
        <w:t>i. Definição</w:t>
      </w:r>
      <w:bookmarkEnd w:id="60"/>
    </w:p>
    <w:p w14:paraId="40B33971" w14:textId="77777777" w:rsidR="00EE0713" w:rsidRPr="00CC1CB4" w:rsidRDefault="00000000" w:rsidP="005E214D">
      <w:pPr>
        <w:pStyle w:val="blue"/>
        <w:spacing w:after="0"/>
        <w:ind w:left="432"/>
        <w:rPr>
          <w:lang w:val="es-ES"/>
        </w:rPr>
      </w:pPr>
      <w:r>
        <w:rPr>
          <w:rFonts w:ascii="Cambria" w:eastAsia="Cambria" w:hAnsi="Cambria"/>
          <w:lang w:val="pt-BR"/>
        </w:rPr>
        <w:t>Fornecer sua definição para “idiomas que não sejam o inglês e que estejam presentes de forma significativa na população de estudantes participantes” e identificar os idiomas específicos que atendam a essa definição.</w:t>
      </w:r>
    </w:p>
    <w:p w14:paraId="36AF7DE4" w14:textId="77777777" w:rsidR="00EE0713" w:rsidRPr="00CC1CB4" w:rsidRDefault="00000000" w:rsidP="00894391">
      <w:pPr>
        <w:pStyle w:val="EndUSED"/>
        <w:rPr>
          <w:rStyle w:val="NJDOEResponse"/>
          <w:lang w:val="es-ES"/>
        </w:rPr>
      </w:pPr>
      <w:r>
        <w:rPr>
          <w:rFonts w:eastAsia="Times New Roman"/>
          <w:color w:val="FFFFFF"/>
          <w:szCs w:val="4"/>
          <w:lang w:val="pt-BR"/>
        </w:rPr>
        <w:t>[finalizar texto do USED]</w:t>
      </w:r>
      <w:r>
        <w:rPr>
          <w:rFonts w:eastAsia="Times New Roman"/>
          <w:color w:val="365F91"/>
          <w:szCs w:val="4"/>
          <w:lang w:val="pt-BR"/>
        </w:rPr>
        <w:tab/>
      </w:r>
    </w:p>
    <w:p w14:paraId="057D6581" w14:textId="77777777" w:rsidR="00EE0713" w:rsidRPr="00CC1CB4" w:rsidRDefault="00000000" w:rsidP="00A837BF">
      <w:pPr>
        <w:spacing w:before="240"/>
        <w:rPr>
          <w:rStyle w:val="NJDOEResponse"/>
          <w:lang w:val="es-ES"/>
        </w:rPr>
      </w:pPr>
      <w:r>
        <w:rPr>
          <w:rStyle w:val="NJDOEResponse"/>
          <w:rFonts w:eastAsia="Times New Roman"/>
          <w:color w:val="365F91"/>
          <w:lang w:val="pt-BR"/>
        </w:rPr>
        <w:t>[iniciar a resposta do NJDOE]</w:t>
      </w:r>
    </w:p>
    <w:p w14:paraId="36ABB8E4" w14:textId="77777777" w:rsidR="00B54CBF" w:rsidRPr="00CC1CB4" w:rsidRDefault="00000000" w:rsidP="6B71CBC4">
      <w:pPr>
        <w:rPr>
          <w:lang w:val="es-ES"/>
        </w:rPr>
      </w:pPr>
      <w:r>
        <w:rPr>
          <w:rFonts w:eastAsia="Times New Roman" w:cs="Arial"/>
          <w:lang w:val="pt-BR"/>
        </w:rPr>
        <w:t>Como lembrete, enquanto a ESSA usa o termo “aluno de inglês” em todo o documento, New Jersey atualizou a terminologia para descrever alunos que estão no processo de adquirir proficiência em inglês como alunos multilíngues.</w:t>
      </w:r>
    </w:p>
    <w:p w14:paraId="74E0D10D" w14:textId="77777777" w:rsidR="00B54CBF" w:rsidRPr="00CC1CB4" w:rsidRDefault="00000000" w:rsidP="6B71CBC4">
      <w:pPr>
        <w:rPr>
          <w:lang w:val="es-ES"/>
        </w:rPr>
      </w:pPr>
      <w:r>
        <w:rPr>
          <w:rFonts w:eastAsia="Times New Roman" w:cs="Arial"/>
          <w:lang w:val="pt-BR"/>
        </w:rPr>
        <w:t xml:space="preserve">Depois de analisar a contribuição do grupo focal e avaliar os critérios no conteúdo da população em mudança em Nova Jersey, o NJDOE está propondo os seguintes critérios para determinar o “idioma </w:t>
      </w:r>
      <w:r>
        <w:rPr>
          <w:rFonts w:eastAsia="Times New Roman" w:cs="Arial"/>
          <w:lang w:val="pt-BR"/>
        </w:rPr>
        <w:lastRenderedPageBreak/>
        <w:t xml:space="preserve">presente em uma extensão significativa na população de estudantes participantes”, de acordo com a Seção 1111(b)(2)(F) da </w:t>
      </w:r>
      <w:r>
        <w:rPr>
          <w:rFonts w:eastAsia="Times New Roman" w:cs="Arial"/>
          <w:i/>
          <w:iCs/>
          <w:lang w:val="pt-BR"/>
        </w:rPr>
        <w:t>ESSA</w:t>
      </w:r>
      <w:r>
        <w:rPr>
          <w:rFonts w:eastAsia="Times New Roman" w:cs="Arial"/>
          <w:lang w:val="pt-BR"/>
        </w:rPr>
        <w:t>:</w:t>
      </w:r>
    </w:p>
    <w:p w14:paraId="6FC0D1D6" w14:textId="77777777" w:rsidR="00B54CBF" w:rsidRPr="00CC1CB4" w:rsidRDefault="00000000">
      <w:pPr>
        <w:pStyle w:val="a6"/>
        <w:numPr>
          <w:ilvl w:val="0"/>
          <w:numId w:val="30"/>
        </w:numPr>
        <w:spacing w:after="240"/>
        <w:rPr>
          <w:lang w:val="es-ES"/>
        </w:rPr>
      </w:pPr>
      <w:r>
        <w:rPr>
          <w:rFonts w:eastAsia="Times New Roman" w:cs="Arial"/>
          <w:lang w:val="pt-BR"/>
        </w:rPr>
        <w:t>o idioma mais comum além do inglês falado pela população de alunos multilíngues testados;</w:t>
      </w:r>
    </w:p>
    <w:p w14:paraId="533EF128" w14:textId="77777777" w:rsidR="00B54CBF" w:rsidRPr="00CC1CB4" w:rsidRDefault="00000000">
      <w:pPr>
        <w:pStyle w:val="a6"/>
        <w:numPr>
          <w:ilvl w:val="0"/>
          <w:numId w:val="30"/>
        </w:numPr>
        <w:spacing w:after="240"/>
        <w:rPr>
          <w:lang w:val="es-ES"/>
        </w:rPr>
      </w:pPr>
      <w:r>
        <w:rPr>
          <w:rFonts w:eastAsia="Times New Roman" w:cs="Arial"/>
          <w:lang w:val="pt-BR"/>
        </w:rPr>
        <w:t>qualquer idioma nativo diferente do inglês que esteja presente na população de alunos multilíngues por três anos ou mais, falado por mais de 5% do total da população de alunos testada em geral ou em uma determinada faixa escolar.</w:t>
      </w:r>
    </w:p>
    <w:p w14:paraId="30B67375" w14:textId="77777777" w:rsidR="00B54CBF" w:rsidRPr="00CC1CB4" w:rsidRDefault="00000000" w:rsidP="6B71CBC4">
      <w:pPr>
        <w:rPr>
          <w:lang w:val="es-ES"/>
        </w:rPr>
      </w:pPr>
      <w:r>
        <w:rPr>
          <w:rFonts w:eastAsia="Times New Roman" w:cs="Arial"/>
          <w:lang w:val="pt-BR"/>
        </w:rPr>
        <w:t xml:space="preserve">De acordo com a definição acima, o espanhol é o único idioma presente “em grande medida” em Nova Jersey. </w:t>
      </w:r>
    </w:p>
    <w:p w14:paraId="627826DE" w14:textId="77777777" w:rsidR="00B54CBF" w:rsidRPr="00CC1CB4" w:rsidRDefault="00000000" w:rsidP="6B71CBC4">
      <w:pPr>
        <w:rPr>
          <w:lang w:val="es-ES"/>
        </w:rPr>
      </w:pPr>
      <w:r>
        <w:rPr>
          <w:rFonts w:eastAsia="Times New Roman" w:cs="Arial"/>
          <w:lang w:val="pt-BR"/>
        </w:rPr>
        <w:t xml:space="preserve">A definição acima é uma emenda à disposição do Plano estadual da ESSA de 2017 que incluiu um terceiro critério: “Qualquer idioma nativo que não seja o inglês que esteja presente na população de alunos de inglês por três anos ou mais, falado por mais de 20% da população estudantil testada em um determinado condado.” Com base na análise do NJDOE dos dados de idiomas residenciais dos alunos desde 2017 e em consulta com seu Grupo de trabalho de partes interessadas da ESSA, o NJDOE está removendo esse critério. Como os idiomas nativos dos alunos de Nova Jersey estão se diversificando, a métrica baseada no condado não fornece uma imagem justa dos idiomas nativos mais falados, exceto o inglês. O NJDOE conduzirá uma revisão e análise mais profundas das políticas para determinar quais idiomas estão presentes em uma extensão significativa na população participante que faz o teste. </w:t>
      </w:r>
    </w:p>
    <w:p w14:paraId="36780AE9" w14:textId="77777777" w:rsidR="00B54CBF" w:rsidRPr="00CC1CB4" w:rsidRDefault="00000000" w:rsidP="6B71CBC4">
      <w:pPr>
        <w:rPr>
          <w:lang w:val="es-ES"/>
        </w:rPr>
      </w:pPr>
      <w:r>
        <w:rPr>
          <w:rFonts w:eastAsia="Times New Roman" w:cs="Arial"/>
          <w:lang w:val="pt-BR"/>
        </w:rPr>
        <w:t>O NJDOE tem o compromisso de traduzir as avaliações em todo o estado para idiomas adicionais a fim de atender às necessidades da população multilíngue de Nova Jersey. Dados de 2021 e 2022 mostram que, ao observar o número de estudantes cujo idioma residencial não é o inglês, o espanhol é o idioma residencial mais falado em 20 de 21 municípios. Mais estudantes no Condado de Burlington falavam português em casa do que espanhol. No entanto, nos outros 20 municípios, seis idiomas diferentes do português (árabe, bengala, chinês, guijarati, coreano e russo) foram o segundo idioma doméstico mais comum além do inglês. O NJDOE descobriu que as porcentagens baseadas no condado não são uma métrica suficientemente confiável ao determinar os idiomas que estão presentes significativamente na população estudantil testada em todo o estado. Embora uma língua possa ser falada por uma proporção relativamente maior em um condado, pode haver mais alunos em todo o estado falando outra língua. Considerando o custo significativo atualmente associado a cada tradução de avaliação em todo o estado, o NJDOE gostaria de reavaliar esta definição para identificar quaisquer alterações necessárias que resultarão no impacto mais positivo sobre os alunos em todo o estado.</w:t>
      </w:r>
    </w:p>
    <w:p w14:paraId="36475494" w14:textId="77777777" w:rsidR="00EE0713" w:rsidRPr="00CC1CB4" w:rsidRDefault="00000000" w:rsidP="00AC524C">
      <w:pPr>
        <w:pStyle w:val="BeginUSED"/>
        <w:rPr>
          <w:rFonts w:cs="Times New Roman"/>
          <w:lang w:val="es-ES"/>
        </w:rPr>
      </w:pPr>
      <w:r>
        <w:rPr>
          <w:rFonts w:eastAsia="Times New Roman"/>
          <w:color w:val="FFFFFF"/>
          <w:szCs w:val="4"/>
          <w:lang w:val="pt-BR"/>
        </w:rPr>
        <w:t>[iniciar o texto do USED]</w:t>
      </w:r>
    </w:p>
    <w:p w14:paraId="698473A0" w14:textId="77777777" w:rsidR="002C6D4F" w:rsidRPr="00856537" w:rsidRDefault="00000000" w:rsidP="00856537">
      <w:pPr>
        <w:pStyle w:val="A30"/>
      </w:pPr>
      <w:bookmarkStart w:id="61" w:name="_Toc199403680"/>
      <w:r>
        <w:t>ii. Avaliações</w:t>
      </w:r>
      <w:bookmarkEnd w:id="61"/>
    </w:p>
    <w:p w14:paraId="1954B45E" w14:textId="77777777" w:rsidR="00EE0713" w:rsidRPr="00CC1CB4" w:rsidRDefault="00000000" w:rsidP="00831B57">
      <w:pPr>
        <w:pStyle w:val="blue"/>
        <w:ind w:left="432"/>
        <w:rPr>
          <w:lang w:val="es-ES"/>
        </w:rPr>
      </w:pPr>
      <w:r>
        <w:rPr>
          <w:rFonts w:ascii="Cambria" w:eastAsia="Cambria" w:hAnsi="Cambria"/>
          <w:lang w:val="pt-BR"/>
        </w:rPr>
        <w:t xml:space="preserve">Identificar quaisquer avaliações existentes em idiomas diferentes do inglês e especificar para quais graus e áreas de conteúdo essas avaliações estão disponíveis. </w:t>
      </w:r>
    </w:p>
    <w:p w14:paraId="61983B8F" w14:textId="77777777" w:rsidR="00EE0713" w:rsidRPr="00CC1CB4" w:rsidRDefault="00000000" w:rsidP="00AC524C">
      <w:pPr>
        <w:pStyle w:val="EndUSED"/>
        <w:rPr>
          <w:lang w:val="es-ES"/>
        </w:rPr>
      </w:pPr>
      <w:r>
        <w:rPr>
          <w:rFonts w:eastAsia="Times New Roman"/>
          <w:color w:val="FFFFFF"/>
          <w:szCs w:val="4"/>
          <w:lang w:val="pt-BR"/>
        </w:rPr>
        <w:t>[finalizar texto do USED]</w:t>
      </w:r>
    </w:p>
    <w:p w14:paraId="2831CCBE" w14:textId="77777777" w:rsidR="00EE0713" w:rsidRPr="00CC1CB4" w:rsidRDefault="00000000" w:rsidP="001C4947">
      <w:pPr>
        <w:spacing w:before="240"/>
        <w:rPr>
          <w:rStyle w:val="NJDOEResponse"/>
          <w:lang w:val="es-ES"/>
        </w:rPr>
      </w:pPr>
      <w:r>
        <w:rPr>
          <w:rStyle w:val="NJDOEResponse"/>
          <w:rFonts w:eastAsia="Times New Roman"/>
          <w:color w:val="365F91"/>
          <w:lang w:val="pt-BR"/>
        </w:rPr>
        <w:t>[iniciar a resposta do NJDOE]</w:t>
      </w:r>
    </w:p>
    <w:p w14:paraId="19886F2A" w14:textId="77777777" w:rsidR="00EE0713" w:rsidRPr="00CC1CB4" w:rsidRDefault="00000000" w:rsidP="6B71CBC4">
      <w:pPr>
        <w:rPr>
          <w:rFonts w:cs="Times New Roman"/>
          <w:lang w:val="es-ES"/>
        </w:rPr>
      </w:pPr>
      <w:r>
        <w:rPr>
          <w:rFonts w:eastAsia="Times New Roman" w:cs="Times New Roman"/>
          <w:lang w:val="pt-BR"/>
        </w:rPr>
        <w:lastRenderedPageBreak/>
        <w:t>O NJDOE administra a avaliação matemática estadual em inglês e espanhol em todos os níveis de ano testados. Além disso, as avaliações científicas atuais nos anos 5, 8 e 11 estão atualmente disponíveis em espanhol.</w:t>
      </w:r>
    </w:p>
    <w:p w14:paraId="221D6571" w14:textId="77777777" w:rsidR="00AC524C" w:rsidRPr="00CC1CB4" w:rsidRDefault="00000000" w:rsidP="00B12051">
      <w:pPr>
        <w:spacing w:line="259" w:lineRule="auto"/>
        <w:rPr>
          <w:lang w:val="es-ES"/>
        </w:rPr>
      </w:pPr>
      <w:r>
        <w:rPr>
          <w:rStyle w:val="NJDOEResponse"/>
          <w:rFonts w:eastAsia="Times New Roman"/>
          <w:color w:val="365F91"/>
          <w:lang w:val="pt-BR"/>
        </w:rPr>
        <w:t>[finalizar resposta do NJDOE]</w:t>
      </w:r>
    </w:p>
    <w:p w14:paraId="5CC968F4" w14:textId="77777777" w:rsidR="00EE0713" w:rsidRPr="00CC1CB4" w:rsidRDefault="00000000" w:rsidP="00AC524C">
      <w:pPr>
        <w:pStyle w:val="BeginUSED"/>
        <w:rPr>
          <w:rFonts w:cs="Times New Roman"/>
          <w:color w:val="244061" w:themeColor="accent1" w:themeShade="80"/>
          <w:lang w:val="es-ES"/>
        </w:rPr>
      </w:pPr>
      <w:r>
        <w:rPr>
          <w:rFonts w:eastAsia="Times New Roman"/>
          <w:color w:val="FFFFFF"/>
          <w:szCs w:val="4"/>
          <w:lang w:val="pt-BR"/>
        </w:rPr>
        <w:t>[iniciar o texto do USED]</w:t>
      </w:r>
    </w:p>
    <w:p w14:paraId="35CC4EBB" w14:textId="77777777" w:rsidR="002C6D4F" w:rsidRPr="00856537" w:rsidRDefault="00000000" w:rsidP="00856537">
      <w:pPr>
        <w:pStyle w:val="A30"/>
      </w:pPr>
      <w:bookmarkStart w:id="62" w:name="_Toc199403681"/>
      <w:r>
        <w:t>iii. Idiomas</w:t>
      </w:r>
      <w:bookmarkEnd w:id="62"/>
    </w:p>
    <w:p w14:paraId="79F51999" w14:textId="77777777" w:rsidR="00EE0713" w:rsidRPr="00CC1CB4" w:rsidRDefault="00000000" w:rsidP="002C6D4F">
      <w:pPr>
        <w:pStyle w:val="blue"/>
        <w:ind w:left="432"/>
        <w:rPr>
          <w:lang w:val="es-ES"/>
        </w:rPr>
      </w:pPr>
      <w:r>
        <w:rPr>
          <w:rFonts w:ascii="Cambria" w:eastAsia="Cambria" w:hAnsi="Cambria"/>
          <w:lang w:val="pt-BR"/>
        </w:rPr>
        <w:t xml:space="preserve">Indicar os idiomas identificados na pergunta 3(i) para os quais as avaliações acadêmicas anuais dos alunos não estão disponíveis e são necessárias. </w:t>
      </w:r>
    </w:p>
    <w:p w14:paraId="4AE3EF3A" w14:textId="77777777" w:rsidR="00AC524C" w:rsidRPr="00CC1CB4" w:rsidRDefault="00000000" w:rsidP="00AC524C">
      <w:pPr>
        <w:pStyle w:val="EndUSED"/>
        <w:rPr>
          <w:lang w:val="es-ES"/>
        </w:rPr>
      </w:pPr>
      <w:r>
        <w:rPr>
          <w:rFonts w:eastAsia="Times New Roman"/>
          <w:color w:val="FFFFFF"/>
          <w:szCs w:val="4"/>
          <w:lang w:val="pt-BR"/>
        </w:rPr>
        <w:t>[finalizar texto do USED]</w:t>
      </w:r>
    </w:p>
    <w:p w14:paraId="255D6C99" w14:textId="77777777" w:rsidR="00EE0713" w:rsidRPr="00CC1CB4" w:rsidRDefault="00000000" w:rsidP="001C4947">
      <w:pPr>
        <w:spacing w:before="240"/>
        <w:rPr>
          <w:rStyle w:val="NJDOEResponse"/>
          <w:lang w:val="es-ES"/>
        </w:rPr>
      </w:pPr>
      <w:r>
        <w:rPr>
          <w:rStyle w:val="NJDOEResponse"/>
          <w:rFonts w:eastAsia="Times New Roman"/>
          <w:color w:val="365F91"/>
          <w:lang w:val="pt-BR"/>
        </w:rPr>
        <w:t>[iniciar a resposta do NJDOE]</w:t>
      </w:r>
    </w:p>
    <w:p w14:paraId="0C1BEBF9" w14:textId="77777777" w:rsidR="00DF4C6A" w:rsidRPr="00CC1CB4" w:rsidRDefault="00000000" w:rsidP="6B71CBC4">
      <w:pPr>
        <w:rPr>
          <w:lang w:val="es-ES"/>
        </w:rPr>
      </w:pPr>
      <w:r>
        <w:rPr>
          <w:rFonts w:eastAsia="Times New Roman" w:cs="Arial"/>
          <w:lang w:val="pt-BR"/>
        </w:rPr>
        <w:t xml:space="preserve">No momento, as avaliações não estão disponíveis em outros idiomas além do inglês para a ELA em todos os níveis de ano nos quais as avaliações são administradas. </w:t>
      </w:r>
    </w:p>
    <w:p w14:paraId="26386063" w14:textId="379DBE4B" w:rsidR="00EE0713" w:rsidRPr="00CC1CB4" w:rsidRDefault="00000000" w:rsidP="00194058">
      <w:pPr>
        <w:spacing w:line="259" w:lineRule="auto"/>
        <w:rPr>
          <w:rFonts w:eastAsia="Aptos" w:cs="Times New Roman"/>
          <w:color w:val="365F91" w:themeColor="accent1" w:themeShade="BF"/>
          <w:lang w:val="es-ES"/>
        </w:rPr>
      </w:pPr>
      <w:r>
        <w:rPr>
          <w:rStyle w:val="NJDOEResponse"/>
          <w:rFonts w:eastAsia="Times New Roman"/>
          <w:color w:val="365F91"/>
          <w:lang w:val="pt-BR"/>
        </w:rPr>
        <w:t>[finalizar resposta do NJDOE]</w:t>
      </w:r>
    </w:p>
    <w:p w14:paraId="5BD680E4" w14:textId="77777777" w:rsidR="00F4648D" w:rsidRPr="00CC1CB4" w:rsidRDefault="00000000" w:rsidP="00F4648D">
      <w:pPr>
        <w:pStyle w:val="BeginUSED"/>
        <w:rPr>
          <w:rFonts w:cs="Times New Roman"/>
          <w:lang w:val="es-ES"/>
        </w:rPr>
      </w:pPr>
      <w:r>
        <w:rPr>
          <w:rFonts w:eastAsia="Times New Roman"/>
          <w:color w:val="FFFFFF"/>
          <w:szCs w:val="4"/>
          <w:lang w:val="pt-BR"/>
        </w:rPr>
        <w:t>[iniciar o texto do USED]</w:t>
      </w:r>
    </w:p>
    <w:p w14:paraId="4F1B9D3E" w14:textId="77777777" w:rsidR="002C6D4F" w:rsidRPr="00856537" w:rsidRDefault="00000000" w:rsidP="00856537">
      <w:pPr>
        <w:pStyle w:val="A30"/>
      </w:pPr>
      <w:bookmarkStart w:id="63" w:name="_Toc199403682"/>
      <w:r>
        <w:t>iv. Desenvolvimento</w:t>
      </w:r>
      <w:bookmarkEnd w:id="63"/>
    </w:p>
    <w:p w14:paraId="716C3B5F" w14:textId="77777777" w:rsidR="00EE0713" w:rsidRPr="00CC1CB4" w:rsidRDefault="00000000" w:rsidP="00831B57">
      <w:pPr>
        <w:pStyle w:val="blue"/>
        <w:ind w:left="432"/>
        <w:rPr>
          <w:lang w:val="es-ES"/>
        </w:rPr>
      </w:pPr>
      <w:r>
        <w:rPr>
          <w:rFonts w:ascii="Cambria" w:eastAsia="Cambria" w:hAnsi="Cambria"/>
          <w:lang w:val="pt-BR"/>
        </w:rPr>
        <w:t>Descrever como ele fará todos os esforços para desenvolver avaliações, no mínimo, em idiomas diferentes do inglês que estejam presentes em uma extensão significativa na população de alunos participantes, incluindo:</w:t>
      </w:r>
    </w:p>
    <w:p w14:paraId="602EA245" w14:textId="77777777" w:rsidR="00EE0713" w:rsidRPr="00CC1CB4" w:rsidRDefault="00000000">
      <w:pPr>
        <w:pStyle w:val="blue"/>
        <w:numPr>
          <w:ilvl w:val="0"/>
          <w:numId w:val="168"/>
        </w:numPr>
        <w:rPr>
          <w:lang w:val="es-ES"/>
        </w:rPr>
      </w:pPr>
      <w:r>
        <w:rPr>
          <w:rFonts w:ascii="Cambria" w:eastAsia="Cambria" w:hAnsi="Cambria"/>
          <w:lang w:val="pt-BR"/>
        </w:rPr>
        <w:t xml:space="preserve">o plano e o cronograma do estado para o desenvolvimento de tais avaliações, incluindo uma descrição de como ele atendeu aos requisitos do 34 CFR § 200.6(f)(4); </w:t>
      </w:r>
    </w:p>
    <w:p w14:paraId="78142D85" w14:textId="77777777" w:rsidR="00EE0713" w:rsidRPr="00CC1CB4" w:rsidRDefault="00000000">
      <w:pPr>
        <w:pStyle w:val="blue"/>
        <w:numPr>
          <w:ilvl w:val="0"/>
          <w:numId w:val="168"/>
        </w:numPr>
        <w:rPr>
          <w:lang w:val="es-ES"/>
        </w:rPr>
      </w:pPr>
      <w:r>
        <w:rPr>
          <w:rFonts w:ascii="Cambria" w:eastAsia="Cambria" w:hAnsi="Cambria"/>
          <w:lang w:val="pt-BR"/>
        </w:rPr>
        <w:t xml:space="preserve">uma descrição do processo que o estado usou para reunir informações significativas sobre a necessidade de avaliações em idiomas diferentes do inglês, coletar e responder a comentários públicos e consultar educadores; pais e famílias de alunos de inglês; alunos, conforme apropriado; e outras partes interessadas; </w:t>
      </w:r>
    </w:p>
    <w:p w14:paraId="39233C35" w14:textId="77777777" w:rsidR="00AA2EA0" w:rsidRPr="00CC1CB4" w:rsidRDefault="00000000">
      <w:pPr>
        <w:pStyle w:val="blue"/>
        <w:numPr>
          <w:ilvl w:val="0"/>
          <w:numId w:val="168"/>
        </w:numPr>
        <w:rPr>
          <w:lang w:val="es-ES"/>
        </w:rPr>
      </w:pPr>
      <w:r>
        <w:rPr>
          <w:rFonts w:ascii="Cambria" w:eastAsia="Cambria" w:hAnsi="Cambria"/>
          <w:lang w:val="pt-BR"/>
        </w:rPr>
        <w:t>conforme aplicável, uma explicação dos motivos pelos quais o estado não foi capaz de concluir o desenvolvimento de tais avaliações, apesar de fazer todos os esforços.</w:t>
      </w:r>
    </w:p>
    <w:p w14:paraId="17C97E85" w14:textId="77777777" w:rsidR="009E7EF4" w:rsidRPr="00CC1CB4" w:rsidRDefault="00000000" w:rsidP="00F4648D">
      <w:pPr>
        <w:pStyle w:val="EndUSED"/>
        <w:rPr>
          <w:lang w:val="es-ES"/>
        </w:rPr>
      </w:pPr>
      <w:r>
        <w:rPr>
          <w:rFonts w:eastAsia="Times New Roman"/>
          <w:color w:val="FFFFFF"/>
          <w:szCs w:val="4"/>
          <w:lang w:val="pt-BR"/>
        </w:rPr>
        <w:t>[finalizar texto do USED]</w:t>
      </w:r>
    </w:p>
    <w:p w14:paraId="28076FD0" w14:textId="77777777" w:rsidR="006415C4" w:rsidRPr="00CC1CB4" w:rsidRDefault="00000000" w:rsidP="002C6D4F">
      <w:pPr>
        <w:spacing w:before="240" w:after="120" w:line="240" w:lineRule="auto"/>
        <w:rPr>
          <w:rStyle w:val="NJDOEResponse"/>
          <w:rFonts w:eastAsia="Cambria"/>
          <w:lang w:val="es-ES"/>
        </w:rPr>
      </w:pPr>
      <w:r>
        <w:rPr>
          <w:rStyle w:val="NJDOEResponse"/>
          <w:rFonts w:eastAsia="Times New Roman"/>
          <w:color w:val="365F91"/>
          <w:lang w:val="pt-BR"/>
        </w:rPr>
        <w:t>[iniciar a resposta do NJDOE]</w:t>
      </w:r>
    </w:p>
    <w:p w14:paraId="40593A95" w14:textId="77777777" w:rsidR="00CB687E" w:rsidRPr="00CC1CB4" w:rsidRDefault="00000000" w:rsidP="6B71CBC4">
      <w:pPr>
        <w:rPr>
          <w:lang w:val="es-ES"/>
        </w:rPr>
      </w:pPr>
      <w:r>
        <w:rPr>
          <w:rFonts w:eastAsia="Times New Roman" w:cs="Arial"/>
          <w:lang w:val="pt-BR"/>
        </w:rPr>
        <w:t xml:space="preserve">Conforme mencionado acima, o NJDOE continua a desenvolver e administrar avaliações matemáticas e científicas em espanhol, que está presente em “quantidade significativa na população estudantil participante”. Esta definição original foi informada pelas partes interessadas através do seguinte processo descrito no Plano estadual da ESSA de 2017: </w:t>
      </w:r>
    </w:p>
    <w:p w14:paraId="3A292C90" w14:textId="77777777" w:rsidR="00CB687E" w:rsidRPr="00CC1CB4" w:rsidRDefault="00000000" w:rsidP="002C6D4F">
      <w:pPr>
        <w:ind w:left="720" w:right="720"/>
        <w:rPr>
          <w:lang w:val="es-ES"/>
        </w:rPr>
      </w:pPr>
      <w:r>
        <w:rPr>
          <w:rFonts w:eastAsia="Times New Roman" w:cs="Arial"/>
          <w:lang w:val="pt-BR"/>
        </w:rPr>
        <w:lastRenderedPageBreak/>
        <w:t>Para operacionalizar a definição de “idiomas diferentes do inglês que estão presentes em uma extensão significativa na população estudantil participante”, o NJDOE convocou um grupo de foco das partes interessadas em agosto de 2016. O grupo de foco analisou os requisitos estatutários para avaliações em outros idiomas e dados demográficos sobre os alunos multilíngues de Nova Jersey (por exemplo, idiomas falados, número de alunos multilíngues em cada grupo de idiomas, alunos multilíngues recebendo acomodações durante a administração da avaliação [em todo o estado] e população de alunos multilíngues por condado). Os participantes foram encarregados de fornecer informações sobre a definição proposta do NJDOE, que foi desenvolvida considerando três fatores:</w:t>
      </w:r>
    </w:p>
    <w:p w14:paraId="589F6043" w14:textId="77777777" w:rsidR="00CB687E" w:rsidRPr="00CC1CB4" w:rsidRDefault="00000000">
      <w:pPr>
        <w:pStyle w:val="a6"/>
        <w:numPr>
          <w:ilvl w:val="0"/>
          <w:numId w:val="29"/>
        </w:numPr>
        <w:spacing w:after="240"/>
        <w:ind w:left="1080" w:right="720" w:firstLine="0"/>
        <w:rPr>
          <w:lang w:val="es-ES"/>
        </w:rPr>
      </w:pPr>
      <w:r>
        <w:rPr>
          <w:rFonts w:eastAsia="Times New Roman" w:cs="Arial"/>
          <w:lang w:val="pt-BR"/>
        </w:rPr>
        <w:t>dados em todo o estado sobre o número e a porcentagem de falantes nativos;</w:t>
      </w:r>
    </w:p>
    <w:p w14:paraId="753CBCE8" w14:textId="77777777" w:rsidR="00CB687E" w:rsidRPr="00CC1CB4" w:rsidRDefault="00000000">
      <w:pPr>
        <w:pStyle w:val="a6"/>
        <w:numPr>
          <w:ilvl w:val="0"/>
          <w:numId w:val="29"/>
        </w:numPr>
        <w:spacing w:after="240"/>
        <w:ind w:left="1080" w:right="720" w:firstLine="0"/>
        <w:rPr>
          <w:lang w:val="es-ES"/>
        </w:rPr>
      </w:pPr>
      <w:r>
        <w:rPr>
          <w:rFonts w:eastAsia="Times New Roman" w:cs="Arial"/>
          <w:lang w:val="pt-BR"/>
        </w:rPr>
        <w:t>considerações propostas nos regulamentos federais;</w:t>
      </w:r>
    </w:p>
    <w:p w14:paraId="362816EE" w14:textId="77777777" w:rsidR="00CB687E" w:rsidRPr="00CC1CB4" w:rsidRDefault="00000000">
      <w:pPr>
        <w:pStyle w:val="a6"/>
        <w:numPr>
          <w:ilvl w:val="0"/>
          <w:numId w:val="29"/>
        </w:numPr>
        <w:spacing w:after="240"/>
        <w:ind w:left="1080" w:right="720" w:firstLine="0"/>
        <w:rPr>
          <w:lang w:val="es-ES"/>
        </w:rPr>
      </w:pPr>
      <w:r>
        <w:rPr>
          <w:rFonts w:eastAsia="Times New Roman" w:cs="Arial"/>
          <w:lang w:val="pt-BR"/>
        </w:rPr>
        <w:t>praticidade em relação ao desenvolvimento da avaliação (custo e cronograma).</w:t>
      </w:r>
    </w:p>
    <w:p w14:paraId="3B046BAC" w14:textId="77777777" w:rsidR="00CB687E" w:rsidRPr="00CC1CB4" w:rsidRDefault="00000000" w:rsidP="6B71CBC4">
      <w:pPr>
        <w:rPr>
          <w:lang w:val="es-ES"/>
        </w:rPr>
      </w:pPr>
      <w:r>
        <w:rPr>
          <w:rFonts w:eastAsia="Times New Roman" w:cs="Arial"/>
          <w:lang w:val="pt-BR"/>
        </w:rPr>
        <w:t>Sete anos depois, o NJDOE reconhece que as avaliações em todo o estado devem ser traduzidas para mais idiomas para acomodar a crescente diversidade linguística dos alunos de Nova Jersey. O NJDOE consultou partes interessadas externas, como o Grupo de trabalho de partes interessadas da ESSA, sobre a definição mencionada acima. Além disso, no final deste ano, o NJDOE reunirá um novo grupo de foco das partes interessadas com experiência diversificada, incluindo especialistas em aprendizagem multilíngue e defensores da comunidade, para analisar as melhores práticas e pesquisas sobre políticas de tradução de avaliação. Após essa reunião, o NJDOE proporá emendas adicionais ao Plano estadual da ESSA, projetado para aumentar o acesso dos alunos multilíngues às avaliações em todo o estado.</w:t>
      </w:r>
    </w:p>
    <w:p w14:paraId="33A37CB4" w14:textId="77777777" w:rsidR="007B21EE" w:rsidRPr="00CC1CB4" w:rsidRDefault="00000000" w:rsidP="005E214D">
      <w:pPr>
        <w:spacing w:line="259" w:lineRule="auto"/>
        <w:rPr>
          <w:rFonts w:eastAsia="Aptos" w:cs="Times New Roman"/>
          <w:color w:val="365F91" w:themeColor="accent1" w:themeShade="BF"/>
          <w:lang w:val="es-ES"/>
        </w:rPr>
      </w:pPr>
      <w:r>
        <w:rPr>
          <w:rStyle w:val="NJDOEResponse"/>
          <w:rFonts w:eastAsia="Times New Roman"/>
          <w:color w:val="365F91"/>
          <w:lang w:val="pt-BR"/>
        </w:rPr>
        <w:t>[finalizar resposta do NJDOE]</w:t>
      </w:r>
    </w:p>
    <w:p w14:paraId="21F3C95A" w14:textId="77777777" w:rsidR="2D66CCC3" w:rsidRPr="00CC1CB4" w:rsidRDefault="00000000" w:rsidP="005E214D">
      <w:pPr>
        <w:pStyle w:val="BeginUSED"/>
        <w:spacing w:before="0"/>
        <w:rPr>
          <w:rStyle w:val="NJDOEResponse"/>
          <w:lang w:val="es-ES"/>
        </w:rPr>
      </w:pPr>
      <w:r>
        <w:rPr>
          <w:rFonts w:eastAsia="Times New Roman"/>
          <w:color w:val="FFFFFF"/>
          <w:szCs w:val="4"/>
          <w:lang w:val="pt-BR"/>
        </w:rPr>
        <w:t xml:space="preserve">[iniciar o texto do USED] </w:t>
      </w:r>
    </w:p>
    <w:p w14:paraId="208051DF" w14:textId="77777777" w:rsidR="002C6D4F" w:rsidRPr="00CC1CB4" w:rsidRDefault="00000000" w:rsidP="00831B57">
      <w:pPr>
        <w:pStyle w:val="2"/>
        <w:spacing w:before="0"/>
        <w:rPr>
          <w:lang w:val="es-ES"/>
        </w:rPr>
      </w:pPr>
      <w:bookmarkStart w:id="64" w:name="_Toc211004637"/>
      <w:r>
        <w:rPr>
          <w:rFonts w:eastAsia="Cambria"/>
          <w:szCs w:val="32"/>
          <w:lang w:val="pt-BR"/>
        </w:rPr>
        <w:t>4. Sistema de responsabilidade estadual e atividades de apoio e melhoria escolar</w:t>
      </w:r>
      <w:bookmarkEnd w:id="64"/>
      <w:r>
        <w:rPr>
          <w:rFonts w:eastAsia="Cambria"/>
          <w:szCs w:val="32"/>
          <w:lang w:val="pt-BR"/>
        </w:rPr>
        <w:t xml:space="preserve"> </w:t>
      </w:r>
    </w:p>
    <w:p w14:paraId="75D1991F" w14:textId="77777777" w:rsidR="000C3523" w:rsidRPr="00CC1CB4" w:rsidRDefault="00000000" w:rsidP="005E214D">
      <w:pPr>
        <w:spacing w:after="0"/>
        <w:rPr>
          <w:b/>
          <w:bCs/>
          <w:color w:val="074F6A"/>
          <w:sz w:val="28"/>
          <w:szCs w:val="28"/>
          <w:lang w:val="es-ES"/>
        </w:rPr>
      </w:pPr>
      <w:r>
        <w:rPr>
          <w:rFonts w:eastAsia="Times New Roman" w:cs="Arial"/>
          <w:b/>
          <w:bCs/>
          <w:color w:val="074F6A"/>
          <w:sz w:val="28"/>
          <w:szCs w:val="28"/>
          <w:lang w:val="pt-BR"/>
        </w:rPr>
        <w:t>(seção ESEA 1111(c) e (d))</w:t>
      </w:r>
    </w:p>
    <w:p w14:paraId="04EC348C" w14:textId="77777777" w:rsidR="00071E5B" w:rsidRPr="00CC1CB4" w:rsidRDefault="00000000" w:rsidP="009C2E6E">
      <w:pPr>
        <w:pStyle w:val="EndUSED"/>
        <w:rPr>
          <w:rFonts w:eastAsia="Times New Roman"/>
          <w:color w:val="365F91" w:themeColor="accent1" w:themeShade="BF"/>
          <w:lang w:val="es-ES"/>
        </w:rPr>
      </w:pPr>
      <w:r>
        <w:rPr>
          <w:rFonts w:eastAsia="Times New Roman"/>
          <w:color w:val="365F91"/>
          <w:szCs w:val="4"/>
          <w:lang w:val="pt-BR"/>
        </w:rPr>
        <w:t xml:space="preserve"> </w:t>
      </w:r>
      <w:r>
        <w:rPr>
          <w:rFonts w:eastAsia="Times New Roman"/>
          <w:color w:val="FFFFFF"/>
          <w:szCs w:val="4"/>
          <w:lang w:val="pt-BR"/>
        </w:rPr>
        <w:t>[finalizar texto do USED]</w:t>
      </w:r>
    </w:p>
    <w:p w14:paraId="74A8A31E" w14:textId="77777777" w:rsidR="00071E5B" w:rsidRPr="00CC1CB4" w:rsidRDefault="00000000" w:rsidP="005E214D">
      <w:pPr>
        <w:spacing w:after="120" w:line="240" w:lineRule="auto"/>
        <w:rPr>
          <w:rFonts w:eastAsia="Times New Roman" w:cs="Times New Roman"/>
          <w:color w:val="365F91" w:themeColor="accent1" w:themeShade="BF"/>
          <w:lang w:val="es-ES"/>
        </w:rPr>
      </w:pPr>
      <w:r>
        <w:rPr>
          <w:rFonts w:eastAsia="Times New Roman" w:cs="Times New Roman"/>
          <w:color w:val="365F91"/>
          <w:lang w:val="pt-BR"/>
        </w:rPr>
        <w:t>[iniciar a resposta do NJDOE]</w:t>
      </w:r>
    </w:p>
    <w:p w14:paraId="0486A1F3" w14:textId="77777777" w:rsidR="00071E5B" w:rsidRPr="00856537" w:rsidRDefault="00000000" w:rsidP="00856537">
      <w:pPr>
        <w:pStyle w:val="A30"/>
      </w:pPr>
      <w:bookmarkStart w:id="65" w:name="_Toc199403684"/>
      <w:r w:rsidRPr="00856537">
        <w:t>Introdução</w:t>
      </w:r>
      <w:bookmarkEnd w:id="65"/>
    </w:p>
    <w:p w14:paraId="3BFF980E" w14:textId="77777777" w:rsidR="008C0DAD" w:rsidRPr="00CC1CB4" w:rsidRDefault="00000000" w:rsidP="00E36737">
      <w:pPr>
        <w:rPr>
          <w:rFonts w:eastAsia="Times New Roman" w:cs="Times New Roman"/>
          <w:lang w:val="es-ES"/>
        </w:rPr>
      </w:pPr>
      <w:r>
        <w:rPr>
          <w:rFonts w:eastAsia="Times New Roman" w:cs="Times New Roman"/>
          <w:lang w:val="pt-BR"/>
        </w:rPr>
        <w:t xml:space="preserve">O objetivo da ESSA é “oferecer a todas as crianças uma oportunidade significativa de receber uma educação justa, equitativa e de alta qualidade, e preencher as lacunas de realização educacional”. O sistema de responsabilidade da ESSA ajuda o NJDOE a operacionalizar seus esforços para alcançar essa meta. O NJDOE, em consulta com as partes interessadas e em conformidade com a lei federal, projetou e implementou essa ferramenta para identificar escolas que precisam do suporte mais intensivo, incluindo apoio fiscal adicional e orientação fornecidos pela equipe da Divisão de Serviços e Suporte de Campo do NJDOE. Em outras palavras, ao incluir todos os alunos em cada um de seus indicadores ou métricas, esse sistema ajuda o NJDOE a, em alto nível, avaliar como todos os alunos estão se saindo em todas as escolas de todo o estado. O NJDOE usa esse panorama de alto nível para ajudar a concentrar os recursos limitados do estado nas populações de estudantes que mais precisam de assistência. Para que esse apoio tenha o máximo impacto, o sistema de responsabilidade deve trabalhar para diferenciar o desempenho </w:t>
      </w:r>
      <w:r>
        <w:rPr>
          <w:rFonts w:eastAsia="Times New Roman" w:cs="Times New Roman"/>
          <w:lang w:val="pt-BR"/>
        </w:rPr>
        <w:lastRenderedPageBreak/>
        <w:t xml:space="preserve">escolar em métricas significativas que, em um nível muito alto, criem um instantâneo das mais de 2.500 escolas públicas de Nova Jersey. </w:t>
      </w:r>
    </w:p>
    <w:p w14:paraId="57793471" w14:textId="77777777" w:rsidR="00E36737" w:rsidRPr="00CC1CB4" w:rsidRDefault="00000000" w:rsidP="00194058">
      <w:pPr>
        <w:spacing w:before="100" w:beforeAutospacing="1" w:after="0"/>
        <w:rPr>
          <w:rFonts w:eastAsia="Times New Roman" w:cs="Times New Roman"/>
          <w:lang w:val="es-ES"/>
        </w:rPr>
      </w:pPr>
      <w:r>
        <w:rPr>
          <w:rFonts w:eastAsia="Times New Roman" w:cs="Times New Roman"/>
          <w:lang w:val="pt-BR"/>
        </w:rPr>
        <w:t>O NJDOE continua comprometido em identificar métricas confiáveis e baseadas em pesquisa que, quando reunidas, fornecem a visão mais abrangente e justa do desempenho dos alunos. Para implementar bem esse sistema, o NJDOE conta consistentemente com a contribuição das partes interessadas de todos os cantos da comunidade educacional e trabalha para melhorar continuamente a qualidade e a eficácia de cada métrica e do sistema de responsabilidade como um todo. Desde 2016, o NJDOE contratou as partes interessadas para desenvolver o sistema de responsabilidade da ESSA descrito em seu Plano estadual da ESSA de 2017. Após vários anos de implementação, o NJDOE reuniu um grupo de foco entre agências e um grupo de trabalho externo de partes interessadas da ESSA de 2024 para colaborar e analisar o sistema de responsabilidade da ESSA de Nova Jersey. O NJDOE, em colaboração com as partes interessadas, tem medido os pontos fortes e as áreas de melhoria do sistema em relação aos seguintes princípios orientadores:</w:t>
      </w:r>
    </w:p>
    <w:p w14:paraId="5FDDA758" w14:textId="77777777" w:rsidR="00B85F51" w:rsidRDefault="00000000" w:rsidP="00B85F51">
      <w:pPr>
        <w:pStyle w:val="aff0"/>
        <w:spacing w:after="0"/>
      </w:pPr>
      <w:r>
        <w:rPr>
          <w:rFonts w:eastAsia="Cambria"/>
          <w:lang w:val="pt-BR"/>
        </w:rPr>
        <w:t>Princípios orientadores</w:t>
      </w:r>
    </w:p>
    <w:p w14:paraId="5569C212" w14:textId="77777777" w:rsidR="007C339F" w:rsidRPr="00973098" w:rsidRDefault="00000000" w:rsidP="00B85F51">
      <w:pPr>
        <w:spacing w:after="0" w:line="240" w:lineRule="auto"/>
        <w:rPr>
          <w:rFonts w:eastAsia="Times New Roman" w:cs="Times New Roman"/>
          <w:sz w:val="24"/>
          <w:szCs w:val="24"/>
        </w:rPr>
      </w:pPr>
      <w:r w:rsidRPr="00973098">
        <w:rPr>
          <w:rFonts w:eastAsia="Times New Roman" w:cs="Times New Roman"/>
          <w:noProof/>
          <w:sz w:val="24"/>
          <w:szCs w:val="24"/>
          <w:shd w:val="clear" w:color="auto" w:fill="215868" w:themeFill="accent5" w:themeFillShade="80"/>
        </w:rPr>
        <w:drawing>
          <wp:inline distT="0" distB="0" distL="0" distR="0" wp14:anchorId="26ADE25F" wp14:editId="77D21932">
            <wp:extent cx="5162550" cy="1752600"/>
            <wp:effectExtent l="0" t="0" r="0" b="0"/>
            <wp:docPr id="2133301872" name="Diagram 1">
              <a:extLst xmlns:a="http://schemas.openxmlformats.org/drawingml/2006/main">
                <a:ext uri="{FF2B5EF4-FFF2-40B4-BE49-F238E27FC236}">
                  <a16:creationId xmlns:a16="http://schemas.microsoft.com/office/drawing/2014/main" id="{50FF2678-9872-9F53-E4DA-0E3FE119CA3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54703FB" w14:textId="77777777" w:rsidR="005E214D" w:rsidRPr="00E36737" w:rsidRDefault="00000000">
      <w:pPr>
        <w:pStyle w:val="a6"/>
        <w:numPr>
          <w:ilvl w:val="0"/>
          <w:numId w:val="169"/>
        </w:numPr>
        <w:spacing w:before="240"/>
        <w:rPr>
          <w:rFonts w:eastAsia="Times New Roman" w:cs="Times New Roman"/>
        </w:rPr>
      </w:pPr>
      <w:r>
        <w:rPr>
          <w:rFonts w:eastAsia="Times New Roman" w:cs="Times New Roman"/>
          <w:lang w:val="pt-BR"/>
        </w:rPr>
        <w:t>Medir o que importa</w:t>
      </w:r>
    </w:p>
    <w:p w14:paraId="20708D0D" w14:textId="77777777" w:rsidR="005E214D" w:rsidRPr="00CC1CB4" w:rsidRDefault="00000000">
      <w:pPr>
        <w:pStyle w:val="a6"/>
        <w:numPr>
          <w:ilvl w:val="0"/>
          <w:numId w:val="169"/>
        </w:numPr>
        <w:spacing w:before="100" w:beforeAutospacing="1"/>
        <w:rPr>
          <w:rFonts w:eastAsia="Times New Roman" w:cs="Times New Roman"/>
          <w:lang w:val="es-ES"/>
        </w:rPr>
      </w:pPr>
      <w:r>
        <w:rPr>
          <w:rFonts w:eastAsia="Times New Roman" w:cs="Times New Roman"/>
          <w:lang w:val="pt-BR"/>
        </w:rPr>
        <w:t>Fornecer uma visão abrangente do desempenho escolar</w:t>
      </w:r>
    </w:p>
    <w:p w14:paraId="18DFEF89" w14:textId="77777777" w:rsidR="005E214D" w:rsidRPr="00CC1CB4" w:rsidRDefault="00000000">
      <w:pPr>
        <w:pStyle w:val="a6"/>
        <w:numPr>
          <w:ilvl w:val="0"/>
          <w:numId w:val="169"/>
        </w:numPr>
        <w:spacing w:before="100" w:beforeAutospacing="1"/>
        <w:rPr>
          <w:rFonts w:eastAsia="Times New Roman" w:cs="Times New Roman"/>
          <w:lang w:val="es-ES"/>
        </w:rPr>
      </w:pPr>
      <w:r>
        <w:rPr>
          <w:rFonts w:eastAsia="Times New Roman" w:cs="Times New Roman"/>
          <w:lang w:val="pt-BR"/>
        </w:rPr>
        <w:t>Usar as melhores métricas disponíveis, considerando as limitações inerentes dos dados</w:t>
      </w:r>
    </w:p>
    <w:p w14:paraId="61F51D01" w14:textId="77777777" w:rsidR="005E214D" w:rsidRPr="00CC1CB4" w:rsidRDefault="00000000">
      <w:pPr>
        <w:pStyle w:val="a6"/>
        <w:numPr>
          <w:ilvl w:val="0"/>
          <w:numId w:val="169"/>
        </w:numPr>
        <w:spacing w:before="100" w:beforeAutospacing="1"/>
        <w:rPr>
          <w:rFonts w:eastAsia="Times New Roman" w:cs="Times New Roman"/>
          <w:lang w:val="es-ES"/>
        </w:rPr>
      </w:pPr>
      <w:r>
        <w:rPr>
          <w:rFonts w:eastAsia="Times New Roman" w:cs="Times New Roman"/>
          <w:lang w:val="pt-BR"/>
        </w:rPr>
        <w:t>Diferenciar as escolas da forma mais justa possível</w:t>
      </w:r>
    </w:p>
    <w:p w14:paraId="13669F16" w14:textId="77777777" w:rsidR="005E214D" w:rsidRPr="00CC1CB4" w:rsidRDefault="00000000">
      <w:pPr>
        <w:pStyle w:val="a6"/>
        <w:numPr>
          <w:ilvl w:val="0"/>
          <w:numId w:val="169"/>
        </w:numPr>
        <w:spacing w:before="100" w:beforeAutospacing="1"/>
        <w:rPr>
          <w:rFonts w:eastAsia="Times New Roman" w:cs="Times New Roman"/>
          <w:lang w:val="es-ES"/>
        </w:rPr>
      </w:pPr>
      <w:r>
        <w:rPr>
          <w:rFonts w:eastAsia="Times New Roman" w:cs="Times New Roman"/>
          <w:lang w:val="pt-BR"/>
        </w:rPr>
        <w:t>Fazer alterações por meio de um processo iterativo</w:t>
      </w:r>
    </w:p>
    <w:p w14:paraId="62F1BBCC" w14:textId="77777777" w:rsidR="005E214D" w:rsidRPr="00C04CDD" w:rsidRDefault="00000000">
      <w:pPr>
        <w:pStyle w:val="a6"/>
        <w:numPr>
          <w:ilvl w:val="0"/>
          <w:numId w:val="169"/>
        </w:numPr>
        <w:spacing w:before="100" w:beforeAutospacing="1"/>
        <w:rPr>
          <w:rFonts w:eastAsia="Times New Roman" w:cs="Times New Roman"/>
          <w:lang w:val="fr-FR"/>
        </w:rPr>
      </w:pPr>
      <w:r>
        <w:rPr>
          <w:rFonts w:eastAsia="Times New Roman" w:cs="Times New Roman"/>
          <w:lang w:val="pt-BR"/>
        </w:rPr>
        <w:t>Cumprir as leis federais e estaduais</w:t>
      </w:r>
    </w:p>
    <w:p w14:paraId="6EBE72C6" w14:textId="77777777" w:rsidR="008603DD" w:rsidRPr="00CC1CB4" w:rsidRDefault="00000000" w:rsidP="005E214D">
      <w:pPr>
        <w:spacing w:before="100" w:beforeAutospacing="1"/>
        <w:rPr>
          <w:rFonts w:eastAsia="Times New Roman" w:cs="Times New Roman"/>
          <w:lang w:val="es-ES"/>
        </w:rPr>
      </w:pPr>
      <w:r>
        <w:rPr>
          <w:rFonts w:eastAsia="Times New Roman" w:cs="Times New Roman"/>
          <w:lang w:val="pt-BR"/>
        </w:rPr>
        <w:t xml:space="preserve">É importante ressaltar que um panorama de alto nível do desempenho escolar traz limitações inerentes, pois há inúmeros fatores imensuráveis no dia escolar que ajudam os alunos a prosperar. Cada aluno, escola e comunidade é único. Com essa individualidade vêm as necessidades individualizadas. No entanto, o “panorama” de responsabilidade da ESSA permite que o NJDOE diferencie com eficiência entre as mais de 2.500 escolas do estado para criar um ponto de partida, a fim de que o NJDOE trabalhe mais profundamente com escolas que são identificadas como em necessidade de mais apoio. No entanto, conforme mostrado na figura do iceberg abaixo, mais e diferentes tipos de dados são necessários para avaliar as necessidades únicas de alunos individuais e grupos de alunos em todas as escolas. Por exemplo, para ajudar os alunos a aprender e prosperar na escola, os educadores trabalham incansavelmente para revisar o curso, avaliações de formação e benchmark, comportamento em sala de aula, reunir percepções dos pais e colegas e muitos pontos de dados adicionais para fornecer a todos os alunos instruções de alta qualidade e suportes específicos em níveis, conforme necessário. Os líderes escolares envolvem as partes </w:t>
      </w:r>
      <w:r>
        <w:rPr>
          <w:rFonts w:eastAsia="Times New Roman" w:cs="Times New Roman"/>
          <w:lang w:val="pt-BR"/>
        </w:rPr>
        <w:lastRenderedPageBreak/>
        <w:t xml:space="preserve">interessadas, analisam as tendências de frequência, avaliações de referência e locais, pesquisam educadores, alunos e pais e avaliam os recursos ao determinar o melhor currículo e programas para suas escolas. </w:t>
      </w:r>
    </w:p>
    <w:p w14:paraId="1B4604D3" w14:textId="77777777" w:rsidR="008603DD" w:rsidRPr="00CC1CB4" w:rsidRDefault="00000000" w:rsidP="6B71CBC4">
      <w:pPr>
        <w:spacing w:before="100" w:beforeAutospacing="1"/>
        <w:rPr>
          <w:rFonts w:cs="Times New Roman"/>
          <w:lang w:val="es-ES"/>
        </w:rPr>
      </w:pPr>
      <w:r>
        <w:rPr>
          <w:rFonts w:eastAsia="Times New Roman" w:cs="Times New Roman"/>
          <w:lang w:val="pt-BR"/>
        </w:rPr>
        <w:t>Finalmente, a responsabilidade escolar da ESSA é apenas um componente, embora importante, dos sistemas de responsabilidade e supervisão de Nova Jersey para garantir que todos os alunos em Nova Jersey recebam uma educação de alta qualidade. Por exemplo, os sistemas de responsabilidade adicionais incluem os processos de monitoramento federal do NJDOE; revisão do programa de escola fretada; responsabilidade da LEA (Continuum de Responsabilidade Escolar de Qualidade de Nova Jersey [New Jersey Quality School Accountability Continuum, NJQSAC]); e relatórios da LEA e da escola por meio dos Relatórios de desempenho escolar anuais. Para melhorar continuamente a eficácia de seu suporte, o NJDOE, desde 2017, vem trabalhando para alinhar e conectar, sempre que possível, esses diferentes sistemas. Por meio da colaboração contínua da equipe, as conexões entre vários sistemas de responsabilidade e suporte continuam sendo as principais prioridades para a equipe do NJDOE.</w:t>
      </w:r>
    </w:p>
    <w:p w14:paraId="6833E5E5" w14:textId="77777777" w:rsidR="006415C4" w:rsidRPr="00CC1CB4" w:rsidRDefault="00000000" w:rsidP="001921E2">
      <w:pPr>
        <w:spacing w:before="100" w:beforeAutospacing="1" w:after="100" w:afterAutospacing="1" w:line="240" w:lineRule="auto"/>
        <w:rPr>
          <w:rFonts w:eastAsia="Times New Roman" w:cs="Times New Roman"/>
          <w:lang w:val="es-ES"/>
        </w:rPr>
      </w:pPr>
      <w:r w:rsidRPr="00973098">
        <w:rPr>
          <w:rFonts w:eastAsia="Times New Roman" w:cs="Times New Roman"/>
          <w:noProof/>
          <w:sz w:val="24"/>
          <w:szCs w:val="24"/>
        </w:rPr>
        <mc:AlternateContent>
          <mc:Choice Requires="wps">
            <w:drawing>
              <wp:anchor distT="0" distB="0" distL="114300" distR="114300" simplePos="0" relativeHeight="251665408" behindDoc="0" locked="0" layoutInCell="1" allowOverlap="1" wp14:anchorId="521D8654" wp14:editId="51B72566">
                <wp:simplePos x="0" y="0"/>
                <wp:positionH relativeFrom="margin">
                  <wp:posOffset>3495675</wp:posOffset>
                </wp:positionH>
                <wp:positionV relativeFrom="paragraph">
                  <wp:posOffset>1135380</wp:posOffset>
                </wp:positionV>
                <wp:extent cx="2468880" cy="1022940"/>
                <wp:effectExtent l="19050" t="19050" r="45720" b="44450"/>
                <wp:wrapNone/>
                <wp:docPr id="14" name="TextBox 13">
                  <a:extLst xmlns:a="http://schemas.openxmlformats.org/drawingml/2006/main">
                    <a:ext uri="{FF2B5EF4-FFF2-40B4-BE49-F238E27FC236}">
                      <a16:creationId xmlns:a16="http://schemas.microsoft.com/office/drawing/2014/main" id="{B4C49703-2C55-E853-984C-AAC806AB5CA3}"/>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68880" cy="1022940"/>
                        </a:xfrm>
                        <a:prstGeom prst="rect">
                          <a:avLst/>
                        </a:prstGeom>
                        <a:noFill/>
                        <a:ln w="57150">
                          <a:solidFill>
                            <a:srgbClr val="104E72"/>
                          </a:solidFill>
                        </a:ln>
                      </wps:spPr>
                      <wps:txbx>
                        <w:txbxContent>
                          <w:p w14:paraId="3F5A54AA" w14:textId="77777777" w:rsidR="009469E9" w:rsidRPr="00CC1CB4" w:rsidRDefault="00000000" w:rsidP="009469E9">
                            <w:pPr>
                              <w:textAlignment w:val="baseline"/>
                              <w:rPr>
                                <w:rFonts w:cs="Times New Roman"/>
                                <w:bCs/>
                                <w:color w:val="104E72"/>
                                <w:kern w:val="24"/>
                                <w:lang w:val="es-ES"/>
                              </w:rPr>
                            </w:pPr>
                            <w:r>
                              <w:rPr>
                                <w:rFonts w:eastAsia="Times New Roman" w:cs="Times New Roman"/>
                                <w:bCs/>
                                <w:color w:val="104E72"/>
                                <w:kern w:val="24"/>
                                <w:lang w:val="pt-BR"/>
                              </w:rPr>
                              <w:t xml:space="preserve">Dados </w:t>
                            </w:r>
                            <w:r>
                              <w:rPr>
                                <w:rFonts w:eastAsia="Times New Roman" w:cs="Times New Roman"/>
                                <w:bCs/>
                                <w:color w:val="104E72"/>
                                <w:kern w:val="24"/>
                                <w:lang w:val="pt-BR"/>
                              </w:rPr>
                              <w:t xml:space="preserve">necessários para entender as necessidades específicas dos alunos, identificar as causas-raiz das lacunas de desempenho, avaliar a eficácia das práticas educacionais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1D8654" id="TextBox 13" o:spid="_x0000_s1051" type="#_x0000_t202" alt="&quot;&quot;" style="position:absolute;margin-left:275.25pt;margin-top:89.4pt;width:194.4pt;height:80.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" filled="f" strokecolor="#104e72" strokeweight="4.5pt">
                <v:textbox>
                  <w:txbxContent>
                    <w:p w14:paraId="3F5A54AA" w14:textId="77777777" w:rsidR="009469E9" w:rsidRPr="00CC1CB4" w:rsidRDefault="00000000" w:rsidP="009469E9">
                      <w:pPr>
                        <w:textAlignment w:val="baseline"/>
                        <w:rPr>
                          <w:rFonts w:cs="Times New Roman"/>
                          <w:bCs/>
                          <w:color w:val="104E72"/>
                          <w:kern w:val="24"/>
                          <w:lang w:val="es-ES"/>
                        </w:rPr>
                      </w:pPr>
                      <w:r>
                        <w:rPr>
                          <w:rFonts w:eastAsia="Times New Roman" w:cs="Times New Roman"/>
                          <w:bCs/>
                          <w:color w:val="104E72"/>
                          <w:kern w:val="24"/>
                          <w:lang w:val="pt-BR"/>
                        </w:rPr>
                        <w:t xml:space="preserve">Dados </w:t>
                      </w:r>
                      <w:r>
                        <w:rPr>
                          <w:rFonts w:eastAsia="Times New Roman" w:cs="Times New Roman"/>
                          <w:bCs/>
                          <w:color w:val="104E72"/>
                          <w:kern w:val="24"/>
                          <w:lang w:val="pt-BR"/>
                        </w:rPr>
                        <w:t xml:space="preserve">necessários para entender as necessidades específicas dos alunos, identificar as causas-raiz das lacunas de desempenho, avaliar a eficácia das práticas educacionais etc. </w:t>
                      </w:r>
                    </w:p>
                  </w:txbxContent>
                </v:textbox>
                <w10:wrap anchorx="margin"/>
              </v:shape>
            </w:pict>
          </mc:Fallback>
        </mc:AlternateContent>
      </w:r>
      <w:r w:rsidR="00BB662F" w:rsidRPr="00973098">
        <w:rPr>
          <w:rFonts w:eastAsia="Times New Roman" w:cs="Times New Roman"/>
          <w:noProof/>
          <w:sz w:val="24"/>
          <w:szCs w:val="24"/>
        </w:rPr>
        <mc:AlternateContent>
          <mc:Choice Requires="wps">
            <w:drawing>
              <wp:anchor distT="0" distB="0" distL="114300" distR="114300" simplePos="0" relativeHeight="251663360" behindDoc="0" locked="0" layoutInCell="1" allowOverlap="1" wp14:anchorId="7A228E92" wp14:editId="1AC4730C">
                <wp:simplePos x="0" y="0"/>
                <wp:positionH relativeFrom="column">
                  <wp:posOffset>3495675</wp:posOffset>
                </wp:positionH>
                <wp:positionV relativeFrom="paragraph">
                  <wp:posOffset>146050</wp:posOffset>
                </wp:positionV>
                <wp:extent cx="2468880" cy="731520"/>
                <wp:effectExtent l="19050" t="19050" r="45720" b="30480"/>
                <wp:wrapNone/>
                <wp:docPr id="1161623282" name="Text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68880" cy="731520"/>
                        </a:xfrm>
                        <a:prstGeom prst="rect">
                          <a:avLst/>
                        </a:prstGeom>
                        <a:noFill/>
                        <a:ln w="50800">
                          <a:solidFill>
                            <a:schemeClr val="accent5"/>
                          </a:solidFill>
                        </a:ln>
                      </wps:spPr>
                      <wps:txbx>
                        <w:txbxContent>
                          <w:p w14:paraId="3EE521B3" w14:textId="77777777" w:rsidR="009469E9" w:rsidRPr="00CC1CB4" w:rsidRDefault="00000000" w:rsidP="009469E9">
                            <w:pPr>
                              <w:textAlignment w:val="baseline"/>
                              <w:rPr>
                                <w:rFonts w:cs="Times New Roman"/>
                                <w:b/>
                                <w:color w:val="104E72"/>
                                <w:kern w:val="24"/>
                                <w:sz w:val="40"/>
                                <w:szCs w:val="40"/>
                                <w:lang w:val="es-ES"/>
                              </w:rPr>
                            </w:pPr>
                            <w:r>
                              <w:rPr>
                                <w:rFonts w:eastAsia="Times New Roman" w:cs="Times New Roman"/>
                                <w:color w:val="104E72"/>
                                <w:kern w:val="24"/>
                                <w:lang w:val="pt-BR"/>
                              </w:rPr>
                              <w:t xml:space="preserve">Dados </w:t>
                            </w:r>
                            <w:r>
                              <w:rPr>
                                <w:rFonts w:eastAsia="Times New Roman" w:cs="Times New Roman"/>
                                <w:color w:val="104E72"/>
                                <w:kern w:val="24"/>
                                <w:lang w:val="pt-BR"/>
                              </w:rPr>
                              <w:t>usados para identificar escolas para suporte abrangente ou direcionado de acordo com a ESSA.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228E92" id="TextBox 12" o:spid="_x0000_s1052" type="#_x0000_t202" alt="&quot;&quot;" style="position:absolute;margin-left:275.25pt;margin-top:11.5pt;width:194.4pt;height:5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" filled="f" strokecolor="#4bacc6 [3208]" strokeweight="4pt">
                <v:textbox>
                  <w:txbxContent>
                    <w:p w14:paraId="3EE521B3" w14:textId="77777777" w:rsidR="009469E9" w:rsidRPr="00CC1CB4" w:rsidRDefault="00000000" w:rsidP="009469E9">
                      <w:pPr>
                        <w:textAlignment w:val="baseline"/>
                        <w:rPr>
                          <w:rFonts w:cs="Times New Roman"/>
                          <w:b/>
                          <w:color w:val="104E72"/>
                          <w:kern w:val="24"/>
                          <w:sz w:val="40"/>
                          <w:szCs w:val="40"/>
                          <w:lang w:val="es-ES"/>
                        </w:rPr>
                      </w:pPr>
                      <w:r>
                        <w:rPr>
                          <w:rFonts w:eastAsia="Times New Roman" w:cs="Times New Roman"/>
                          <w:color w:val="104E72"/>
                          <w:kern w:val="24"/>
                          <w:lang w:val="pt-BR"/>
                        </w:rPr>
                        <w:t xml:space="preserve">Dados </w:t>
                      </w:r>
                      <w:r>
                        <w:rPr>
                          <w:rFonts w:eastAsia="Times New Roman" w:cs="Times New Roman"/>
                          <w:color w:val="104E72"/>
                          <w:kern w:val="24"/>
                          <w:lang w:val="pt-BR"/>
                        </w:rPr>
                        <w:t>usados para identificar escolas para suporte abrangente ou direcionado de acordo com a ESSA.</w:t>
                      </w:r>
                    </w:p>
                  </w:txbxContent>
                </v:textbox>
              </v:shape>
            </w:pict>
          </mc:Fallback>
        </mc:AlternateContent>
      </w:r>
      <w:r w:rsidRPr="00973098">
        <w:rPr>
          <w:rFonts w:eastAsia="Times New Roman" w:cs="Times New Roman"/>
          <w:noProof/>
          <w:sz w:val="24"/>
          <w:szCs w:val="24"/>
        </w:rPr>
        <mc:AlternateContent>
          <mc:Choice Requires="wps">
            <w:drawing>
              <wp:anchor distT="0" distB="0" distL="114300" distR="114300" simplePos="0" relativeHeight="251658240" behindDoc="0" locked="0" layoutInCell="1" allowOverlap="1" wp14:anchorId="7D7E5E82" wp14:editId="73FCA88B">
                <wp:simplePos x="0" y="0"/>
                <wp:positionH relativeFrom="column">
                  <wp:posOffset>2762250</wp:posOffset>
                </wp:positionH>
                <wp:positionV relativeFrom="paragraph">
                  <wp:posOffset>24765</wp:posOffset>
                </wp:positionV>
                <wp:extent cx="495300" cy="2514600"/>
                <wp:effectExtent l="0" t="19050" r="38100" b="38100"/>
                <wp:wrapNone/>
                <wp:docPr id="12" name="Right Bracket 11">
                  <a:extLst xmlns:a="http://schemas.openxmlformats.org/drawingml/2006/main">
                    <a:ext uri="{FF2B5EF4-FFF2-40B4-BE49-F238E27FC236}">
                      <a16:creationId xmlns:a16="http://schemas.microsoft.com/office/drawing/2014/main" id="{4507548E-29C8-813F-6AA1-F29FCEEF215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5300" cy="2514600"/>
                        </a:xfrm>
                        <a:prstGeom prst="rightBracket">
                          <a:avLst/>
                        </a:prstGeom>
                        <a:ln w="57150">
                          <a:solidFill>
                            <a:srgbClr val="104E72"/>
                          </a:solidFill>
                        </a:ln>
                      </wps:spPr>
                      <wps:style>
                        <a:lnRef idx="2">
                          <a:schemeClr val="accent4"/>
                        </a:lnRef>
                        <a:fillRef idx="1">
                          <a:schemeClr val="lt1"/>
                        </a:fillRef>
                        <a:effectRef idx="0">
                          <a:schemeClr val="accent4"/>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DE88FBA"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1" o:spid="_x0000_s1026" type="#_x0000_t86" alt="&quot;&quot;" style="position:absolute;margin-left:217.5pt;margin-top:1.95pt;width:39pt;height:1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" adj="355" filled="t" fillcolor="white [3201]" strokecolor="#104e72" strokeweight="4.5pt"/>
            </w:pict>
          </mc:Fallback>
        </mc:AlternateContent>
      </w:r>
      <w:r w:rsidRPr="00973098">
        <w:rPr>
          <w:rFonts w:eastAsia="Times New Roman" w:cs="Times New Roman"/>
          <w:noProof/>
          <w:sz w:val="24"/>
          <w:szCs w:val="24"/>
        </w:rPr>
        <mc:AlternateContent>
          <mc:Choice Requires="wps">
            <w:drawing>
              <wp:anchor distT="0" distB="0" distL="114300" distR="114300" simplePos="0" relativeHeight="251660288" behindDoc="0" locked="0" layoutInCell="1" allowOverlap="1" wp14:anchorId="3EDADE7F" wp14:editId="6D968DAB">
                <wp:simplePos x="0" y="0"/>
                <wp:positionH relativeFrom="column">
                  <wp:posOffset>2749550</wp:posOffset>
                </wp:positionH>
                <wp:positionV relativeFrom="paragraph">
                  <wp:posOffset>108585</wp:posOffset>
                </wp:positionV>
                <wp:extent cx="379730" cy="825500"/>
                <wp:effectExtent l="0" t="19050" r="39370" b="31750"/>
                <wp:wrapNone/>
                <wp:docPr id="1815983720" name="Right Bracket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9730" cy="825500"/>
                        </a:xfrm>
                        <a:prstGeom prst="rightBracket">
                          <a:avLst/>
                        </a:prstGeom>
                        <a:ln w="57150"/>
                      </wps:spPr>
                      <wps:style>
                        <a:lnRef idx="2">
                          <a:schemeClr val="accent5"/>
                        </a:lnRef>
                        <a:fillRef idx="1">
                          <a:schemeClr val="lt1"/>
                        </a:fillRef>
                        <a:effectRef idx="0">
                          <a:schemeClr val="accent5"/>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CF399E7" id="Right Bracket 9" o:spid="_x0000_s1026" type="#_x0000_t86" alt="&quot;&quot;" style="position:absolute;margin-left:216.5pt;margin-top:8.55pt;width:29.9pt;height: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" adj="828" filled="t" fillcolor="white [3201]" strokecolor="#4bacc6 [3208]" strokeweight="4.5pt"/>
            </w:pict>
          </mc:Fallback>
        </mc:AlternateContent>
      </w:r>
      <w:r w:rsidR="0093038C" w:rsidRPr="00CC1CB4">
        <w:rPr>
          <w:rFonts w:eastAsia="Times New Roman" w:cs="Times New Roman"/>
          <w:lang w:val="es-ES"/>
        </w:rPr>
        <w:t xml:space="preserve"> </w:t>
      </w:r>
      <w:r w:rsidR="000258FE" w:rsidRPr="00973098">
        <w:rPr>
          <w:rFonts w:eastAsia="Times New Roman" w:cs="Times New Roman"/>
          <w:noProof/>
          <w:sz w:val="24"/>
          <w:szCs w:val="24"/>
        </w:rPr>
        <w:drawing>
          <wp:inline distT="0" distB="0" distL="0" distR="0" wp14:anchorId="43C5C9AA" wp14:editId="15D65202">
            <wp:extent cx="2504940" cy="2560320"/>
            <wp:effectExtent l="0" t="0" r="0" b="0"/>
            <wp:docPr id="3" name="Picture 2" descr="Diagram: Iceberg Data Analogy. All content is in text version linked immediately after the image.">
              <a:extLst xmlns:a="http://schemas.openxmlformats.org/drawingml/2006/main">
                <a:ext uri="{FF2B5EF4-FFF2-40B4-BE49-F238E27FC236}">
                  <a16:creationId xmlns:a16="http://schemas.microsoft.com/office/drawing/2014/main" id="{063A45A3-E358-1E3E-16D5-3CDE0E3F3F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 Iceberg Data Analogy. All content is in text version linked immediately after the image.">
                      <a:extLst>
                        <a:ext uri="{FF2B5EF4-FFF2-40B4-BE49-F238E27FC236}">
                          <a16:creationId xmlns:a16="http://schemas.microsoft.com/office/drawing/2014/main" id="{063A45A3-E358-1E3E-16D5-3CDE0E3F3F26}"/>
                        </a:ext>
                      </a:extLst>
                    </pic:cNvPr>
                    <pic:cNvPicPr>
                      <a:picLocks noChangeAspect="1"/>
                    </pic:cNvPicPr>
                  </pic:nvPicPr>
                  <pic:blipFill>
                    <a:blip r:embed="rId28"/>
                    <a:stretch>
                      <a:fillRect/>
                    </a:stretch>
                  </pic:blipFill>
                  <pic:spPr>
                    <a:xfrm>
                      <a:off x="0" y="0"/>
                      <a:ext cx="2520328" cy="2576048"/>
                    </a:xfrm>
                    <a:prstGeom prst="rect">
                      <a:avLst/>
                    </a:prstGeom>
                  </pic:spPr>
                </pic:pic>
              </a:graphicData>
            </a:graphic>
          </wp:inline>
        </w:drawing>
      </w:r>
      <w:r w:rsidR="0093038C" w:rsidRPr="00CC1CB4">
        <w:rPr>
          <w:rFonts w:eastAsia="Times New Roman" w:cs="Times New Roman"/>
          <w:noProof/>
          <w:sz w:val="24"/>
          <w:szCs w:val="24"/>
          <w:lang w:val="es-ES"/>
        </w:rPr>
        <w:t xml:space="preserve"> </w:t>
      </w:r>
    </w:p>
    <w:p w14:paraId="2A077AD4" w14:textId="77777777" w:rsidR="00B85F51" w:rsidRPr="00CC1CB4" w:rsidRDefault="00000000" w:rsidP="6B71CBC4">
      <w:pPr>
        <w:spacing w:before="100" w:beforeAutospacing="1"/>
        <w:rPr>
          <w:rFonts w:eastAsia="Times New Roman" w:cs="Times New Roman"/>
          <w:lang w:val="es-ES"/>
        </w:rPr>
      </w:pPr>
      <w:hyperlink w:anchor="_Iceberg_Data_Analogy" w:history="1">
        <w:r w:rsidR="00B85F51">
          <w:rPr>
            <w:rFonts w:eastAsia="Times New Roman" w:cs="Times New Roman"/>
            <w:color w:val="0000FF"/>
            <w:u w:val="single"/>
            <w:lang w:val="pt-BR"/>
          </w:rPr>
          <w:t>Versão do texto: Analogia de dados Iceberg</w:t>
        </w:r>
      </w:hyperlink>
    </w:p>
    <w:p w14:paraId="7BFFDB6C" w14:textId="77777777" w:rsidR="00A51EDC" w:rsidRPr="00CC1CB4" w:rsidRDefault="00000000" w:rsidP="6B71CBC4">
      <w:pPr>
        <w:spacing w:before="100" w:beforeAutospacing="1"/>
        <w:rPr>
          <w:rFonts w:eastAsia="Times New Roman" w:cs="Times New Roman"/>
          <w:lang w:val="es-ES"/>
        </w:rPr>
      </w:pPr>
      <w:bookmarkStart w:id="66" w:name="iceberg"/>
      <w:bookmarkEnd w:id="66"/>
      <w:r>
        <w:rPr>
          <w:rFonts w:eastAsia="Times New Roman" w:cs="Times New Roman"/>
          <w:lang w:val="pt-BR"/>
        </w:rPr>
        <w:t xml:space="preserve">Por meio desse processo e de uma análise de vários grupos de escolas identificadas para apoio abrangente ou direcionado, o NJDOE, em consulta com várias partes interessadas, identificou algumas melhorias específicas no sistema de responsabilidade da ESSA. Essas mudanças não são exaustivas e, por meio de processos rigorosos de melhoria contínua, o NJDOE planeja avaliar e melhorar continuamente o sistema de responsabilidade da ESSA. </w:t>
      </w:r>
    </w:p>
    <w:p w14:paraId="2191B838" w14:textId="77777777" w:rsidR="002261B7" w:rsidRPr="00CC1CB4" w:rsidRDefault="00000000" w:rsidP="6B71CBC4">
      <w:pPr>
        <w:spacing w:before="100" w:beforeAutospacing="1"/>
        <w:rPr>
          <w:rFonts w:eastAsia="Times New Roman" w:cs="Times New Roman"/>
          <w:lang w:val="es-ES"/>
        </w:rPr>
      </w:pPr>
      <w:r>
        <w:rPr>
          <w:rFonts w:eastAsia="Times New Roman" w:cs="Times New Roman"/>
          <w:lang w:val="pt-BR"/>
        </w:rPr>
        <w:t>As seções a seguir descrevem o sistema de responsabilidade da ESSA de Nova Jersey, o processo de identificação e o sistema de suporte, que incluem melhorias específicas desde que o plano foi aprovado pela primeira vez em 2017. Tais alterações serão feitas de forma incremental por meio de um processo iterativo e ponderado. O NJDOE continua comprometido em avaliar e melhorar continuamente como o estado pode diferenciar significativamente suas mais de 2.500 escolas para garantir que seus recursos e apoios concentrados cheguem aonde são mais necessários.</w:t>
      </w:r>
    </w:p>
    <w:p w14:paraId="6E550B17" w14:textId="77777777" w:rsidR="00D54F21" w:rsidRPr="00CC1CB4" w:rsidRDefault="00000000" w:rsidP="003D6AB3">
      <w:pPr>
        <w:rPr>
          <w:rStyle w:val="NJDOEResponse"/>
          <w:lang w:val="es-ES"/>
        </w:rPr>
      </w:pPr>
      <w:r>
        <w:rPr>
          <w:rStyle w:val="NJDOEResponse"/>
          <w:rFonts w:eastAsia="Times New Roman"/>
          <w:color w:val="365F91"/>
          <w:lang w:val="pt-BR"/>
        </w:rPr>
        <w:lastRenderedPageBreak/>
        <w:t>[finalizar resposta do NJDOE]</w:t>
      </w:r>
    </w:p>
    <w:p w14:paraId="4F976DE3" w14:textId="77777777" w:rsidR="64AE75A0" w:rsidRPr="00CC1CB4" w:rsidRDefault="00000000" w:rsidP="00D54F21">
      <w:pPr>
        <w:pStyle w:val="BeginUSED"/>
        <w:rPr>
          <w:rFonts w:cs="Times New Roman"/>
          <w:color w:val="365F91" w:themeColor="accent1" w:themeShade="BF"/>
          <w:lang w:val="es-ES"/>
        </w:rPr>
      </w:pPr>
      <w:r>
        <w:rPr>
          <w:rFonts w:eastAsia="Times New Roman"/>
          <w:color w:val="FFFFFF"/>
          <w:szCs w:val="4"/>
          <w:lang w:val="pt-BR"/>
        </w:rPr>
        <w:t xml:space="preserve">[iniciar o texto do USED] </w:t>
      </w:r>
    </w:p>
    <w:p w14:paraId="7F5F731B" w14:textId="77777777" w:rsidR="00D06EAA" w:rsidRPr="00CC1CB4" w:rsidRDefault="00000000" w:rsidP="008D6139">
      <w:pPr>
        <w:pStyle w:val="3"/>
        <w:spacing w:before="0"/>
        <w:ind w:left="432"/>
        <w:rPr>
          <w:lang w:val="es-ES"/>
        </w:rPr>
      </w:pPr>
      <w:bookmarkStart w:id="67" w:name="_Toc211004638"/>
      <w:r>
        <w:rPr>
          <w:rFonts w:ascii="Cambria" w:eastAsia="Cambria" w:hAnsi="Cambria" w:cs="Times New Roman"/>
          <w:szCs w:val="28"/>
          <w:lang w:val="pt-BR"/>
        </w:rPr>
        <w:t>i. Subgrupos (seção ESEA 1111(c)(2))</w:t>
      </w:r>
      <w:bookmarkEnd w:id="67"/>
    </w:p>
    <w:p w14:paraId="0BCFC441" w14:textId="77777777" w:rsidR="00D54F21" w:rsidRPr="00CC1CB4" w:rsidRDefault="00000000" w:rsidP="00D54F21">
      <w:pPr>
        <w:pStyle w:val="EndUSED"/>
        <w:rPr>
          <w:lang w:val="es-ES"/>
        </w:rPr>
      </w:pPr>
      <w:r>
        <w:rPr>
          <w:rFonts w:eastAsia="Times New Roman"/>
          <w:color w:val="FFFFFF"/>
          <w:szCs w:val="4"/>
          <w:lang w:val="pt-BR"/>
        </w:rPr>
        <w:t>[finalizar texto do USED]</w:t>
      </w:r>
    </w:p>
    <w:p w14:paraId="3CA8A564" w14:textId="77777777" w:rsidR="00D06EAA" w:rsidRPr="00CC1CB4" w:rsidRDefault="00000000" w:rsidP="005D5027">
      <w:pPr>
        <w:spacing w:before="240"/>
        <w:rPr>
          <w:rStyle w:val="NJDOEResponse"/>
          <w:lang w:val="es-ES"/>
        </w:rPr>
      </w:pPr>
      <w:r>
        <w:rPr>
          <w:rStyle w:val="NJDOEResponse"/>
          <w:rFonts w:eastAsia="Times New Roman"/>
          <w:color w:val="365F91"/>
          <w:lang w:val="pt-BR"/>
        </w:rPr>
        <w:t>[iniciar a resposta do NJDOE]</w:t>
      </w:r>
    </w:p>
    <w:p w14:paraId="2CDDB483" w14:textId="77777777" w:rsidR="00C0687C" w:rsidRPr="00CC1CB4" w:rsidRDefault="00000000" w:rsidP="6B71CBC4">
      <w:pPr>
        <w:rPr>
          <w:rFonts w:eastAsia="Times New Roman" w:cs="Times New Roman"/>
          <w:lang w:val="es-ES"/>
        </w:rPr>
      </w:pPr>
      <w:r>
        <w:rPr>
          <w:rFonts w:eastAsia="Times New Roman" w:cs="Times New Roman"/>
          <w:lang w:val="pt-BR"/>
        </w:rPr>
        <w:t xml:space="preserve">Conforme declarado acima, para usar a linguagem baseada em ativos o máximo possível, o NJDOE se refere a “subgrupos” como “grupos de alunos” e “alunos multilíngues” em vez de “alunos de inglês”. Os regulamentos estaduais (N.J.A.C. 6A:15) agora definem “aprendiz multilíngue” como “um aluno cujo idioma principal não é o inglês, que é identificado através do processo descrito em [Regulamentos estaduais] e que está desenvolvendo proficiência em vários idiomas (por exemplo, inglês e um idioma principal). O termo é sinônimo de “aluno de inglês” ou “aluno de língua inglesa”. Ao citar a ESEA, documentos federais ou o Plano estadual da ESSA de 2017, “subgrupos” e “alunos de inglês” ainda podem ser usados ao longo deste documento. </w:t>
      </w:r>
    </w:p>
    <w:p w14:paraId="5062CE7F" w14:textId="77777777" w:rsidR="00A7558D" w:rsidRPr="00CC1CB4" w:rsidRDefault="00000000" w:rsidP="6B71CBC4">
      <w:pPr>
        <w:rPr>
          <w:rFonts w:eastAsia="Times New Roman" w:cs="Times New Roman"/>
          <w:lang w:val="es-ES"/>
        </w:rPr>
      </w:pPr>
      <w:r>
        <w:rPr>
          <w:rFonts w:eastAsia="Times New Roman" w:cs="Times New Roman"/>
          <w:lang w:val="pt-BR"/>
        </w:rPr>
        <w:t xml:space="preserve">Atualmente, o NJDOE não está propondo mudanças substanciais nas políticas de responsabilidade do grupo estudantil. As diferenças entre esta seção e a Seção 4B do Plano estadual da ESSA de 2017 podem ser atribuídas à formatação, alterações de modelo e nomenclatura atualizada, conforme descrito acima. Além disso, em dois casos, o Plano estadual da ESSA de 2017 (páginas 75 e 77) menciona a intenção do NJDOE de fazer alterações dependentes de renúncia ao grupo de estudantes com deficiência. Tais emendas não foram implementadas e uma análise dos dados disponíveis não mostrou diferenças significativas ou mensuráveis na qualidade dos dados se a renúncia tivesse sido concedida. </w:t>
      </w:r>
    </w:p>
    <w:p w14:paraId="7998ADDB" w14:textId="77777777" w:rsidR="00231500" w:rsidRPr="00CC1CB4" w:rsidRDefault="00000000" w:rsidP="006966A0">
      <w:pPr>
        <w:spacing w:line="259" w:lineRule="auto"/>
        <w:rPr>
          <w:rFonts w:eastAsia="Aptos" w:cs="Times New Roman"/>
          <w:color w:val="365F91" w:themeColor="accent1" w:themeShade="BF"/>
          <w:lang w:val="es-ES"/>
        </w:rPr>
      </w:pPr>
      <w:r>
        <w:rPr>
          <w:rStyle w:val="NJDOEResponse"/>
          <w:rFonts w:eastAsia="Times New Roman"/>
          <w:color w:val="365F91"/>
          <w:lang w:val="pt-BR"/>
        </w:rPr>
        <w:t>[finalizar resposta do NJDOE]</w:t>
      </w:r>
    </w:p>
    <w:p w14:paraId="7152B4F3" w14:textId="77777777" w:rsidR="00900FBC" w:rsidRPr="00CC1CB4" w:rsidRDefault="00000000" w:rsidP="00794438">
      <w:pPr>
        <w:pStyle w:val="BeginUSED"/>
        <w:rPr>
          <w:rFonts w:asciiTheme="majorHAnsi" w:eastAsiaTheme="majorEastAsia" w:hAnsiTheme="majorHAnsi" w:cstheme="majorBidi"/>
          <w:b/>
          <w:color w:val="244061" w:themeColor="accent1" w:themeShade="80"/>
          <w:lang w:val="es-ES"/>
        </w:rPr>
      </w:pPr>
      <w:r>
        <w:rPr>
          <w:rFonts w:eastAsia="Times New Roman"/>
          <w:color w:val="FFFFFF"/>
          <w:szCs w:val="4"/>
          <w:lang w:val="pt-BR"/>
        </w:rPr>
        <w:t xml:space="preserve">[iniciar o texto do USED] </w:t>
      </w:r>
    </w:p>
    <w:p w14:paraId="0CF4BB00" w14:textId="77777777" w:rsidR="00F2085B" w:rsidRPr="00CC1CB4" w:rsidRDefault="00000000" w:rsidP="007154C9">
      <w:pPr>
        <w:pStyle w:val="blue"/>
        <w:numPr>
          <w:ilvl w:val="0"/>
          <w:numId w:val="205"/>
        </w:numPr>
        <w:rPr>
          <w:lang w:val="es-ES"/>
        </w:rPr>
      </w:pPr>
      <w:r>
        <w:rPr>
          <w:rFonts w:ascii="Cambria" w:eastAsia="Cambria" w:hAnsi="Cambria"/>
          <w:lang w:val="pt-BR"/>
        </w:rPr>
        <w:t>Liste cada grupo étnico e racial principal que o estado inclui como um subgrupo de alunos, de acordo com a seção 1111(c)(2)(B) da ESEA.</w:t>
      </w:r>
    </w:p>
    <w:p w14:paraId="23B6B80F" w14:textId="77777777" w:rsidR="00794438" w:rsidRPr="00CC1CB4" w:rsidRDefault="00000000" w:rsidP="00794438">
      <w:pPr>
        <w:pStyle w:val="EndUSED"/>
        <w:rPr>
          <w:rStyle w:val="NJDOEResponse"/>
          <w:lang w:val="es-ES"/>
        </w:rPr>
      </w:pPr>
      <w:r>
        <w:rPr>
          <w:rFonts w:eastAsia="Times New Roman"/>
          <w:color w:val="FFFFFF"/>
          <w:szCs w:val="4"/>
          <w:lang w:val="pt-BR"/>
        </w:rPr>
        <w:t>[finalizar texto do USED]</w:t>
      </w:r>
    </w:p>
    <w:p w14:paraId="33BFCEBF" w14:textId="77777777" w:rsidR="00F8203B" w:rsidRPr="00CC1CB4" w:rsidRDefault="00000000" w:rsidP="005D5027">
      <w:pPr>
        <w:spacing w:before="240" w:line="259" w:lineRule="auto"/>
        <w:rPr>
          <w:rStyle w:val="NJDOEResponse"/>
          <w:lang w:val="es-ES"/>
        </w:rPr>
      </w:pPr>
      <w:r>
        <w:rPr>
          <w:rStyle w:val="NJDOEResponse"/>
          <w:rFonts w:eastAsia="Times New Roman"/>
          <w:color w:val="365F91"/>
          <w:lang w:val="pt-BR"/>
        </w:rPr>
        <w:t>[iniciar a resposta do NJDOE]</w:t>
      </w:r>
    </w:p>
    <w:p w14:paraId="606B512C" w14:textId="77777777" w:rsidR="00B2371F" w:rsidRPr="00CC1CB4" w:rsidRDefault="00000000" w:rsidP="00570DD0">
      <w:pPr>
        <w:spacing w:line="259" w:lineRule="auto"/>
        <w:rPr>
          <w:rFonts w:cs="Times New Roman"/>
          <w:lang w:val="es-ES"/>
        </w:rPr>
      </w:pPr>
      <w:r>
        <w:rPr>
          <w:rFonts w:eastAsia="Times New Roman" w:cs="Times New Roman"/>
          <w:lang w:val="pt-BR"/>
        </w:rPr>
        <w:t xml:space="preserve">O NJDOE continuará a usar os seguintes grupos étnicos e raciais para fins de relato: </w:t>
      </w:r>
    </w:p>
    <w:p w14:paraId="1015F262" w14:textId="77777777" w:rsidR="00B2371F" w:rsidRPr="00CC1CB4" w:rsidRDefault="00000000">
      <w:pPr>
        <w:pStyle w:val="a6"/>
        <w:numPr>
          <w:ilvl w:val="0"/>
          <w:numId w:val="25"/>
        </w:numPr>
        <w:rPr>
          <w:rFonts w:cs="Times New Roman"/>
          <w:color w:val="000000" w:themeColor="text1"/>
          <w:lang w:val="es-ES"/>
        </w:rPr>
      </w:pPr>
      <w:r>
        <w:rPr>
          <w:rFonts w:eastAsia="Times New Roman" w:cs="Times New Roman"/>
          <w:color w:val="000000"/>
          <w:lang w:val="pt-BR"/>
        </w:rPr>
        <w:t>Indígena americano ou nativo do Alasca</w:t>
      </w:r>
    </w:p>
    <w:p w14:paraId="35005492" w14:textId="77777777" w:rsidR="00B2371F" w:rsidRPr="00CC1CB4" w:rsidRDefault="00000000">
      <w:pPr>
        <w:pStyle w:val="a6"/>
        <w:numPr>
          <w:ilvl w:val="0"/>
          <w:numId w:val="25"/>
        </w:numPr>
        <w:rPr>
          <w:rStyle w:val="NJDOEResponse"/>
          <w:color w:val="000000" w:themeColor="text1"/>
          <w:lang w:val="es-ES"/>
        </w:rPr>
      </w:pPr>
      <w:r>
        <w:rPr>
          <w:rFonts w:eastAsia="Times New Roman" w:cs="Times New Roman"/>
          <w:color w:val="000000"/>
          <w:lang w:val="pt-BR"/>
        </w:rPr>
        <w:t>Asiático, havaiano nativo ou das ilhas do Pacífico</w:t>
      </w:r>
    </w:p>
    <w:p w14:paraId="68B93D01" w14:textId="77777777" w:rsidR="00B2371F" w:rsidRPr="0097603A" w:rsidRDefault="00000000">
      <w:pPr>
        <w:pStyle w:val="a6"/>
        <w:numPr>
          <w:ilvl w:val="0"/>
          <w:numId w:val="25"/>
        </w:numPr>
        <w:rPr>
          <w:rFonts w:cs="Times New Roman"/>
          <w:color w:val="000000" w:themeColor="text1"/>
        </w:rPr>
      </w:pPr>
      <w:r>
        <w:rPr>
          <w:rFonts w:eastAsia="Times New Roman" w:cs="Times New Roman"/>
          <w:color w:val="000000"/>
          <w:lang w:val="pt-BR"/>
        </w:rPr>
        <w:t>Negro ou afro-americano</w:t>
      </w:r>
    </w:p>
    <w:p w14:paraId="256632A5" w14:textId="77777777" w:rsidR="00B2371F" w:rsidRPr="0097603A" w:rsidRDefault="00000000">
      <w:pPr>
        <w:pStyle w:val="a6"/>
        <w:numPr>
          <w:ilvl w:val="0"/>
          <w:numId w:val="25"/>
        </w:numPr>
        <w:rPr>
          <w:rFonts w:cs="Times New Roman"/>
          <w:color w:val="000000" w:themeColor="text1"/>
        </w:rPr>
      </w:pPr>
      <w:r>
        <w:rPr>
          <w:rFonts w:eastAsia="Times New Roman" w:cs="Times New Roman"/>
          <w:color w:val="000000"/>
          <w:lang w:val="pt-BR"/>
        </w:rPr>
        <w:t>hispânico/latino;</w:t>
      </w:r>
    </w:p>
    <w:p w14:paraId="5CB1B144" w14:textId="77777777" w:rsidR="00B2371F" w:rsidRPr="0097603A" w:rsidRDefault="00000000">
      <w:pPr>
        <w:pStyle w:val="a6"/>
        <w:numPr>
          <w:ilvl w:val="0"/>
          <w:numId w:val="25"/>
        </w:numPr>
        <w:rPr>
          <w:rFonts w:cs="Times New Roman"/>
          <w:color w:val="000000" w:themeColor="text1"/>
        </w:rPr>
      </w:pPr>
      <w:r>
        <w:rPr>
          <w:rFonts w:eastAsia="Times New Roman" w:cs="Times New Roman"/>
          <w:color w:val="000000"/>
          <w:lang w:val="pt-BR"/>
        </w:rPr>
        <w:t>Branco</w:t>
      </w:r>
    </w:p>
    <w:p w14:paraId="27EA68ED" w14:textId="77777777" w:rsidR="00B2371F" w:rsidRPr="0097603A" w:rsidRDefault="00000000">
      <w:pPr>
        <w:pStyle w:val="a6"/>
        <w:numPr>
          <w:ilvl w:val="0"/>
          <w:numId w:val="25"/>
        </w:numPr>
        <w:rPr>
          <w:rFonts w:cs="Times New Roman"/>
          <w:color w:val="000000" w:themeColor="text1"/>
        </w:rPr>
      </w:pPr>
      <w:r>
        <w:rPr>
          <w:rFonts w:eastAsia="Times New Roman" w:cs="Times New Roman"/>
          <w:color w:val="000000"/>
          <w:lang w:val="pt-BR"/>
        </w:rPr>
        <w:t>duas ou mais raças.</w:t>
      </w:r>
    </w:p>
    <w:p w14:paraId="66C8232A" w14:textId="77777777" w:rsidR="00F8203B" w:rsidRPr="00CC1CB4" w:rsidRDefault="00000000" w:rsidP="6B71CBC4">
      <w:pPr>
        <w:rPr>
          <w:rFonts w:cs="Times New Roman"/>
          <w:lang w:val="es-ES"/>
        </w:rPr>
      </w:pPr>
      <w:r>
        <w:rPr>
          <w:rFonts w:eastAsia="Times New Roman" w:cs="Times New Roman"/>
          <w:lang w:val="pt-BR"/>
        </w:rPr>
        <w:t xml:space="preserve">Esses grupos de estudantes raciais e étnicos são consistentes com os requisitos para relatórios federais de acordo com a orientação federal mais recente publicada no Registro Federal (72 Fed. Reg. 59267). Para fins do sistema de responsabilidade e relatórios do estado, o NJDOE também considerará o desempenho </w:t>
      </w:r>
      <w:r>
        <w:rPr>
          <w:rFonts w:eastAsia="Times New Roman" w:cs="Times New Roman"/>
          <w:lang w:val="pt-BR"/>
        </w:rPr>
        <w:lastRenderedPageBreak/>
        <w:t xml:space="preserve">de alunos economicamente desfavorecidos (definidos como federalmente elegíveis para almoço gratuito ou com preço reduzido), alunos com deficiências e alunos multilíngues. </w:t>
      </w:r>
    </w:p>
    <w:p w14:paraId="26F9DEA5" w14:textId="77777777" w:rsidR="00F8203B" w:rsidRPr="00CC1CB4" w:rsidRDefault="00000000" w:rsidP="6B71CBC4">
      <w:pPr>
        <w:rPr>
          <w:rFonts w:cs="Times New Roman"/>
          <w:lang w:val="es-ES"/>
        </w:rPr>
      </w:pPr>
      <w:r>
        <w:rPr>
          <w:rFonts w:eastAsia="Times New Roman" w:cs="Times New Roman"/>
          <w:lang w:val="pt-BR"/>
        </w:rPr>
        <w:t>De acordo com a orientação federal, cada aluno de uma escola deve ser classificado exatamente como um grupo racial ou étnico importante. Além de se identificar com um grupo racial ou étnico importante, um aluno pode ser classificado como membro de um ou mais dos outros grupos de alunos: alunos com deficiências, alunos multilíngues e/ou alunos economicamente desfavorecidos.</w:t>
      </w:r>
    </w:p>
    <w:p w14:paraId="5ADF385B" w14:textId="77777777" w:rsidR="00F8203B" w:rsidRPr="00CC1CB4" w:rsidRDefault="00000000" w:rsidP="6B71CBC4">
      <w:pPr>
        <w:rPr>
          <w:rFonts w:cs="Times New Roman"/>
          <w:lang w:val="es-ES"/>
        </w:rPr>
      </w:pPr>
      <w:r>
        <w:rPr>
          <w:rFonts w:eastAsia="Times New Roman" w:cs="Times New Roman"/>
          <w:lang w:val="pt-BR"/>
        </w:rPr>
        <w:t>Nova Jersey está focada em fechar as grandes lacunas de desempenho entre os grupos de alunos. O NJDOE usará os elementos do sistema de responsabilidade da ESSA para concentrar as escolas e as LEAs nessa meta crítica. Dois componentes do sistema de responsabilidade da escola que impulsionam esse trabalho são:</w:t>
      </w:r>
    </w:p>
    <w:p w14:paraId="4081E1C9" w14:textId="77777777" w:rsidR="00F8203B" w:rsidRPr="00CC1CB4" w:rsidRDefault="00000000" w:rsidP="00A768D8">
      <w:pPr>
        <w:pStyle w:val="a6"/>
        <w:numPr>
          <w:ilvl w:val="0"/>
          <w:numId w:val="8"/>
        </w:numPr>
        <w:spacing w:after="240"/>
        <w:rPr>
          <w:rFonts w:cs="Times New Roman"/>
          <w:lang w:val="es-ES"/>
        </w:rPr>
      </w:pPr>
      <w:r>
        <w:rPr>
          <w:rFonts w:eastAsia="Times New Roman" w:cs="Times New Roman"/>
          <w:lang w:val="pt-BR"/>
        </w:rPr>
        <w:t xml:space="preserve">Selecionar o menor de um grupo </w:t>
      </w:r>
      <w:r>
        <w:rPr>
          <w:rFonts w:eastAsia="Times New Roman" w:cs="Times New Roman"/>
          <w:i/>
          <w:iCs/>
          <w:lang w:val="pt-BR"/>
        </w:rPr>
        <w:t>n</w:t>
      </w:r>
      <w:r>
        <w:rPr>
          <w:rFonts w:eastAsia="Times New Roman" w:cs="Times New Roman"/>
          <w:lang w:val="pt-BR"/>
        </w:rPr>
        <w:t xml:space="preserve"> (o número mínimo de alunos necessários para relatar um resultado) possível que forneça dados precisos para garantir que as escolas sejam responsabilizadas pelo desempenho de todos os alunos;</w:t>
      </w:r>
    </w:p>
    <w:p w14:paraId="51BFB6FB" w14:textId="77777777" w:rsidR="00F8203B" w:rsidRPr="00CC1CB4" w:rsidRDefault="00000000" w:rsidP="00194058">
      <w:pPr>
        <w:pStyle w:val="a6"/>
        <w:keepLines/>
        <w:widowControl w:val="0"/>
        <w:numPr>
          <w:ilvl w:val="0"/>
          <w:numId w:val="8"/>
        </w:numPr>
        <w:spacing w:after="240"/>
        <w:rPr>
          <w:rFonts w:cs="Times New Roman"/>
          <w:lang w:val="es-ES"/>
        </w:rPr>
      </w:pPr>
      <w:r>
        <w:rPr>
          <w:rFonts w:eastAsia="Times New Roman" w:cs="Times New Roman"/>
          <w:lang w:val="pt-BR"/>
        </w:rPr>
        <w:t xml:space="preserve">Considerar o desempenho do grupo de alunos com destaque em cada medida. Para garantir a inclusão significativa de grupos de estudantes nos cálculos de responsabilidade escolar, o NJDOE dará a cada grupo de estudantes para o qual uma escola atende ao grupo </w:t>
      </w:r>
      <w:r>
        <w:rPr>
          <w:rFonts w:eastAsia="Times New Roman" w:cs="Times New Roman"/>
          <w:i/>
          <w:iCs/>
          <w:lang w:val="pt-BR"/>
        </w:rPr>
        <w:t>n</w:t>
      </w:r>
      <w:r>
        <w:rPr>
          <w:rFonts w:eastAsia="Times New Roman" w:cs="Times New Roman"/>
          <w:lang w:val="pt-BR"/>
        </w:rPr>
        <w:t xml:space="preserve"> (pelo menos 20 estudantes), o peso igual na “pontuação de grupo de estudantes” de uma escola para os indicadores aplicáveis. A pontuação do grupo de alunos, que será a média de todas as pontuações individuais do grupo de alunos, será ponderada igualmente com a pontuação geral de uma escola para todos os alunos a fim de determinar a pontuação final para cada indicador (exceto o progresso em direção à proficiência no idioma inglês). Ao ponderar todos os grupos igualmente na pontuação do grupo de alunos e ponderar as pontuações gerais e do grupo de alunos igualmente nos cálculos indicadores, o NJDOE está comprometido em garantir que seu sistema de responsabilidade escolar da ESSA não ignore involuntariamente as lacunas no desempenho em nível escolar por um ou mais grupos de alunos. </w:t>
      </w:r>
    </w:p>
    <w:p w14:paraId="42DBA8A7" w14:textId="77777777" w:rsidR="00F8203B" w:rsidRPr="00CC1CB4" w:rsidRDefault="00000000" w:rsidP="00570DD0">
      <w:pPr>
        <w:spacing w:line="259" w:lineRule="auto"/>
        <w:rPr>
          <w:rStyle w:val="NJDOEResponse"/>
          <w:lang w:val="es-ES"/>
        </w:rPr>
      </w:pPr>
      <w:r>
        <w:rPr>
          <w:rStyle w:val="NJDOEResponse"/>
          <w:rFonts w:eastAsia="Times New Roman"/>
          <w:color w:val="365F91"/>
          <w:lang w:val="pt-BR"/>
        </w:rPr>
        <w:t>[finalizar resposta do NJDOE]</w:t>
      </w:r>
    </w:p>
    <w:p w14:paraId="7FE1F6F7" w14:textId="77777777" w:rsidR="00ED7320" w:rsidRPr="00CC1CB4" w:rsidRDefault="00000000" w:rsidP="00B9612F">
      <w:pPr>
        <w:pStyle w:val="BeginUSED"/>
        <w:rPr>
          <w:rStyle w:val="NJDOEResponse"/>
          <w:lang w:val="es-ES"/>
        </w:rPr>
      </w:pPr>
      <w:r>
        <w:rPr>
          <w:rFonts w:eastAsia="Times New Roman"/>
          <w:color w:val="FFFFFF"/>
          <w:szCs w:val="4"/>
          <w:lang w:val="pt-BR"/>
        </w:rPr>
        <w:t>[iniciar o texto do USED]</w:t>
      </w:r>
    </w:p>
    <w:p w14:paraId="1ACC5BF1" w14:textId="77777777" w:rsidR="00C10FFD" w:rsidRPr="00CC1CB4" w:rsidRDefault="00000000" w:rsidP="00D754C8">
      <w:pPr>
        <w:pStyle w:val="blue"/>
        <w:numPr>
          <w:ilvl w:val="0"/>
          <w:numId w:val="205"/>
        </w:numPr>
        <w:rPr>
          <w:lang w:val="es-ES"/>
        </w:rPr>
      </w:pPr>
      <w:r>
        <w:rPr>
          <w:rFonts w:ascii="Cambria" w:eastAsia="Cambria" w:hAnsi="Cambria"/>
          <w:lang w:val="pt-BR"/>
        </w:rPr>
        <w:t>Se aplicável, descreva quaisquer subgrupos adicionais de alunos além dos subgrupos exigidos estatutariamente (ou seja, alunos economicamente desfavorecidos, alunos dos principais grupos étnicos e raciais, crianças com deficiências e alunos de inglês) usados no sistema de responsabilidade em todo o estado.</w:t>
      </w:r>
    </w:p>
    <w:p w14:paraId="2CEFE9EB" w14:textId="77777777" w:rsidR="00B9612F" w:rsidRPr="00CC1CB4" w:rsidRDefault="00000000" w:rsidP="00B9612F">
      <w:pPr>
        <w:pStyle w:val="EndUSED"/>
        <w:rPr>
          <w:rStyle w:val="NJDOEResponse"/>
          <w:lang w:val="es-ES"/>
        </w:rPr>
      </w:pPr>
      <w:r>
        <w:rPr>
          <w:rFonts w:eastAsia="Times New Roman"/>
          <w:color w:val="FFFFFF"/>
          <w:szCs w:val="4"/>
          <w:lang w:val="pt-BR"/>
        </w:rPr>
        <w:t>[finalizar texto do USED]</w:t>
      </w:r>
    </w:p>
    <w:p w14:paraId="0AEDAD26" w14:textId="77777777" w:rsidR="00F31A0A" w:rsidRPr="00CC1CB4" w:rsidRDefault="00000000" w:rsidP="005D5027">
      <w:pPr>
        <w:spacing w:before="240"/>
        <w:rPr>
          <w:rStyle w:val="NJDOEResponse"/>
          <w:lang w:val="es-ES"/>
        </w:rPr>
      </w:pPr>
      <w:r>
        <w:rPr>
          <w:rStyle w:val="NJDOEResponse"/>
          <w:rFonts w:eastAsia="Times New Roman"/>
          <w:color w:val="365F91"/>
          <w:lang w:val="pt-BR"/>
        </w:rPr>
        <w:t>[iniciar a resposta do NJDOE]</w:t>
      </w:r>
    </w:p>
    <w:p w14:paraId="5B1836F0" w14:textId="77777777" w:rsidR="00E2259B" w:rsidRPr="00CC1CB4" w:rsidRDefault="00000000" w:rsidP="00F31A0A">
      <w:pPr>
        <w:rPr>
          <w:rStyle w:val="NJDOEResponse"/>
          <w:color w:val="auto"/>
          <w:lang w:val="es-ES"/>
        </w:rPr>
      </w:pPr>
      <w:r>
        <w:rPr>
          <w:rStyle w:val="NJDOEResponse"/>
          <w:rFonts w:eastAsia="Times New Roman"/>
          <w:color w:val="000000"/>
          <w:lang w:val="pt-BR"/>
        </w:rPr>
        <w:t xml:space="preserve">Neste momento, o NJDOE não inclui grupos de alunos adicionais além dos grupos de alunos exigidos estatutariamente em seu sistema de responsabilidade estadual. </w:t>
      </w:r>
    </w:p>
    <w:p w14:paraId="4B006E80" w14:textId="77777777" w:rsidR="00C10FFD" w:rsidRPr="00CC1CB4" w:rsidRDefault="00000000" w:rsidP="004C5F4F">
      <w:pPr>
        <w:rPr>
          <w:rFonts w:cs="Times New Roman"/>
          <w:color w:val="365F91" w:themeColor="accent1" w:themeShade="BF"/>
          <w:lang w:val="es-ES"/>
        </w:rPr>
      </w:pPr>
      <w:r>
        <w:rPr>
          <w:rStyle w:val="NJDOEResponse"/>
          <w:rFonts w:eastAsia="Times New Roman"/>
          <w:color w:val="365F91"/>
          <w:lang w:val="pt-BR"/>
        </w:rPr>
        <w:t xml:space="preserve">[finalizar resposta do NJDOE] </w:t>
      </w:r>
    </w:p>
    <w:p w14:paraId="6A9C121E" w14:textId="77777777" w:rsidR="00B9612F" w:rsidRPr="00CC1CB4" w:rsidRDefault="00000000" w:rsidP="00B9612F">
      <w:pPr>
        <w:pStyle w:val="BeginUSED"/>
        <w:rPr>
          <w:b/>
          <w:color w:val="365F91" w:themeColor="accent1" w:themeShade="BF"/>
          <w:lang w:val="es-ES"/>
        </w:rPr>
      </w:pPr>
      <w:r>
        <w:rPr>
          <w:rFonts w:eastAsia="Times New Roman"/>
          <w:color w:val="FFFFFF"/>
          <w:szCs w:val="4"/>
          <w:lang w:val="pt-BR"/>
        </w:rPr>
        <w:t>[iniciar o texto do USED]</w:t>
      </w:r>
    </w:p>
    <w:p w14:paraId="006FFF24" w14:textId="77777777" w:rsidR="006415C4" w:rsidRPr="00CC1CB4" w:rsidRDefault="00000000" w:rsidP="000D30E0">
      <w:pPr>
        <w:pStyle w:val="blue"/>
        <w:numPr>
          <w:ilvl w:val="0"/>
          <w:numId w:val="205"/>
        </w:numPr>
        <w:rPr>
          <w:lang w:val="es-ES"/>
        </w:rPr>
      </w:pPr>
      <w:r>
        <w:rPr>
          <w:rFonts w:ascii="Cambria" w:eastAsia="Cambria" w:hAnsi="Cambria"/>
          <w:lang w:val="pt-BR"/>
        </w:rPr>
        <w:lastRenderedPageBreak/>
        <w:t xml:space="preserve">O estado pretende incluir no subgrupo de alunos de inglês os resultados de alunos previamente identificados como alunos de inglês nas avaliações do estado exigidas na seção 1111(b)(2)(B)(v)(I) da ESEA para fins de responsabilidade estadual (seção 1111(b)(3)(B) da ESEA)? Observe que os resultados de um aluno podem ser incluídos no subgrupo de alunos de inglês por no máximo quatro anos após o aluno deixar de ser identificado como aluno de inglês. </w:t>
      </w:r>
    </w:p>
    <w:p w14:paraId="639BAD51" w14:textId="77777777" w:rsidR="002D6E87" w:rsidRPr="00CC1CB4" w:rsidRDefault="00000000" w:rsidP="006966A0">
      <w:pPr>
        <w:pStyle w:val="blue"/>
        <w:spacing w:after="0"/>
        <w:rPr>
          <w:rStyle w:val="Boxstatus"/>
          <w:rFonts w:ascii="Times New Roman" w:hAnsi="Times New Roman"/>
          <w:color w:val="244061" w:themeColor="accent1" w:themeShade="80"/>
          <w:lang w:val="es-ES"/>
        </w:rPr>
      </w:pPr>
      <w:r>
        <w:rPr>
          <w:rFonts w:ascii="Segoe UI Symbol" w:eastAsia="Segoe UI Symbol" w:hAnsi="Segoe UI Symbol" w:cs="Segoe UI Symbol"/>
          <w:lang w:val="pt-BR"/>
        </w:rPr>
        <w:t>☒</w:t>
      </w:r>
      <w:r>
        <w:rPr>
          <w:rFonts w:ascii="Cambria" w:eastAsia="Cambria" w:hAnsi="Cambria"/>
          <w:lang w:val="pt-BR"/>
        </w:rPr>
        <w:t xml:space="preserve"> </w:t>
      </w:r>
      <w:r>
        <w:rPr>
          <w:rFonts w:ascii="Times New Roman" w:eastAsia="Times New Roman" w:hAnsi="Times New Roman"/>
          <w:lang w:val="pt-BR"/>
        </w:rPr>
        <w:t>Sim [caixa marcada]</w:t>
      </w:r>
    </w:p>
    <w:p w14:paraId="6654E0D4" w14:textId="77777777" w:rsidR="00B9612F" w:rsidRPr="00CC1CB4" w:rsidRDefault="00000000" w:rsidP="00B9612F">
      <w:pPr>
        <w:pStyle w:val="EndUSED"/>
        <w:rPr>
          <w:rStyle w:val="NJDOEResponse"/>
          <w:lang w:val="es-ES"/>
        </w:rPr>
      </w:pPr>
      <w:r>
        <w:rPr>
          <w:rFonts w:eastAsia="Times New Roman"/>
          <w:color w:val="FFFFFF"/>
          <w:szCs w:val="4"/>
          <w:lang w:val="pt-BR"/>
        </w:rPr>
        <w:t>[finalizar texto do USED]</w:t>
      </w:r>
    </w:p>
    <w:p w14:paraId="6142199A" w14:textId="77777777" w:rsidR="001A4E6E" w:rsidRPr="00CC1CB4" w:rsidRDefault="00000000" w:rsidP="00614001">
      <w:pPr>
        <w:spacing w:before="240"/>
        <w:rPr>
          <w:rFonts w:cs="Times New Roman"/>
          <w:color w:val="365F91" w:themeColor="accent1" w:themeShade="BF"/>
          <w:lang w:val="es-ES"/>
        </w:rPr>
      </w:pPr>
      <w:r>
        <w:rPr>
          <w:rStyle w:val="NJDOEResponse"/>
          <w:rFonts w:eastAsia="Times New Roman"/>
          <w:color w:val="365F91"/>
          <w:lang w:val="pt-BR"/>
        </w:rPr>
        <w:t>[iniciar a resposta do NJDOE]</w:t>
      </w:r>
    </w:p>
    <w:p w14:paraId="3FDD1B10" w14:textId="77777777" w:rsidR="001A4E6E" w:rsidRPr="00CC1CB4" w:rsidRDefault="00000000" w:rsidP="0077652B">
      <w:pPr>
        <w:pStyle w:val="4"/>
        <w:rPr>
          <w:lang w:val="es-ES"/>
        </w:rPr>
      </w:pPr>
      <w:bookmarkStart w:id="68" w:name="_Toc199403686"/>
      <w:r>
        <w:rPr>
          <w:rFonts w:ascii="Cambria" w:eastAsia="Cambria" w:hAnsi="Cambria" w:cs="Arial"/>
          <w:szCs w:val="24"/>
          <w:lang w:val="pt-BR"/>
        </w:rPr>
        <w:t>Realização acadêmica (proficiência) e progresso acadêmico (crescimento)</w:t>
      </w:r>
      <w:bookmarkEnd w:id="68"/>
      <w:r>
        <w:rPr>
          <w:rFonts w:ascii="Cambria" w:eastAsia="Cambria" w:hAnsi="Cambria" w:cs="Arial"/>
          <w:szCs w:val="24"/>
          <w:lang w:val="pt-BR"/>
        </w:rPr>
        <w:t xml:space="preserve"> </w:t>
      </w:r>
    </w:p>
    <w:p w14:paraId="206400CB" w14:textId="77777777" w:rsidR="001A4E6E" w:rsidRPr="00CC1CB4" w:rsidRDefault="00000000" w:rsidP="6B71CBC4">
      <w:pPr>
        <w:rPr>
          <w:rFonts w:cs="Times New Roman"/>
          <w:lang w:val="es-ES"/>
        </w:rPr>
      </w:pPr>
      <w:r>
        <w:rPr>
          <w:rFonts w:eastAsia="Times New Roman" w:cs="Times New Roman"/>
          <w:lang w:val="pt-BR"/>
        </w:rPr>
        <w:t>Com relação a um aluno previamente identificado como aluno multilíngue, e por não mais de quatro anos após o aluno deixar de ser identificado como um, o NJDOE atribuirá os resultados das avaliações descritas na Seção 1111(b)(2)(B)(v)(I) da ESSA ao grupo de alunos multilíngues.</w:t>
      </w:r>
    </w:p>
    <w:p w14:paraId="377F2644" w14:textId="77777777" w:rsidR="001A4E6E" w:rsidRPr="00CC1CB4" w:rsidRDefault="00000000" w:rsidP="0077652B">
      <w:pPr>
        <w:pStyle w:val="4"/>
        <w:rPr>
          <w:lang w:val="es-ES"/>
        </w:rPr>
      </w:pPr>
      <w:bookmarkStart w:id="69" w:name="_Toc199403687"/>
      <w:r>
        <w:rPr>
          <w:rFonts w:ascii="Cambria" w:eastAsia="Cambria" w:hAnsi="Cambria" w:cs="Arial"/>
          <w:szCs w:val="24"/>
          <w:lang w:val="pt-BR"/>
        </w:rPr>
        <w:t>Taxa de formação</w:t>
      </w:r>
      <w:bookmarkEnd w:id="69"/>
    </w:p>
    <w:p w14:paraId="23EBD339" w14:textId="77777777" w:rsidR="001A4E6E" w:rsidRPr="00CC1CB4" w:rsidRDefault="00000000" w:rsidP="001A4E6E">
      <w:pPr>
        <w:rPr>
          <w:lang w:val="es-ES"/>
        </w:rPr>
      </w:pPr>
      <w:r>
        <w:rPr>
          <w:rFonts w:eastAsia="Times New Roman" w:cs="Times New Roman"/>
          <w:lang w:val="pt-BR"/>
        </w:rPr>
        <w:t>Os alunos serão incluídos no cálculo da taxa de formação como parte do grupo de alunos multilíngues se forem identificados como alunos multilíngues a qualquer momento enquanto estiverem no ensino médio.</w:t>
      </w:r>
    </w:p>
    <w:p w14:paraId="2913075A" w14:textId="77777777" w:rsidR="00C824DB" w:rsidRPr="00CC1CB4" w:rsidRDefault="00000000" w:rsidP="00C824DB">
      <w:pPr>
        <w:spacing w:line="259" w:lineRule="auto"/>
        <w:rPr>
          <w:rStyle w:val="NJDOEResponse"/>
          <w:lang w:val="es-ES"/>
        </w:rPr>
      </w:pPr>
      <w:r>
        <w:rPr>
          <w:rStyle w:val="NJDOEResponse"/>
          <w:rFonts w:eastAsia="Times New Roman"/>
          <w:color w:val="365F91"/>
          <w:lang w:val="pt-BR"/>
        </w:rPr>
        <w:t>[finalizar resposta do NJDOE]</w:t>
      </w:r>
    </w:p>
    <w:p w14:paraId="5A0DD2C6" w14:textId="77777777" w:rsidR="00B9612F" w:rsidRPr="00CC1CB4" w:rsidRDefault="00000000" w:rsidP="00B9612F">
      <w:pPr>
        <w:pStyle w:val="BeginUSED"/>
        <w:rPr>
          <w:rStyle w:val="NJDOEResponse"/>
          <w:lang w:val="es-ES"/>
        </w:rPr>
      </w:pPr>
      <w:r>
        <w:rPr>
          <w:rFonts w:eastAsia="Times New Roman"/>
          <w:color w:val="FFFFFF"/>
          <w:szCs w:val="4"/>
          <w:lang w:val="pt-BR"/>
        </w:rPr>
        <w:t>[iniciar o texto do USED]</w:t>
      </w:r>
    </w:p>
    <w:p w14:paraId="5F5BCFEB" w14:textId="77777777" w:rsidR="006966A0" w:rsidRPr="00CC1CB4" w:rsidRDefault="00000000" w:rsidP="000D30E0">
      <w:pPr>
        <w:pStyle w:val="blue"/>
        <w:numPr>
          <w:ilvl w:val="0"/>
          <w:numId w:val="205"/>
        </w:numPr>
        <w:rPr>
          <w:lang w:val="es-ES"/>
        </w:rPr>
      </w:pPr>
      <w:r>
        <w:rPr>
          <w:rFonts w:ascii="Cambria" w:eastAsia="Cambria" w:hAnsi="Cambria"/>
          <w:lang w:val="pt-BR"/>
        </w:rPr>
        <w:t xml:space="preserve">Se aplicável, escolha uma das seguintes opções para alunos de inglês recém-chegados no estado: </w:t>
      </w:r>
    </w:p>
    <w:p w14:paraId="604449FA" w14:textId="77777777" w:rsidR="006966A0" w:rsidRPr="00CC1CB4" w:rsidRDefault="00000000" w:rsidP="000D30E0">
      <w:pPr>
        <w:pStyle w:val="blue"/>
        <w:ind w:left="1080"/>
        <w:rPr>
          <w:lang w:val="es-ES"/>
        </w:rPr>
      </w:pPr>
      <w:r>
        <w:rPr>
          <w:rFonts w:ascii="Segoe UI Symbol" w:eastAsia="Segoe UI Symbol" w:hAnsi="Segoe UI Symbol" w:cs="Segoe UI Symbol"/>
          <w:lang w:val="pt-BR"/>
        </w:rPr>
        <w:t xml:space="preserve">☒ </w:t>
      </w:r>
      <w:r>
        <w:rPr>
          <w:rFonts w:ascii="Cambria" w:eastAsia="Cambria" w:hAnsi="Cambria"/>
          <w:lang w:val="pt-BR"/>
        </w:rPr>
        <w:t>Aplicar a exceção na seção 1111(b)(3)(A)(i) [caixa marcada] da ESEA;</w:t>
      </w:r>
    </w:p>
    <w:p w14:paraId="36D6F355" w14:textId="77777777" w:rsidR="006966A0" w:rsidRPr="00CC1CB4" w:rsidRDefault="00000000" w:rsidP="000D30E0">
      <w:pPr>
        <w:pStyle w:val="blue"/>
        <w:ind w:left="1080"/>
        <w:rPr>
          <w:lang w:val="es-ES"/>
        </w:rPr>
      </w:pPr>
      <w:r>
        <w:rPr>
          <w:rFonts w:ascii="Segoe UI Symbol" w:eastAsia="Segoe UI Symbol" w:hAnsi="Segoe UI Symbol" w:cs="Segoe UI Symbol"/>
          <w:lang w:val="pt-BR"/>
        </w:rPr>
        <w:t xml:space="preserve">☐ </w:t>
      </w:r>
      <w:r>
        <w:rPr>
          <w:rFonts w:ascii="Cambria" w:eastAsia="Cambria" w:hAnsi="Cambria"/>
          <w:lang w:val="pt-BR"/>
        </w:rPr>
        <w:t>Aplicar a exceção na seção 1111(b)(3)(A)(ii) [caixa não marcada] da ESEA;</w:t>
      </w:r>
    </w:p>
    <w:p w14:paraId="6F41D2DA" w14:textId="77777777" w:rsidR="002D6E87" w:rsidRPr="00CC1CB4" w:rsidRDefault="00000000" w:rsidP="000D30E0">
      <w:pPr>
        <w:pStyle w:val="blue"/>
        <w:ind w:left="1368" w:hanging="288"/>
        <w:rPr>
          <w:lang w:val="es-ES"/>
        </w:rPr>
      </w:pPr>
      <w:r>
        <w:rPr>
          <w:rFonts w:ascii="Segoe UI Symbol" w:eastAsia="Segoe UI Symbol" w:hAnsi="Segoe UI Symbol" w:cs="Segoe UI Symbol"/>
          <w:lang w:val="pt-BR"/>
        </w:rPr>
        <w:t xml:space="preserve">☐ </w:t>
      </w:r>
      <w:r>
        <w:rPr>
          <w:rFonts w:ascii="Cambria" w:eastAsia="Cambria" w:hAnsi="Cambria"/>
          <w:lang w:val="pt-BR"/>
        </w:rPr>
        <w:t>Aplicar a exceção na seção 1111(b)(3)(A)(i) da ESEA ou na seção 1111(b)(3)(A)(ii) da ESEA. Se esta opção estiver selecionada, descreva como o estado escolherá qual exceção se aplica a um aluno de inglês recém-chegado. [caixa desmarcada]</w:t>
      </w:r>
    </w:p>
    <w:p w14:paraId="4B42E044" w14:textId="77777777" w:rsidR="00B9612F" w:rsidRPr="00CC1CB4" w:rsidRDefault="00000000" w:rsidP="00B9612F">
      <w:pPr>
        <w:pStyle w:val="EndUSED"/>
        <w:rPr>
          <w:lang w:val="es-ES"/>
        </w:rPr>
      </w:pPr>
      <w:r>
        <w:rPr>
          <w:rFonts w:eastAsia="Times New Roman"/>
          <w:color w:val="FFFFFF"/>
          <w:szCs w:val="4"/>
          <w:lang w:val="pt-BR"/>
        </w:rPr>
        <w:t xml:space="preserve">[finalizar texto do USED] </w:t>
      </w:r>
    </w:p>
    <w:p w14:paraId="5FA28045" w14:textId="77777777" w:rsidR="001A4E6E" w:rsidRPr="00CC1CB4" w:rsidRDefault="00000000" w:rsidP="002F0C61">
      <w:pPr>
        <w:spacing w:before="240"/>
        <w:rPr>
          <w:rFonts w:cs="Times New Roman"/>
          <w:color w:val="365F91" w:themeColor="accent1" w:themeShade="BF"/>
          <w:lang w:val="es-ES"/>
        </w:rPr>
      </w:pPr>
      <w:r>
        <w:rPr>
          <w:rStyle w:val="NJDOEResponse"/>
          <w:rFonts w:eastAsia="Times New Roman"/>
          <w:color w:val="365F91"/>
          <w:lang w:val="pt-BR"/>
        </w:rPr>
        <w:t>[iniciar a resposta do NJDOE]</w:t>
      </w:r>
    </w:p>
    <w:p w14:paraId="781FC2A9" w14:textId="77777777" w:rsidR="00DD4062" w:rsidRPr="00CC1CB4" w:rsidRDefault="00000000" w:rsidP="00DD4062">
      <w:pPr>
        <w:rPr>
          <w:rFonts w:cs="Times New Roman"/>
          <w:lang w:val="es-ES"/>
        </w:rPr>
      </w:pPr>
      <w:r>
        <w:rPr>
          <w:rFonts w:eastAsia="Times New Roman" w:cs="Times New Roman"/>
          <w:lang w:val="pt-BR"/>
        </w:rPr>
        <w:t>Todos os alunos multilíngues nos anos 3 a 12 participarão da avaliação estadual em ELA e matemática no nível de ano apropriado para a idade ou na avaliação de final de curso apropriada, com a seguinte exceção: Qualquer aluno multilíngue que se matricular em uma escola dos EUA após 1º de junho do ano letivo anterior estará isento de uma administração da avaliação de ELA descrita na Seção 1111(b)(2)(B)(v)(I) da ESSA no ano atual.</w:t>
      </w:r>
    </w:p>
    <w:p w14:paraId="757BC74D" w14:textId="77777777" w:rsidR="00440ED7" w:rsidRPr="00CC1CB4" w:rsidRDefault="00000000" w:rsidP="6B71CBC4">
      <w:pPr>
        <w:rPr>
          <w:rFonts w:cs="Times New Roman"/>
          <w:lang w:val="es-ES"/>
        </w:rPr>
      </w:pPr>
      <w:r>
        <w:rPr>
          <w:rFonts w:eastAsia="Times New Roman" w:cs="Times New Roman"/>
          <w:lang w:val="pt-BR"/>
        </w:rPr>
        <w:lastRenderedPageBreak/>
        <w:t>Além disso, para qualquer aluno, não apenas alunos multilíngues, que se matricularem em uma escola pela primeira vez após 1º de dezembro de um ano letivo, o NJDOE excluirá os resultados das avaliações de ELA e matemática descritas na Seção 1111(b)(2)(B)(v)(I) da ESSA das medidas usadas para calcular o desempenho de uma escola nos indicadores de realização acadêmica e crescimento acadêmico.</w:t>
      </w:r>
    </w:p>
    <w:p w14:paraId="2899C332" w14:textId="77777777" w:rsidR="00147D26" w:rsidRPr="00CC1CB4" w:rsidRDefault="00000000" w:rsidP="6B71CBC4">
      <w:pPr>
        <w:rPr>
          <w:rStyle w:val="NJDOEResponse"/>
          <w:lang w:val="es-ES"/>
        </w:rPr>
      </w:pPr>
      <w:r>
        <w:rPr>
          <w:rStyle w:val="NJDOEResponse"/>
          <w:rFonts w:eastAsia="Times New Roman"/>
          <w:color w:val="365F91"/>
          <w:lang w:val="pt-BR"/>
        </w:rPr>
        <w:t>[finalizar resposta do NJDOE]</w:t>
      </w:r>
    </w:p>
    <w:p w14:paraId="2DE21022" w14:textId="77777777" w:rsidR="00734676" w:rsidRPr="00CC1CB4" w:rsidRDefault="00000000" w:rsidP="00734676">
      <w:pPr>
        <w:pStyle w:val="BeginUSED"/>
        <w:rPr>
          <w:rFonts w:cs="Times New Roman"/>
          <w:b/>
          <w:i/>
          <w:color w:val="244061" w:themeColor="accent1" w:themeShade="80"/>
          <w:sz w:val="28"/>
          <w:lang w:val="es-ES"/>
        </w:rPr>
      </w:pPr>
      <w:r>
        <w:rPr>
          <w:rFonts w:eastAsia="Times New Roman"/>
          <w:color w:val="FFFFFF"/>
          <w:szCs w:val="4"/>
          <w:lang w:val="pt-BR"/>
        </w:rPr>
        <w:t>[iniciar o texto do USED]</w:t>
      </w:r>
    </w:p>
    <w:p w14:paraId="5491C051" w14:textId="77777777" w:rsidR="00F72743" w:rsidRPr="00CC1CB4" w:rsidRDefault="00000000" w:rsidP="007624DD">
      <w:pPr>
        <w:pStyle w:val="3"/>
        <w:ind w:left="432"/>
        <w:rPr>
          <w:lang w:val="es-ES"/>
        </w:rPr>
      </w:pPr>
      <w:bookmarkStart w:id="70" w:name="_Toc211004639"/>
      <w:r>
        <w:rPr>
          <w:rFonts w:ascii="Cambria" w:eastAsia="Cambria" w:hAnsi="Cambria" w:cs="Times New Roman"/>
          <w:szCs w:val="28"/>
          <w:lang w:val="pt-BR"/>
        </w:rPr>
        <w:t xml:space="preserve">ii. Grupo mínimo de </w:t>
      </w:r>
      <w:r>
        <w:rPr>
          <w:rFonts w:ascii="Cambria" w:eastAsia="Cambria" w:hAnsi="Cambria" w:cs="Times New Roman"/>
          <w:i/>
          <w:iCs/>
          <w:szCs w:val="28"/>
          <w:lang w:val="pt-BR"/>
        </w:rPr>
        <w:t>N</w:t>
      </w:r>
      <w:r>
        <w:rPr>
          <w:rFonts w:ascii="Cambria" w:eastAsia="Cambria" w:hAnsi="Cambria" w:cs="Times New Roman"/>
          <w:szCs w:val="28"/>
          <w:lang w:val="pt-BR"/>
        </w:rPr>
        <w:t xml:space="preserve"> (seção ESEA 1111(c)(3)(A))</w:t>
      </w:r>
      <w:bookmarkEnd w:id="70"/>
    </w:p>
    <w:p w14:paraId="768BC6B4" w14:textId="77777777" w:rsidR="00231500" w:rsidRPr="00CC1CB4" w:rsidRDefault="00000000" w:rsidP="00734676">
      <w:pPr>
        <w:pStyle w:val="EndUSED"/>
        <w:rPr>
          <w:rStyle w:val="NJDOEResponse"/>
          <w:lang w:val="es-ES"/>
        </w:rPr>
      </w:pPr>
      <w:r>
        <w:rPr>
          <w:rFonts w:eastAsia="Times New Roman"/>
          <w:color w:val="FFFFFF"/>
          <w:szCs w:val="4"/>
          <w:lang w:val="pt-BR"/>
        </w:rPr>
        <w:t>[finalizar texto do USED]</w:t>
      </w:r>
    </w:p>
    <w:p w14:paraId="6B52DB14" w14:textId="77777777" w:rsidR="00231500" w:rsidRPr="00CC1CB4" w:rsidRDefault="00000000" w:rsidP="008E6D19">
      <w:pPr>
        <w:spacing w:before="240"/>
        <w:rPr>
          <w:rStyle w:val="NJDOEResponse"/>
          <w:lang w:val="es-ES"/>
        </w:rPr>
      </w:pPr>
      <w:r>
        <w:rPr>
          <w:rStyle w:val="NJDOEResponse"/>
          <w:rFonts w:eastAsia="Times New Roman"/>
          <w:color w:val="365F91"/>
          <w:lang w:val="pt-BR"/>
        </w:rPr>
        <w:t>[iniciar a resposta do NJDOE]</w:t>
      </w:r>
    </w:p>
    <w:p w14:paraId="64AB797C" w14:textId="77777777" w:rsidR="00496FB4" w:rsidRPr="00CC1CB4" w:rsidRDefault="00000000" w:rsidP="00496FB4">
      <w:pPr>
        <w:rPr>
          <w:rFonts w:eastAsia="Times New Roman" w:cs="Times New Roman"/>
          <w:lang w:val="es-ES"/>
        </w:rPr>
      </w:pPr>
      <w:r>
        <w:rPr>
          <w:rFonts w:eastAsia="Times New Roman" w:cs="Times New Roman"/>
          <w:lang w:val="pt-BR"/>
        </w:rPr>
        <w:t xml:space="preserve">O NJDOE não está propondo mudanças substanciais em suas políticas de responsabilidade de grupo de </w:t>
      </w:r>
      <w:r>
        <w:rPr>
          <w:rFonts w:eastAsia="Times New Roman" w:cs="Times New Roman"/>
          <w:i/>
          <w:iCs/>
          <w:lang w:val="pt-BR"/>
        </w:rPr>
        <w:t>n</w:t>
      </w:r>
      <w:r>
        <w:rPr>
          <w:rFonts w:eastAsia="Times New Roman" w:cs="Times New Roman"/>
          <w:lang w:val="pt-BR"/>
        </w:rPr>
        <w:t xml:space="preserve">. As diferenças entre esta seção e a Seção 4B do Plano estadual da ESSA de 2017 podem ser atribuídas à formatação, alterações de modelo e nomenclatura atualizada, conforme descrito acima. Além disso, as políticas e decisões nesta seção não foram reconsideradas durante o período de revisão de 2023-2024. </w:t>
      </w:r>
    </w:p>
    <w:p w14:paraId="2160878E" w14:textId="77777777" w:rsidR="00B036BF" w:rsidRPr="00CC1CB4" w:rsidRDefault="00000000" w:rsidP="00D2035F">
      <w:pPr>
        <w:spacing w:line="259" w:lineRule="auto"/>
        <w:rPr>
          <w:rStyle w:val="NJDOEResponse"/>
          <w:lang w:val="es-ES"/>
        </w:rPr>
      </w:pPr>
      <w:r>
        <w:rPr>
          <w:rStyle w:val="NJDOEResponse"/>
          <w:rFonts w:eastAsia="Times New Roman"/>
          <w:color w:val="365F91"/>
          <w:lang w:val="pt-BR"/>
        </w:rPr>
        <w:t>[finalizar resposta do NJDOE]</w:t>
      </w:r>
    </w:p>
    <w:p w14:paraId="0F3D0F95" w14:textId="77777777" w:rsidR="00FF3564" w:rsidRPr="00CC1CB4" w:rsidRDefault="00000000" w:rsidP="00531D84">
      <w:pPr>
        <w:pStyle w:val="BeginUSED"/>
        <w:rPr>
          <w:rFonts w:cs="Times New Roman"/>
          <w:color w:val="183C5C"/>
          <w:lang w:val="es-ES"/>
        </w:rPr>
      </w:pPr>
      <w:r>
        <w:rPr>
          <w:rFonts w:eastAsia="Times New Roman"/>
          <w:color w:val="FFFFFF"/>
          <w:szCs w:val="4"/>
          <w:lang w:val="pt-BR"/>
        </w:rPr>
        <w:t xml:space="preserve">[iniciar o texto do USED] </w:t>
      </w:r>
    </w:p>
    <w:p w14:paraId="348B7510" w14:textId="77777777" w:rsidR="00FB037E" w:rsidRPr="00CC1CB4" w:rsidRDefault="00000000" w:rsidP="001E17BA">
      <w:pPr>
        <w:pStyle w:val="blue"/>
        <w:numPr>
          <w:ilvl w:val="0"/>
          <w:numId w:val="206"/>
        </w:numPr>
        <w:rPr>
          <w:lang w:val="es-ES"/>
        </w:rPr>
      </w:pPr>
      <w:r>
        <w:rPr>
          <w:rFonts w:ascii="Cambria" w:eastAsia="Cambria" w:hAnsi="Cambria"/>
          <w:lang w:val="pt-BR"/>
        </w:rPr>
        <w:t>Fornecer o número mínimo de alunos que o estado determinar que são necessários para serem incluídos no cumprimento das exigências de quaisquer disposições nos termos do Título I, Parte A da ESEA que exijam a desagregação de informações por cada subgrupo de alunos para fins de responsabilidade.</w:t>
      </w:r>
    </w:p>
    <w:p w14:paraId="6516A78C" w14:textId="77777777" w:rsidR="00531D84" w:rsidRPr="00CC1CB4" w:rsidRDefault="00000000" w:rsidP="00531D84">
      <w:pPr>
        <w:pStyle w:val="EndUSED"/>
        <w:rPr>
          <w:rStyle w:val="NJDOEResponse"/>
          <w:lang w:val="es-ES"/>
        </w:rPr>
      </w:pPr>
      <w:r>
        <w:rPr>
          <w:rFonts w:eastAsia="Times New Roman"/>
          <w:color w:val="FFFFFF"/>
          <w:szCs w:val="4"/>
          <w:lang w:val="pt-BR"/>
        </w:rPr>
        <w:t>[finalizar texto do USED]</w:t>
      </w:r>
    </w:p>
    <w:p w14:paraId="3126A3AA" w14:textId="77777777" w:rsidR="00BE2D0C" w:rsidRPr="00CC1CB4" w:rsidRDefault="00000000" w:rsidP="008E6D19">
      <w:pPr>
        <w:spacing w:before="240" w:line="259" w:lineRule="auto"/>
        <w:rPr>
          <w:rStyle w:val="NJDOEResponse"/>
          <w:lang w:val="es-ES"/>
        </w:rPr>
      </w:pPr>
      <w:r>
        <w:rPr>
          <w:rStyle w:val="NJDOEResponse"/>
          <w:rFonts w:eastAsia="Times New Roman"/>
          <w:color w:val="365F91"/>
          <w:lang w:val="pt-BR"/>
        </w:rPr>
        <w:t>[iniciar a resposta do NJDOE]</w:t>
      </w:r>
    </w:p>
    <w:p w14:paraId="326189A0" w14:textId="77777777" w:rsidR="00BE2D0C" w:rsidRPr="00CC1CB4" w:rsidRDefault="00000000" w:rsidP="6B71CBC4">
      <w:pPr>
        <w:rPr>
          <w:rFonts w:cs="Times New Roman"/>
          <w:lang w:val="es-ES"/>
        </w:rPr>
      </w:pPr>
      <w:r>
        <w:rPr>
          <w:rFonts w:eastAsia="Times New Roman" w:cs="Times New Roman"/>
          <w:lang w:val="pt-BR"/>
        </w:rPr>
        <w:t xml:space="preserve">Grupo mínimo de </w:t>
      </w:r>
      <w:r>
        <w:rPr>
          <w:rFonts w:eastAsia="Times New Roman" w:cs="Times New Roman"/>
          <w:i/>
          <w:iCs/>
          <w:lang w:val="pt-BR"/>
        </w:rPr>
        <w:t>n</w:t>
      </w:r>
      <w:r>
        <w:rPr>
          <w:rFonts w:eastAsia="Times New Roman" w:cs="Times New Roman"/>
          <w:lang w:val="pt-BR"/>
        </w:rPr>
        <w:t xml:space="preserve"> para responsabilidade escolar: 20</w:t>
      </w:r>
    </w:p>
    <w:p w14:paraId="62E982EF" w14:textId="77777777" w:rsidR="00145775" w:rsidRPr="00CC1CB4" w:rsidRDefault="00000000" w:rsidP="6B71CBC4">
      <w:pPr>
        <w:rPr>
          <w:rFonts w:cs="Times New Roman"/>
          <w:lang w:val="es-ES"/>
        </w:rPr>
      </w:pPr>
      <w:r>
        <w:rPr>
          <w:rFonts w:eastAsia="Times New Roman" w:cs="Times New Roman"/>
          <w:lang w:val="pt-BR"/>
        </w:rPr>
        <w:t xml:space="preserve">Conforme exigido pela ESSA, o limite de </w:t>
      </w:r>
      <w:r>
        <w:rPr>
          <w:rFonts w:eastAsia="Times New Roman" w:cs="Times New Roman"/>
          <w:i/>
          <w:iCs/>
          <w:lang w:val="pt-BR"/>
        </w:rPr>
        <w:t>n</w:t>
      </w:r>
      <w:r>
        <w:rPr>
          <w:rFonts w:eastAsia="Times New Roman" w:cs="Times New Roman"/>
          <w:lang w:val="pt-BR"/>
        </w:rPr>
        <w:t>=20 do NJDOE será usado para todos os alunos e todos os grupos de alunos em todas as escolas e é o mesmo para todos os indicadores.</w:t>
      </w:r>
    </w:p>
    <w:p w14:paraId="3350F36D" w14:textId="77777777" w:rsidR="00A73AEC" w:rsidRPr="00CC1CB4" w:rsidRDefault="00000000" w:rsidP="00570DD0">
      <w:pPr>
        <w:spacing w:line="259" w:lineRule="auto"/>
        <w:rPr>
          <w:rStyle w:val="NJDOEResponse"/>
          <w:lang w:val="es-ES"/>
        </w:rPr>
      </w:pPr>
      <w:r>
        <w:rPr>
          <w:rStyle w:val="NJDOEResponse"/>
          <w:rFonts w:eastAsia="Times New Roman"/>
          <w:color w:val="365F91"/>
          <w:lang w:val="pt-BR"/>
        </w:rPr>
        <w:t>[finalizar resposta do NJDOE]</w:t>
      </w:r>
    </w:p>
    <w:p w14:paraId="439765F4" w14:textId="77777777" w:rsidR="00FB037E" w:rsidRPr="00CC1CB4" w:rsidRDefault="00000000" w:rsidP="00531D84">
      <w:pPr>
        <w:pStyle w:val="BeginUSED"/>
        <w:rPr>
          <w:rFonts w:cs="Times New Roman"/>
          <w:color w:val="365F91" w:themeColor="accent1" w:themeShade="BF"/>
          <w:lang w:val="es-ES"/>
        </w:rPr>
      </w:pPr>
      <w:r>
        <w:rPr>
          <w:rFonts w:eastAsia="Times New Roman"/>
          <w:color w:val="FFFFFF"/>
          <w:szCs w:val="4"/>
          <w:lang w:val="pt-BR"/>
        </w:rPr>
        <w:t>[iniciar o texto do USED]</w:t>
      </w:r>
    </w:p>
    <w:p w14:paraId="222F14D0" w14:textId="77777777" w:rsidR="00FB037E" w:rsidRPr="00CC1CB4" w:rsidRDefault="00000000" w:rsidP="001E17BA">
      <w:pPr>
        <w:pStyle w:val="blue"/>
        <w:numPr>
          <w:ilvl w:val="0"/>
          <w:numId w:val="206"/>
        </w:numPr>
        <w:rPr>
          <w:lang w:val="es-ES"/>
        </w:rPr>
      </w:pPr>
      <w:r>
        <w:rPr>
          <w:rFonts w:ascii="Cambria" w:eastAsia="Cambria" w:hAnsi="Cambria"/>
          <w:lang w:val="pt-BR"/>
        </w:rPr>
        <w:t xml:space="preserve">Descreva como o número mínimo de alunos é estatisticamente sólido. </w:t>
      </w:r>
    </w:p>
    <w:p w14:paraId="033E3ADF" w14:textId="77777777" w:rsidR="00531D84" w:rsidRPr="00CC1CB4" w:rsidRDefault="00000000" w:rsidP="00531D84">
      <w:pPr>
        <w:pStyle w:val="EndUSED"/>
        <w:rPr>
          <w:rStyle w:val="NJDOEResponse"/>
          <w:lang w:val="es-ES"/>
        </w:rPr>
      </w:pPr>
      <w:r>
        <w:rPr>
          <w:rFonts w:eastAsia="Times New Roman"/>
          <w:color w:val="FFFFFF"/>
          <w:szCs w:val="4"/>
          <w:lang w:val="pt-BR"/>
        </w:rPr>
        <w:t>[finalizar texto do USED]</w:t>
      </w:r>
    </w:p>
    <w:p w14:paraId="05651F2F" w14:textId="77777777" w:rsidR="00F45563" w:rsidRPr="00CC1CB4" w:rsidRDefault="00000000" w:rsidP="008E6D19">
      <w:pPr>
        <w:spacing w:before="240" w:line="259" w:lineRule="auto"/>
        <w:rPr>
          <w:rStyle w:val="NJDOEResponse"/>
          <w:lang w:val="es-ES"/>
        </w:rPr>
      </w:pPr>
      <w:r>
        <w:rPr>
          <w:rStyle w:val="NJDOEResponse"/>
          <w:rFonts w:eastAsia="Times New Roman"/>
          <w:color w:val="365F91"/>
          <w:lang w:val="pt-BR"/>
        </w:rPr>
        <w:t>[iniciar a resposta do NJDOE]</w:t>
      </w:r>
    </w:p>
    <w:p w14:paraId="1369FAF6" w14:textId="77777777" w:rsidR="00521848" w:rsidRPr="00CC1CB4" w:rsidRDefault="00000000" w:rsidP="6B71CBC4">
      <w:pPr>
        <w:rPr>
          <w:rFonts w:cs="Times New Roman"/>
          <w:lang w:val="es-ES"/>
        </w:rPr>
      </w:pPr>
      <w:r>
        <w:rPr>
          <w:rFonts w:eastAsia="Times New Roman" w:cs="Times New Roman"/>
          <w:lang w:val="pt-BR"/>
        </w:rPr>
        <w:t xml:space="preserve">O NJDOE e suas partes interessadas afirmam que é fundamental concentrar os esforços coletivos de Nova Jersey no fechamento das lacunas de desempenho entre os grupos de alunos. Para garantir que cada escola esteja focada nesse esforço e responsabilizada por todos os alunos, o NJDOE selecionou o grupo mínimo de </w:t>
      </w:r>
      <w:r>
        <w:rPr>
          <w:rFonts w:eastAsia="Times New Roman" w:cs="Times New Roman"/>
          <w:i/>
          <w:iCs/>
          <w:lang w:val="pt-BR"/>
        </w:rPr>
        <w:t>n</w:t>
      </w:r>
      <w:r>
        <w:rPr>
          <w:rFonts w:eastAsia="Times New Roman" w:cs="Times New Roman"/>
          <w:lang w:val="pt-BR"/>
        </w:rPr>
        <w:t xml:space="preserve"> que ainda fornecerá resultados estatisticamente confiáveis. Como todas as medidas devem usar o </w:t>
      </w:r>
      <w:r>
        <w:rPr>
          <w:rFonts w:eastAsia="Times New Roman" w:cs="Times New Roman"/>
          <w:lang w:val="pt-BR"/>
        </w:rPr>
        <w:lastRenderedPageBreak/>
        <w:t xml:space="preserve">mesmo grupo mínimo de </w:t>
      </w:r>
      <w:r>
        <w:rPr>
          <w:rFonts w:eastAsia="Times New Roman" w:cs="Times New Roman"/>
          <w:i/>
          <w:iCs/>
          <w:lang w:val="pt-BR"/>
        </w:rPr>
        <w:t>n</w:t>
      </w:r>
      <w:r>
        <w:rPr>
          <w:rFonts w:eastAsia="Times New Roman" w:cs="Times New Roman"/>
          <w:lang w:val="pt-BR"/>
        </w:rPr>
        <w:t xml:space="preserve">, o NJDOE baseou o grupo de </w:t>
      </w:r>
      <w:r>
        <w:rPr>
          <w:rFonts w:eastAsia="Times New Roman" w:cs="Times New Roman"/>
          <w:i/>
          <w:iCs/>
          <w:lang w:val="pt-BR"/>
        </w:rPr>
        <w:t>n</w:t>
      </w:r>
      <w:r>
        <w:rPr>
          <w:rFonts w:eastAsia="Times New Roman" w:cs="Times New Roman"/>
          <w:lang w:val="pt-BR"/>
        </w:rPr>
        <w:t xml:space="preserve"> nas análises conduzidas para percentis de crescimento estudantil (student growth percentiles, SGP) porque o SGP é o indicador de responsabilidade escolar da ESSA sujeito à maior flutuação. Os dados do SGP foram analisados como parte da implementação do sistema de avaliação do educador da AchieveNJ usando simulações estatísticas de Monte Carlo. Os resultados indicaram que um grupo mínimo </w:t>
      </w:r>
      <w:r>
        <w:rPr>
          <w:rFonts w:eastAsia="Times New Roman" w:cs="Times New Roman"/>
          <w:i/>
          <w:iCs/>
          <w:lang w:val="pt-BR"/>
        </w:rPr>
        <w:t>n</w:t>
      </w:r>
      <w:r>
        <w:rPr>
          <w:rFonts w:eastAsia="Times New Roman" w:cs="Times New Roman"/>
          <w:lang w:val="pt-BR"/>
        </w:rPr>
        <w:t xml:space="preserve"> de aproximadamente 17 alunos atenderia ao limite mínimo de estabilidade recomendado pelo comitê consultivo técnico do NJDOE. Assim, o NJDOE determinou que 20 seria um grupo mínimo </w:t>
      </w:r>
      <w:r>
        <w:rPr>
          <w:rFonts w:eastAsia="Times New Roman" w:cs="Times New Roman"/>
          <w:i/>
          <w:iCs/>
          <w:lang w:val="pt-BR"/>
        </w:rPr>
        <w:t>n</w:t>
      </w:r>
      <w:r>
        <w:rPr>
          <w:rFonts w:eastAsia="Times New Roman" w:cs="Times New Roman"/>
          <w:lang w:val="pt-BR"/>
        </w:rPr>
        <w:t xml:space="preserve"> apropriado para o SGP. Embora um grupo mínimo de </w:t>
      </w:r>
      <w:r>
        <w:rPr>
          <w:rFonts w:eastAsia="Times New Roman" w:cs="Times New Roman"/>
          <w:i/>
          <w:iCs/>
          <w:lang w:val="pt-BR"/>
        </w:rPr>
        <w:t>n</w:t>
      </w:r>
      <w:r>
        <w:rPr>
          <w:rFonts w:eastAsia="Times New Roman" w:cs="Times New Roman"/>
          <w:lang w:val="pt-BR"/>
        </w:rPr>
        <w:t xml:space="preserve"> menor inclua mais alunos, também sacrificaria a confiabilidade ano a ano. Portanto, um grupo </w:t>
      </w:r>
      <w:r>
        <w:rPr>
          <w:rFonts w:eastAsia="Times New Roman" w:cs="Times New Roman"/>
          <w:i/>
          <w:iCs/>
          <w:lang w:val="pt-BR"/>
        </w:rPr>
        <w:t>n</w:t>
      </w:r>
      <w:r>
        <w:rPr>
          <w:rFonts w:eastAsia="Times New Roman" w:cs="Times New Roman"/>
          <w:lang w:val="pt-BR"/>
        </w:rPr>
        <w:t xml:space="preserve"> de 20 cria o equilíbrio ideal entre confiabilidade e representatividade.</w:t>
      </w:r>
    </w:p>
    <w:p w14:paraId="63CD7244" w14:textId="77777777" w:rsidR="002D6E87" w:rsidRPr="00CC1CB4" w:rsidRDefault="00000000" w:rsidP="00570DD0">
      <w:pPr>
        <w:spacing w:line="259" w:lineRule="auto"/>
        <w:rPr>
          <w:rStyle w:val="NJDOEResponse"/>
          <w:lang w:val="es-ES"/>
        </w:rPr>
      </w:pPr>
      <w:r>
        <w:rPr>
          <w:rStyle w:val="NJDOEResponse"/>
          <w:rFonts w:eastAsia="Times New Roman"/>
          <w:color w:val="365F91"/>
          <w:lang w:val="pt-BR"/>
        </w:rPr>
        <w:t>[finalizar resposta do NJDOE]</w:t>
      </w:r>
    </w:p>
    <w:p w14:paraId="5BA59386" w14:textId="77777777" w:rsidR="00924FD4" w:rsidRPr="00CC1CB4" w:rsidRDefault="00000000" w:rsidP="00531D84">
      <w:pPr>
        <w:pStyle w:val="BeginUSED"/>
        <w:rPr>
          <w:rFonts w:eastAsiaTheme="minorHAnsi" w:cs="Times New Roman"/>
          <w:color w:val="365F91" w:themeColor="accent1" w:themeShade="BF"/>
          <w:lang w:val="es-ES"/>
        </w:rPr>
      </w:pPr>
      <w:r>
        <w:rPr>
          <w:rFonts w:eastAsia="Times New Roman"/>
          <w:color w:val="FFFFFF"/>
          <w:szCs w:val="4"/>
          <w:lang w:val="pt-BR"/>
        </w:rPr>
        <w:t>[iniciar o texto do USED]</w:t>
      </w:r>
    </w:p>
    <w:p w14:paraId="7A1964BA" w14:textId="77777777" w:rsidR="00BB7631" w:rsidRPr="00CC1CB4" w:rsidRDefault="00000000" w:rsidP="001E17BA">
      <w:pPr>
        <w:pStyle w:val="blue"/>
        <w:numPr>
          <w:ilvl w:val="0"/>
          <w:numId w:val="206"/>
        </w:numPr>
        <w:rPr>
          <w:lang w:val="es-ES"/>
        </w:rPr>
      </w:pPr>
      <w:r>
        <w:rPr>
          <w:rFonts w:ascii="Cambria" w:eastAsia="Cambria" w:hAnsi="Cambria"/>
          <w:lang w:val="pt-BR"/>
        </w:rPr>
        <w:t xml:space="preserve">Descreva como o número mínimo de alunos foi determinado pelo estado, incluindo como ele colaborou com professores, diretores, outros líderes escolares, pais e outras partes interessadas ao determinar esse número mínimo. </w:t>
      </w:r>
    </w:p>
    <w:p w14:paraId="3B3A26BC" w14:textId="77777777" w:rsidR="00531D84" w:rsidRPr="00CC1CB4" w:rsidRDefault="00000000" w:rsidP="00531D84">
      <w:pPr>
        <w:pStyle w:val="EndUSED"/>
        <w:rPr>
          <w:rStyle w:val="NJDOEResponse"/>
          <w:rFonts w:eastAsia="Cambria"/>
          <w:lang w:val="es-ES"/>
        </w:rPr>
      </w:pPr>
      <w:r>
        <w:rPr>
          <w:rFonts w:eastAsia="Times New Roman"/>
          <w:color w:val="FFFFFF"/>
          <w:szCs w:val="4"/>
          <w:lang w:val="pt-BR"/>
        </w:rPr>
        <w:t>[finalizar texto do USED]</w:t>
      </w:r>
    </w:p>
    <w:p w14:paraId="40ECDB2E" w14:textId="77777777" w:rsidR="00FA465C" w:rsidRPr="00CC1CB4" w:rsidRDefault="00000000" w:rsidP="00186665">
      <w:pPr>
        <w:spacing w:before="240" w:line="240" w:lineRule="auto"/>
        <w:rPr>
          <w:rFonts w:eastAsia="Aptos" w:cs="Times New Roman"/>
          <w:color w:val="365F91" w:themeColor="accent1" w:themeShade="BF"/>
          <w:lang w:val="es-ES"/>
        </w:rPr>
      </w:pPr>
      <w:r>
        <w:rPr>
          <w:rStyle w:val="NJDOEResponse"/>
          <w:rFonts w:eastAsia="Times New Roman"/>
          <w:color w:val="365F91"/>
          <w:lang w:val="pt-BR"/>
        </w:rPr>
        <w:t>[iniciar a resposta do NJDOE]</w:t>
      </w:r>
    </w:p>
    <w:p w14:paraId="59A1483B" w14:textId="77777777" w:rsidR="00E22B06" w:rsidRPr="00CC1CB4" w:rsidRDefault="00000000" w:rsidP="6B71CBC4">
      <w:pPr>
        <w:rPr>
          <w:rFonts w:cs="Times New Roman"/>
          <w:lang w:val="es-ES"/>
        </w:rPr>
      </w:pPr>
      <w:r>
        <w:rPr>
          <w:rFonts w:eastAsia="Times New Roman" w:cs="Times New Roman"/>
          <w:lang w:val="pt-BR"/>
        </w:rPr>
        <w:t xml:space="preserve">Para garantir que as partes interessadas tivessem a oportunidade de fornecer ao NJDOE informações sobre essa questão, os membros do Grupo Consultivo de Partes Interessadas da ESSA de 2016-2017 tiveram várias oportunidades antes e depois que o NJDOE propôs publicamente um grupo </w:t>
      </w:r>
      <w:r>
        <w:rPr>
          <w:rFonts w:eastAsia="Times New Roman" w:cs="Times New Roman"/>
          <w:i/>
          <w:iCs/>
          <w:lang w:val="pt-BR"/>
        </w:rPr>
        <w:t>n</w:t>
      </w:r>
      <w:r>
        <w:rPr>
          <w:rFonts w:eastAsia="Times New Roman" w:cs="Times New Roman"/>
          <w:lang w:val="pt-BR"/>
        </w:rPr>
        <w:t xml:space="preserve"> de 20 para fazer perguntas, debater entre os membros e fornecer feedback presencial. Além disso, a descrição da proposta foi fornecida publicamente por meio de uma apresentação em PowerPoint de fácil leitura, em webinars ao vivo e gravados, traduzidos para o espanhol e discutidos com pais e educadores em várias conversas em mesas redondas, bem como apresentados aos líderes da LEA em todo o estado. O NJDOE recebeu recomendações de várias organizações, como reduzir ainda mais o grupo </w:t>
      </w:r>
      <w:r>
        <w:rPr>
          <w:rFonts w:eastAsia="Times New Roman" w:cs="Times New Roman"/>
          <w:i/>
          <w:iCs/>
          <w:lang w:val="pt-BR"/>
        </w:rPr>
        <w:t>n</w:t>
      </w:r>
      <w:r>
        <w:rPr>
          <w:rFonts w:eastAsia="Times New Roman" w:cs="Times New Roman"/>
          <w:lang w:val="pt-BR"/>
        </w:rPr>
        <w:t xml:space="preserve"> para 10 ou manter o grupo </w:t>
      </w:r>
      <w:r>
        <w:rPr>
          <w:rFonts w:eastAsia="Times New Roman" w:cs="Times New Roman"/>
          <w:i/>
          <w:iCs/>
          <w:lang w:val="pt-BR"/>
        </w:rPr>
        <w:t>n</w:t>
      </w:r>
      <w:r>
        <w:rPr>
          <w:rFonts w:eastAsia="Times New Roman" w:cs="Times New Roman"/>
          <w:lang w:val="pt-BR"/>
        </w:rPr>
        <w:t xml:space="preserve"> atual de Nova Jersey de 30. Um grupo </w:t>
      </w:r>
      <w:r>
        <w:rPr>
          <w:rFonts w:eastAsia="Times New Roman" w:cs="Times New Roman"/>
          <w:i/>
          <w:iCs/>
          <w:lang w:val="pt-BR"/>
        </w:rPr>
        <w:t>n</w:t>
      </w:r>
      <w:r>
        <w:rPr>
          <w:rFonts w:eastAsia="Times New Roman" w:cs="Times New Roman"/>
          <w:lang w:val="pt-BR"/>
        </w:rPr>
        <w:t xml:space="preserve"> de 20 não apenas representa o equilíbrio ideal entre confiabilidade e representatividade, conforme compartilhado acima, mas também serve como um compromisso razoável em termos de feedback das partes interessadas. </w:t>
      </w:r>
    </w:p>
    <w:p w14:paraId="1B5CD514" w14:textId="77777777" w:rsidR="00E22B06" w:rsidRPr="00CC1CB4" w:rsidRDefault="00000000" w:rsidP="00570DD0">
      <w:pPr>
        <w:spacing w:line="259" w:lineRule="auto"/>
        <w:rPr>
          <w:rStyle w:val="NJDOEResponse"/>
          <w:lang w:val="es-ES"/>
        </w:rPr>
      </w:pPr>
      <w:r>
        <w:rPr>
          <w:rStyle w:val="NJDOEResponse"/>
          <w:rFonts w:eastAsia="Times New Roman"/>
          <w:color w:val="365F91"/>
          <w:lang w:val="pt-BR"/>
        </w:rPr>
        <w:t>[finalizar resposta do NJDOE]</w:t>
      </w:r>
    </w:p>
    <w:p w14:paraId="53672B58" w14:textId="77777777" w:rsidR="00531D84" w:rsidRPr="00CC1CB4" w:rsidRDefault="00000000" w:rsidP="000E3651">
      <w:pPr>
        <w:pStyle w:val="BeginUSED"/>
        <w:rPr>
          <w:rStyle w:val="NJDOEResponse"/>
          <w:lang w:val="es-ES"/>
        </w:rPr>
      </w:pPr>
      <w:r>
        <w:rPr>
          <w:rFonts w:eastAsia="Times New Roman"/>
          <w:color w:val="FFFFFF"/>
          <w:szCs w:val="4"/>
          <w:lang w:val="pt-BR"/>
        </w:rPr>
        <w:t>[iniciar o texto do USED]</w:t>
      </w:r>
    </w:p>
    <w:p w14:paraId="37F6A8F5" w14:textId="77777777" w:rsidR="002B7BC5" w:rsidRPr="00CC1CB4" w:rsidRDefault="00000000" w:rsidP="001E17BA">
      <w:pPr>
        <w:pStyle w:val="blue"/>
        <w:numPr>
          <w:ilvl w:val="0"/>
          <w:numId w:val="206"/>
        </w:numPr>
        <w:rPr>
          <w:lang w:val="es-ES"/>
        </w:rPr>
      </w:pPr>
      <w:r>
        <w:rPr>
          <w:rFonts w:ascii="Cambria" w:eastAsia="Cambria" w:hAnsi="Cambria"/>
          <w:lang w:val="pt-BR"/>
        </w:rPr>
        <w:t xml:space="preserve">Descrever como o estado garante que o número mínimo seja suficiente para não revelar nenhuma informação pessoalmente identificável. </w:t>
      </w:r>
    </w:p>
    <w:p w14:paraId="0CBC9E9E" w14:textId="77777777" w:rsidR="00531D84" w:rsidRPr="00CC1CB4" w:rsidRDefault="00000000" w:rsidP="000E3651">
      <w:pPr>
        <w:pStyle w:val="EndUSED"/>
        <w:rPr>
          <w:rStyle w:val="NJDOEResponse"/>
          <w:lang w:val="es-ES"/>
        </w:rPr>
      </w:pPr>
      <w:r>
        <w:rPr>
          <w:rFonts w:eastAsia="Times New Roman"/>
          <w:color w:val="FFFFFF"/>
          <w:szCs w:val="4"/>
          <w:lang w:val="pt-BR"/>
        </w:rPr>
        <w:t>[finalizar texto do USED]</w:t>
      </w:r>
    </w:p>
    <w:p w14:paraId="3B1DBE2F" w14:textId="77777777" w:rsidR="00520411" w:rsidRPr="00CC1CB4" w:rsidRDefault="00000000" w:rsidP="00FA465C">
      <w:pPr>
        <w:tabs>
          <w:tab w:val="left" w:pos="360"/>
        </w:tabs>
        <w:spacing w:before="240"/>
        <w:rPr>
          <w:rStyle w:val="NJDOEResponse"/>
          <w:lang w:val="es-ES"/>
        </w:rPr>
      </w:pPr>
      <w:r>
        <w:rPr>
          <w:rStyle w:val="NJDOEResponse"/>
          <w:rFonts w:eastAsia="Times New Roman"/>
          <w:color w:val="365F91"/>
          <w:lang w:val="pt-BR"/>
        </w:rPr>
        <w:t>[iniciar a resposta do NJDOE]</w:t>
      </w:r>
    </w:p>
    <w:p w14:paraId="7F15E00C" w14:textId="77777777" w:rsidR="00520411" w:rsidRPr="00CC1CB4" w:rsidRDefault="00000000" w:rsidP="6B71CBC4">
      <w:pPr>
        <w:rPr>
          <w:rFonts w:cs="Times New Roman"/>
          <w:lang w:val="es-ES"/>
        </w:rPr>
      </w:pPr>
      <w:r>
        <w:rPr>
          <w:rFonts w:eastAsia="Times New Roman" w:cs="Times New Roman"/>
          <w:lang w:val="pt-BR"/>
        </w:rPr>
        <w:t xml:space="preserve">A </w:t>
      </w:r>
      <w:hyperlink r:id="rId29">
        <w:r w:rsidR="00520411">
          <w:rPr>
            <w:rFonts w:eastAsia="Times New Roman" w:cs="Times New Roman"/>
            <w:color w:val="0000FF"/>
            <w:u w:val="single"/>
            <w:lang w:val="pt-BR"/>
          </w:rPr>
          <w:t>Política de privacidade e segurança de dados</w:t>
        </w:r>
      </w:hyperlink>
      <w:r>
        <w:rPr>
          <w:rFonts w:eastAsia="Times New Roman" w:cs="Times New Roman"/>
          <w:lang w:val="pt-BR"/>
        </w:rPr>
        <w:t xml:space="preserve"> do NJDOE descreve como o NJDOE protege a privacidade dos dados de alunos coletados, usados, compartilhados e armazenados pelo estado. Além disso, o NJDOE aplica regras de supressão a todos os relatórios públicos, incluindo relatórios de dados de responsabilização. O NJDOE assume sua obrigação de proteger os dados individuais dos alunos e da </w:t>
      </w:r>
      <w:r>
        <w:rPr>
          <w:rFonts w:eastAsia="Times New Roman" w:cs="Times New Roman"/>
          <w:lang w:val="pt-BR"/>
        </w:rPr>
        <w:lastRenderedPageBreak/>
        <w:t>equipe com muita seriedade e trabalha continuamente para fazer melhorias nas práticas de segurança e privacidade de dados em toda a agência.</w:t>
      </w:r>
      <w:r>
        <w:rPr>
          <w:rFonts w:eastAsia="Times New Roman" w:cs="Arial"/>
          <w:lang w:val="pt-BR"/>
        </w:rPr>
        <w:t xml:space="preserve"> </w:t>
      </w:r>
    </w:p>
    <w:p w14:paraId="05411770" w14:textId="77777777" w:rsidR="00520411" w:rsidRPr="00CC1CB4" w:rsidRDefault="00000000" w:rsidP="00570DD0">
      <w:pPr>
        <w:spacing w:line="259" w:lineRule="auto"/>
        <w:rPr>
          <w:rStyle w:val="NJDOEResponse"/>
          <w:lang w:val="es-ES"/>
        </w:rPr>
      </w:pPr>
      <w:r>
        <w:rPr>
          <w:rStyle w:val="NJDOEResponse"/>
          <w:rFonts w:eastAsia="Times New Roman"/>
          <w:color w:val="365F91"/>
          <w:lang w:val="pt-BR"/>
        </w:rPr>
        <w:t>[finalizar resposta do NJDOE]</w:t>
      </w:r>
    </w:p>
    <w:p w14:paraId="2D2CC688" w14:textId="77777777" w:rsidR="000E3651" w:rsidRPr="00CC1CB4" w:rsidRDefault="00000000" w:rsidP="000E3651">
      <w:pPr>
        <w:pStyle w:val="BeginUSED"/>
        <w:rPr>
          <w:rStyle w:val="NJDOEResponse"/>
          <w:lang w:val="es-ES"/>
        </w:rPr>
      </w:pPr>
      <w:r>
        <w:rPr>
          <w:rFonts w:eastAsia="Times New Roman"/>
          <w:color w:val="FFFFFF"/>
          <w:szCs w:val="4"/>
          <w:lang w:val="pt-BR"/>
        </w:rPr>
        <w:t>[iniciar o texto do USED]</w:t>
      </w:r>
    </w:p>
    <w:p w14:paraId="29C914A4" w14:textId="77777777" w:rsidR="00FB037E" w:rsidRPr="00CC1CB4" w:rsidRDefault="00000000" w:rsidP="00EB57C9">
      <w:pPr>
        <w:pStyle w:val="blue"/>
        <w:numPr>
          <w:ilvl w:val="0"/>
          <w:numId w:val="206"/>
        </w:numPr>
        <w:rPr>
          <w:lang w:val="es-ES"/>
        </w:rPr>
      </w:pPr>
      <w:r>
        <w:rPr>
          <w:rFonts w:ascii="Cambria" w:eastAsia="Cambria" w:hAnsi="Cambria"/>
          <w:lang w:val="pt-BR"/>
        </w:rPr>
        <w:t>Se o número mínimo de alunos do estado para fins de relatório for inferior ao número mínimo de alunos para fins de responsabilidade, forneça o número mínimo de alunos do estado para fins de relatório.</w:t>
      </w:r>
    </w:p>
    <w:p w14:paraId="2229AB20" w14:textId="77777777" w:rsidR="000E3651" w:rsidRPr="00CC1CB4" w:rsidRDefault="00000000" w:rsidP="000E3651">
      <w:pPr>
        <w:pStyle w:val="EndUSED"/>
        <w:rPr>
          <w:rStyle w:val="NJDOEResponse"/>
          <w:lang w:val="es-ES"/>
        </w:rPr>
      </w:pPr>
      <w:r>
        <w:rPr>
          <w:rFonts w:eastAsia="Times New Roman"/>
          <w:color w:val="FFFFFF"/>
          <w:szCs w:val="4"/>
          <w:lang w:val="pt-BR"/>
        </w:rPr>
        <w:t>[finalizar texto do USED]</w:t>
      </w:r>
    </w:p>
    <w:p w14:paraId="3396B268" w14:textId="77777777" w:rsidR="00C46AE7" w:rsidRPr="00CC1CB4" w:rsidRDefault="00000000" w:rsidP="00FA465C">
      <w:pPr>
        <w:spacing w:before="240" w:line="259" w:lineRule="auto"/>
        <w:rPr>
          <w:rFonts w:cs="Times New Roman"/>
          <w:color w:val="365F91" w:themeColor="accent1" w:themeShade="BF"/>
          <w:lang w:val="es-ES"/>
        </w:rPr>
      </w:pPr>
      <w:r>
        <w:rPr>
          <w:rStyle w:val="NJDOEResponse"/>
          <w:rFonts w:eastAsia="Times New Roman"/>
          <w:color w:val="365F91"/>
          <w:lang w:val="pt-BR"/>
        </w:rPr>
        <w:t>[iniciar a resposta do NJDOE]</w:t>
      </w:r>
    </w:p>
    <w:p w14:paraId="37471A12" w14:textId="77777777" w:rsidR="00C46AE7" w:rsidRPr="00CC1CB4" w:rsidRDefault="00000000" w:rsidP="6B71CBC4">
      <w:pPr>
        <w:rPr>
          <w:rFonts w:cs="Times New Roman"/>
          <w:lang w:val="es-ES"/>
        </w:rPr>
      </w:pPr>
      <w:r>
        <w:rPr>
          <w:rFonts w:eastAsia="Times New Roman" w:cs="Times New Roman"/>
          <w:lang w:val="pt-BR"/>
        </w:rPr>
        <w:t xml:space="preserve">O NJDOE planeja usar </w:t>
      </w:r>
      <w:r>
        <w:rPr>
          <w:rFonts w:eastAsia="Times New Roman" w:cs="Times New Roman"/>
          <w:i/>
          <w:iCs/>
          <w:lang w:val="pt-BR"/>
        </w:rPr>
        <w:t>n</w:t>
      </w:r>
      <w:r>
        <w:rPr>
          <w:rFonts w:eastAsia="Times New Roman" w:cs="Times New Roman"/>
          <w:lang w:val="pt-BR"/>
        </w:rPr>
        <w:t xml:space="preserve">=10 como limite mínimo para fins de relatório. Como uma questão de política de longa data, o NJDOE usou </w:t>
      </w:r>
      <w:r>
        <w:rPr>
          <w:rFonts w:eastAsia="Times New Roman" w:cs="Times New Roman"/>
          <w:i/>
          <w:iCs/>
          <w:lang w:val="pt-BR"/>
        </w:rPr>
        <w:t>n</w:t>
      </w:r>
      <w:r>
        <w:rPr>
          <w:rFonts w:eastAsia="Times New Roman" w:cs="Times New Roman"/>
          <w:lang w:val="pt-BR"/>
        </w:rPr>
        <w:t xml:space="preserve">=10 como o tamanho </w:t>
      </w:r>
      <w:r>
        <w:rPr>
          <w:rFonts w:eastAsia="Times New Roman" w:cs="Times New Roman"/>
          <w:i/>
          <w:iCs/>
          <w:lang w:val="pt-BR"/>
        </w:rPr>
        <w:t>n</w:t>
      </w:r>
      <w:r>
        <w:rPr>
          <w:rFonts w:eastAsia="Times New Roman" w:cs="Times New Roman"/>
          <w:lang w:val="pt-BR"/>
        </w:rPr>
        <w:t xml:space="preserve"> do relatório do estado. O NJDOE recebeu um extenso feedback das partes interessadas, sugerindo que ele continuasse a prática de relatar dados no menor tamanho </w:t>
      </w:r>
      <w:r>
        <w:rPr>
          <w:rFonts w:eastAsia="Times New Roman" w:cs="Times New Roman"/>
          <w:i/>
          <w:iCs/>
          <w:lang w:val="pt-BR"/>
        </w:rPr>
        <w:t>n</w:t>
      </w:r>
      <w:r>
        <w:rPr>
          <w:rFonts w:eastAsia="Times New Roman" w:cs="Times New Roman"/>
          <w:lang w:val="pt-BR"/>
        </w:rPr>
        <w:t xml:space="preserve"> que protegeria a privacidade dos alunos.</w:t>
      </w:r>
    </w:p>
    <w:p w14:paraId="3DBFF9A8" w14:textId="399A1B4A" w:rsidR="00C46AE7" w:rsidRPr="00CC1CB4" w:rsidRDefault="00000000" w:rsidP="6B71CBC4">
      <w:pPr>
        <w:rPr>
          <w:rStyle w:val="NJDOEResponse"/>
          <w:lang w:val="es-ES"/>
        </w:rPr>
      </w:pPr>
      <w:r>
        <w:rPr>
          <w:rStyle w:val="NJDOEResponse"/>
          <w:rFonts w:eastAsia="Times New Roman"/>
          <w:color w:val="365F91"/>
          <w:lang w:val="pt-BR"/>
        </w:rPr>
        <w:t>[finalizar resposta do NJDOE]</w:t>
      </w:r>
    </w:p>
    <w:p w14:paraId="08D98910" w14:textId="77777777" w:rsidR="00C26EA0" w:rsidRPr="00CC1CB4" w:rsidRDefault="00000000" w:rsidP="00C26EA0">
      <w:pPr>
        <w:pStyle w:val="BeginUSED"/>
        <w:rPr>
          <w:color w:val="244061" w:themeColor="accent1" w:themeShade="80"/>
          <w:sz w:val="28"/>
          <w:lang w:val="es-ES"/>
        </w:rPr>
      </w:pPr>
      <w:r>
        <w:rPr>
          <w:rFonts w:eastAsia="Times New Roman"/>
          <w:color w:val="FFFFFF"/>
          <w:szCs w:val="4"/>
          <w:lang w:val="pt-BR"/>
        </w:rPr>
        <w:t>[iniciar o texto do USED]</w:t>
      </w:r>
    </w:p>
    <w:p w14:paraId="1C6BD4ED" w14:textId="77777777" w:rsidR="000659DD" w:rsidRPr="00CC1CB4" w:rsidRDefault="00000000" w:rsidP="007068C5">
      <w:pPr>
        <w:pStyle w:val="3"/>
        <w:spacing w:before="0"/>
        <w:ind w:left="432"/>
        <w:rPr>
          <w:lang w:val="es-ES"/>
        </w:rPr>
      </w:pPr>
      <w:bookmarkStart w:id="71" w:name="_Toc211004640"/>
      <w:r>
        <w:rPr>
          <w:rFonts w:ascii="Cambria" w:eastAsia="Cambria" w:hAnsi="Cambria" w:cs="Times New Roman"/>
          <w:szCs w:val="28"/>
          <w:lang w:val="pt-BR"/>
        </w:rPr>
        <w:t>iii. Estabelecimento de metas de longo prazo (Seção 1111(c)(4)(A) da ESEA)</w:t>
      </w:r>
      <w:bookmarkEnd w:id="71"/>
    </w:p>
    <w:p w14:paraId="6FD43EB8" w14:textId="77777777" w:rsidR="00B104C8" w:rsidRPr="00CC1CB4" w:rsidRDefault="00000000" w:rsidP="0080160C">
      <w:pPr>
        <w:pStyle w:val="EndUSED"/>
        <w:rPr>
          <w:rStyle w:val="NJDOEResponse"/>
          <w:lang w:val="es-ES"/>
        </w:rPr>
      </w:pPr>
      <w:r>
        <w:rPr>
          <w:rFonts w:eastAsia="Times New Roman"/>
          <w:color w:val="FFFFFF"/>
          <w:szCs w:val="4"/>
          <w:lang w:val="pt-BR"/>
        </w:rPr>
        <w:t>[finalizar texto do USED]</w:t>
      </w:r>
    </w:p>
    <w:p w14:paraId="3C7702A5" w14:textId="77777777" w:rsidR="000659DD" w:rsidRPr="00CC1CB4" w:rsidRDefault="00000000" w:rsidP="0077652B">
      <w:pPr>
        <w:rPr>
          <w:rStyle w:val="NJDOEResponse"/>
          <w:lang w:val="es-ES"/>
        </w:rPr>
      </w:pPr>
      <w:r>
        <w:rPr>
          <w:rStyle w:val="NJDOEResponse"/>
          <w:rFonts w:eastAsia="Times New Roman"/>
          <w:color w:val="365F91"/>
          <w:lang w:val="pt-BR"/>
        </w:rPr>
        <w:t>[iniciar a resposta do NJDOE]</w:t>
      </w:r>
    </w:p>
    <w:p w14:paraId="3CAD39B3" w14:textId="77777777" w:rsidR="00194382" w:rsidRPr="00CC1CB4" w:rsidRDefault="00000000" w:rsidP="0077652B">
      <w:pPr>
        <w:pStyle w:val="4"/>
        <w:rPr>
          <w:lang w:val="es-ES"/>
        </w:rPr>
      </w:pPr>
      <w:bookmarkStart w:id="72" w:name="_Toc199403690"/>
      <w:r>
        <w:rPr>
          <w:rFonts w:ascii="Cambria" w:eastAsia="Cambria" w:hAnsi="Cambria" w:cs="Arial"/>
          <w:szCs w:val="24"/>
          <w:lang w:val="pt-BR"/>
        </w:rPr>
        <w:t>Introdução às metas de longo prazo</w:t>
      </w:r>
      <w:bookmarkEnd w:id="72"/>
    </w:p>
    <w:p w14:paraId="5C8B65FC" w14:textId="77777777" w:rsidR="004C2878" w:rsidRPr="00CC1CB4" w:rsidRDefault="00000000" w:rsidP="009876B0">
      <w:pPr>
        <w:rPr>
          <w:rFonts w:cs="Times New Roman"/>
          <w:lang w:val="es-ES"/>
        </w:rPr>
      </w:pPr>
      <w:r>
        <w:rPr>
          <w:rFonts w:eastAsia="Times New Roman" w:cs="Times New Roman"/>
          <w:lang w:val="pt-BR"/>
        </w:rPr>
        <w:t>A ESSA exige que todos os estados estabeleçam metas de longo prazo e metas provisórias para cada escola e grupo de alunos em três áreas: realização acadêmica, taxa de formação e progresso em direção à proficiência no idioma inglês. Cada meta de longo prazo deve ser ambiciosa e alcançável. Em alinhamento com o objetivo central da ESSA, que é “fechar lacunas de realização educacional”, as metas e medições de metas intermediárias devem ser projetadas para que, se alcançadas, as lacunas no desempenho do grupo de alunos sejam eliminadas. Embora as metas de longo prazo devam ser as mesmas para todas as escolas e grupos de alunos, a trajetória para cada escola pode ser diferente dependendo do ponto de partida e, portanto, as metas provisórias variam de acordo com a escola e o grupo de alunos.</w:t>
      </w:r>
    </w:p>
    <w:p w14:paraId="6AD46C34" w14:textId="77777777" w:rsidR="00C9107A" w:rsidRPr="00CC1CB4" w:rsidRDefault="00000000" w:rsidP="00C9107A">
      <w:pPr>
        <w:rPr>
          <w:rFonts w:cs="Times New Roman"/>
          <w:lang w:val="es-ES"/>
        </w:rPr>
      </w:pPr>
      <w:r>
        <w:rPr>
          <w:rFonts w:eastAsia="Times New Roman" w:cs="Times New Roman"/>
          <w:lang w:val="pt-BR"/>
        </w:rPr>
        <w:t>Cada meta de longo prazo proposta tem metas provisórias anuais para fornecer orientações às escolas e às LEAs para determinar se um progresso constante está sendo feito em direção à meta de longo prazo. Essas metas de longo prazo e metas provisórias influenciam o sistema de responsabilidade da escola de duas maneiras principais:</w:t>
      </w:r>
    </w:p>
    <w:p w14:paraId="72480A2A" w14:textId="77777777" w:rsidR="00C9107A" w:rsidRPr="00CC1CB4" w:rsidRDefault="00000000">
      <w:pPr>
        <w:pStyle w:val="a6"/>
        <w:numPr>
          <w:ilvl w:val="0"/>
          <w:numId w:val="24"/>
        </w:numPr>
        <w:spacing w:after="120"/>
        <w:rPr>
          <w:rFonts w:cs="Times New Roman"/>
          <w:lang w:val="es-ES"/>
        </w:rPr>
      </w:pPr>
      <w:r>
        <w:rPr>
          <w:rFonts w:eastAsia="Times New Roman" w:cs="Times New Roman"/>
          <w:lang w:val="pt-BR"/>
        </w:rPr>
        <w:t>As metas de longo prazo serão exibidas nos relatórios de desempenho escolar, da LEA e do estado;</w:t>
      </w:r>
    </w:p>
    <w:p w14:paraId="50BAD016" w14:textId="77777777" w:rsidR="00C475FD" w:rsidRPr="00CC1CB4" w:rsidRDefault="00000000">
      <w:pPr>
        <w:pStyle w:val="a6"/>
        <w:numPr>
          <w:ilvl w:val="0"/>
          <w:numId w:val="24"/>
        </w:numPr>
        <w:spacing w:after="120"/>
        <w:rPr>
          <w:rFonts w:cs="Times New Roman"/>
          <w:lang w:val="es-ES"/>
        </w:rPr>
      </w:pPr>
      <w:r>
        <w:rPr>
          <w:rFonts w:eastAsia="Times New Roman" w:cs="Times New Roman"/>
          <w:lang w:val="pt-BR"/>
        </w:rPr>
        <w:t xml:space="preserve">As metas de longo prazo serão levadas em consideração na identificação de escolas de Nova Jersey com um ou mais grupos de alunos “consistentemente com baixo desempenho” (definidos </w:t>
      </w:r>
      <w:r>
        <w:rPr>
          <w:rFonts w:eastAsia="Times New Roman" w:cs="Times New Roman"/>
          <w:lang w:val="pt-BR"/>
        </w:rPr>
        <w:lastRenderedPageBreak/>
        <w:t>na seção A.4.vi abaixo) para suporte e melhoria direcionados. Se uma escola tiver um grupo de estudantes que consistentemente não atinge as metas anuais (provisórias) e o grupo de estudantes apresentar desempenho abaixo da média estadual em outros indicadores de sucesso escolar, a escola será considerada com necessidade de apoio.</w:t>
      </w:r>
    </w:p>
    <w:p w14:paraId="29CDCC50" w14:textId="77777777" w:rsidR="00C475FD" w:rsidRPr="00CC1CB4" w:rsidRDefault="00000000" w:rsidP="00F86F30">
      <w:pPr>
        <w:pStyle w:val="aff0"/>
        <w:rPr>
          <w:lang w:val="es-ES"/>
        </w:rPr>
      </w:pPr>
      <w:r>
        <w:rPr>
          <w:rFonts w:eastAsia="Cambria"/>
          <w:lang w:val="pt-BR"/>
        </w:rPr>
        <w:t>Figura A.1: Principais mudanças de metas de longo prazo de 2017 a 2024</w:t>
      </w:r>
    </w:p>
    <w:tbl>
      <w:tblPr>
        <w:tblStyle w:val="6-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9" w:type="dxa"/>
          <w:left w:w="115" w:type="dxa"/>
          <w:bottom w:w="58" w:type="dxa"/>
          <w:right w:w="115" w:type="dxa"/>
        </w:tblCellMar>
        <w:tblLook w:val="0420" w:firstRow="1" w:lastRow="0" w:firstColumn="0" w:lastColumn="0" w:noHBand="0" w:noVBand="1"/>
      </w:tblPr>
      <w:tblGrid>
        <w:gridCol w:w="1660"/>
        <w:gridCol w:w="3754"/>
        <w:gridCol w:w="3936"/>
      </w:tblGrid>
      <w:tr w:rsidR="00C566B2" w14:paraId="670AD74A" w14:textId="77777777" w:rsidTr="00C566B2">
        <w:trPr>
          <w:cnfStyle w:val="100000000000" w:firstRow="1" w:lastRow="0" w:firstColumn="0" w:lastColumn="0" w:oddVBand="0" w:evenVBand="0" w:oddHBand="0" w:evenHBand="0" w:firstRowFirstColumn="0" w:firstRowLastColumn="0" w:lastRowFirstColumn="0" w:lastRowLastColumn="0"/>
          <w:trHeight w:val="294"/>
          <w:tblHeader/>
        </w:trPr>
        <w:tc>
          <w:tcPr>
            <w:tcW w:w="1435" w:type="dxa"/>
            <w:tcBorders>
              <w:right w:val="single" w:sz="4" w:space="0" w:color="FFFFFF" w:themeColor="background1"/>
            </w:tcBorders>
            <w:shd w:val="clear" w:color="auto" w:fill="215868" w:themeFill="accent5" w:themeFillShade="80"/>
          </w:tcPr>
          <w:p w14:paraId="5723D740" w14:textId="77777777" w:rsidR="00C475FD" w:rsidRPr="006E0632" w:rsidRDefault="00000000">
            <w:pPr>
              <w:pStyle w:val="TableText"/>
              <w:rPr>
                <w:b w:val="0"/>
                <w:bCs w:val="0"/>
                <w:color w:val="FFFFFF" w:themeColor="background1"/>
                <w:sz w:val="22"/>
                <w:szCs w:val="22"/>
              </w:rPr>
            </w:pPr>
            <w:r>
              <w:rPr>
                <w:rFonts w:eastAsia="Times New Roman"/>
                <w:color w:val="FFFFFF"/>
                <w:sz w:val="22"/>
                <w:szCs w:val="22"/>
                <w:lang w:val="pt-BR"/>
              </w:rPr>
              <w:t>Tópico</w:t>
            </w:r>
          </w:p>
        </w:tc>
        <w:tc>
          <w:tcPr>
            <w:tcW w:w="4230" w:type="dxa"/>
            <w:tcBorders>
              <w:left w:val="single" w:sz="4" w:space="0" w:color="FFFFFF" w:themeColor="background1"/>
              <w:right w:val="single" w:sz="4" w:space="0" w:color="FFFFFF" w:themeColor="background1"/>
            </w:tcBorders>
            <w:shd w:val="clear" w:color="auto" w:fill="215868" w:themeFill="accent5" w:themeFillShade="80"/>
          </w:tcPr>
          <w:p w14:paraId="1505A950" w14:textId="77777777" w:rsidR="00C475FD" w:rsidRPr="006E0632" w:rsidRDefault="00000000">
            <w:pPr>
              <w:pStyle w:val="TableText"/>
              <w:jc w:val="center"/>
              <w:rPr>
                <w:b w:val="0"/>
                <w:bCs w:val="0"/>
                <w:color w:val="FFFFFF" w:themeColor="background1"/>
                <w:sz w:val="22"/>
                <w:szCs w:val="22"/>
              </w:rPr>
            </w:pPr>
            <w:r>
              <w:rPr>
                <w:rFonts w:eastAsia="Times New Roman"/>
                <w:color w:val="FFFFFF"/>
                <w:sz w:val="22"/>
                <w:szCs w:val="22"/>
                <w:lang w:val="pt-BR"/>
              </w:rPr>
              <w:t>Plano estadual da ESSA 2017</w:t>
            </w:r>
          </w:p>
        </w:tc>
        <w:tc>
          <w:tcPr>
            <w:tcW w:w="4477" w:type="dxa"/>
            <w:tcBorders>
              <w:left w:val="single" w:sz="4" w:space="0" w:color="FFFFFF" w:themeColor="background1"/>
            </w:tcBorders>
            <w:shd w:val="clear" w:color="auto" w:fill="215868" w:themeFill="accent5" w:themeFillShade="80"/>
          </w:tcPr>
          <w:p w14:paraId="153D2D98" w14:textId="77777777" w:rsidR="00C475FD" w:rsidRPr="006E0632" w:rsidRDefault="00000000">
            <w:pPr>
              <w:pStyle w:val="TableText"/>
              <w:jc w:val="center"/>
              <w:rPr>
                <w:b w:val="0"/>
                <w:bCs w:val="0"/>
                <w:color w:val="FFFFFF" w:themeColor="background1"/>
                <w:sz w:val="22"/>
                <w:szCs w:val="22"/>
              </w:rPr>
            </w:pPr>
            <w:r>
              <w:rPr>
                <w:rFonts w:eastAsia="Times New Roman"/>
                <w:color w:val="FFFFFF"/>
                <w:sz w:val="22"/>
                <w:szCs w:val="22"/>
                <w:lang w:val="pt-BR"/>
              </w:rPr>
              <w:t xml:space="preserve">Plano estadual da ESSA 2024 </w:t>
            </w:r>
          </w:p>
        </w:tc>
      </w:tr>
      <w:tr w:rsidR="00C566B2" w:rsidRPr="00856537" w14:paraId="58C022BB" w14:textId="77777777" w:rsidTr="00C566B2">
        <w:trPr>
          <w:cnfStyle w:val="000000100000" w:firstRow="0" w:lastRow="0" w:firstColumn="0" w:lastColumn="0" w:oddVBand="0" w:evenVBand="0" w:oddHBand="1" w:evenHBand="0" w:firstRowFirstColumn="0" w:firstRowLastColumn="0" w:lastRowFirstColumn="0" w:lastRowLastColumn="0"/>
          <w:trHeight w:val="582"/>
        </w:trPr>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F21F21" w14:textId="77777777" w:rsidR="00C475FD" w:rsidRPr="006E0632" w:rsidRDefault="00000000">
            <w:pPr>
              <w:pStyle w:val="TableText"/>
              <w:rPr>
                <w:b/>
                <w:color w:val="auto"/>
                <w:sz w:val="22"/>
                <w:szCs w:val="22"/>
              </w:rPr>
            </w:pPr>
            <w:r>
              <w:rPr>
                <w:rFonts w:eastAsia="Times New Roman"/>
                <w:color w:val="auto"/>
                <w:sz w:val="22"/>
                <w:szCs w:val="22"/>
                <w:lang w:val="pt-BR"/>
              </w:rPr>
              <w:t>Cronograma</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10862" w14:textId="77777777" w:rsidR="00C475FD" w:rsidRPr="00CC1CB4" w:rsidRDefault="00000000">
            <w:pPr>
              <w:spacing w:after="200" w:line="276" w:lineRule="auto"/>
              <w:rPr>
                <w:color w:val="auto"/>
                <w:sz w:val="22"/>
                <w:szCs w:val="22"/>
                <w:lang w:val="es-ES"/>
              </w:rPr>
            </w:pPr>
            <w:r>
              <w:rPr>
                <w:rFonts w:eastAsia="Times New Roman"/>
                <w:color w:val="auto"/>
                <w:sz w:val="22"/>
                <w:szCs w:val="22"/>
                <w:lang w:val="pt-BR"/>
              </w:rPr>
              <w:t>12 anos; as metas anuais foram definidas para 2016-2017 a 2029-2030.</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B77CF" w14:textId="77777777" w:rsidR="00C475FD" w:rsidRPr="00CC1CB4" w:rsidRDefault="00000000">
            <w:pPr>
              <w:pStyle w:val="TableText"/>
              <w:ind w:left="46"/>
              <w:rPr>
                <w:color w:val="auto"/>
                <w:sz w:val="22"/>
                <w:szCs w:val="22"/>
                <w:lang w:val="es-ES"/>
              </w:rPr>
            </w:pPr>
            <w:r>
              <w:rPr>
                <w:rFonts w:eastAsia="Times New Roman"/>
                <w:color w:val="auto"/>
                <w:sz w:val="22"/>
                <w:szCs w:val="22"/>
                <w:lang w:val="pt-BR"/>
              </w:rPr>
              <w:t xml:space="preserve">6 anos; estabelece novas “metas futuras”. </w:t>
            </w:r>
          </w:p>
        </w:tc>
      </w:tr>
      <w:tr w:rsidR="00C566B2" w:rsidRPr="00C04CDD" w14:paraId="16C52DAB" w14:textId="77777777" w:rsidTr="00C566B2">
        <w:trPr>
          <w:trHeight w:val="1140"/>
        </w:trPr>
        <w:tc>
          <w:tcPr>
            <w:tcW w:w="1435" w:type="dxa"/>
          </w:tcPr>
          <w:p w14:paraId="5E01344D" w14:textId="77777777" w:rsidR="00C475FD" w:rsidRPr="006E0632" w:rsidRDefault="00000000">
            <w:pPr>
              <w:pStyle w:val="TableText"/>
              <w:rPr>
                <w:b/>
                <w:color w:val="auto"/>
                <w:sz w:val="22"/>
                <w:szCs w:val="22"/>
              </w:rPr>
            </w:pPr>
            <w:r>
              <w:rPr>
                <w:rFonts w:eastAsia="Times New Roman"/>
                <w:color w:val="auto"/>
                <w:sz w:val="22"/>
                <w:szCs w:val="22"/>
                <w:lang w:val="pt-BR"/>
              </w:rPr>
              <w:t>Taxa</w:t>
            </w:r>
            <w:r>
              <w:rPr>
                <w:rFonts w:eastAsia="Times New Roman"/>
                <w:b/>
                <w:bCs/>
                <w:color w:val="auto"/>
                <w:sz w:val="22"/>
                <w:szCs w:val="22"/>
                <w:lang w:val="pt-BR"/>
              </w:rPr>
              <w:t xml:space="preserve"> </w:t>
            </w:r>
            <w:r>
              <w:rPr>
                <w:rFonts w:eastAsia="Times New Roman"/>
                <w:color w:val="auto"/>
                <w:sz w:val="22"/>
                <w:szCs w:val="22"/>
                <w:lang w:val="pt-BR"/>
              </w:rPr>
              <w:t>de</w:t>
            </w:r>
            <w:r>
              <w:rPr>
                <w:rFonts w:eastAsia="Times New Roman"/>
                <w:b/>
                <w:bCs/>
                <w:color w:val="auto"/>
                <w:sz w:val="22"/>
                <w:szCs w:val="22"/>
                <w:lang w:val="pt-BR"/>
              </w:rPr>
              <w:t xml:space="preserve"> </w:t>
            </w:r>
            <w:r>
              <w:rPr>
                <w:rFonts w:eastAsia="Times New Roman"/>
                <w:color w:val="auto"/>
                <w:sz w:val="22"/>
                <w:szCs w:val="22"/>
                <w:lang w:val="pt-BR"/>
              </w:rPr>
              <w:t>aumento</w:t>
            </w:r>
          </w:p>
        </w:tc>
        <w:tc>
          <w:tcPr>
            <w:tcW w:w="4230" w:type="dxa"/>
          </w:tcPr>
          <w:p w14:paraId="6F405C0A" w14:textId="77777777" w:rsidR="00C475FD" w:rsidRPr="00CC1CB4" w:rsidRDefault="00000000">
            <w:pPr>
              <w:spacing w:after="200" w:line="276" w:lineRule="auto"/>
              <w:rPr>
                <w:color w:val="auto"/>
                <w:sz w:val="22"/>
                <w:szCs w:val="22"/>
                <w:lang w:val="es-ES"/>
              </w:rPr>
            </w:pPr>
            <w:r>
              <w:rPr>
                <w:rFonts w:eastAsia="Times New Roman"/>
                <w:color w:val="auto"/>
                <w:sz w:val="22"/>
                <w:szCs w:val="22"/>
                <w:lang w:val="pt-BR"/>
              </w:rPr>
              <w:t>As metas anuais foram definidas com base no progresso da meta de 25% em 5 anos, no progresso da meta de 60% em 10 anos e no progresso de 100% em 13 anos. A quantidade de progresso anual aumenta ao longo do tempo.</w:t>
            </w:r>
          </w:p>
        </w:tc>
        <w:tc>
          <w:tcPr>
            <w:tcW w:w="4477" w:type="dxa"/>
          </w:tcPr>
          <w:p w14:paraId="1317E552" w14:textId="77777777" w:rsidR="00C475FD" w:rsidRPr="00CC1CB4" w:rsidRDefault="00000000" w:rsidP="00565898">
            <w:pPr>
              <w:pStyle w:val="TableText"/>
              <w:ind w:left="46"/>
              <w:rPr>
                <w:color w:val="auto"/>
                <w:sz w:val="22"/>
                <w:szCs w:val="22"/>
                <w:lang w:val="es-ES"/>
              </w:rPr>
            </w:pPr>
            <w:r>
              <w:rPr>
                <w:rFonts w:eastAsia="Times New Roman"/>
                <w:color w:val="auto"/>
                <w:sz w:val="22"/>
                <w:szCs w:val="22"/>
                <w:lang w:val="pt-BR"/>
              </w:rPr>
              <w:t>Reduzir a distância entre o desempenho da linha de base e as metas futuras em uma porcentagem definida a cada 6 anos (por exemplo, 20% para proficiência acadêmica e 25% para formação).</w:t>
            </w:r>
          </w:p>
        </w:tc>
      </w:tr>
      <w:tr w:rsidR="00C566B2" w:rsidRPr="00C04CDD" w14:paraId="2265B543" w14:textId="77777777" w:rsidTr="00C566B2">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75B969" w14:textId="77777777" w:rsidR="00C475FD" w:rsidRPr="006E0632" w:rsidRDefault="00000000">
            <w:pPr>
              <w:pStyle w:val="TableText"/>
              <w:rPr>
                <w:b/>
                <w:color w:val="auto"/>
                <w:sz w:val="22"/>
                <w:szCs w:val="22"/>
              </w:rPr>
            </w:pPr>
            <w:r>
              <w:rPr>
                <w:rFonts w:eastAsia="Times New Roman"/>
                <w:color w:val="auto"/>
                <w:sz w:val="22"/>
                <w:szCs w:val="22"/>
                <w:lang w:val="pt-BR"/>
              </w:rPr>
              <w:t>Alcançabilidade</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6C524" w14:textId="77777777" w:rsidR="00C475FD" w:rsidRPr="00CC1CB4" w:rsidRDefault="00000000">
            <w:pPr>
              <w:pStyle w:val="TableText"/>
              <w:ind w:left="46"/>
              <w:rPr>
                <w:color w:val="auto"/>
                <w:sz w:val="22"/>
                <w:szCs w:val="22"/>
                <w:lang w:val="es-ES"/>
              </w:rPr>
            </w:pPr>
            <w:r>
              <w:rPr>
                <w:rFonts w:eastAsia="Times New Roman"/>
                <w:color w:val="auto"/>
                <w:sz w:val="22"/>
                <w:szCs w:val="22"/>
                <w:lang w:val="pt-BR"/>
              </w:rPr>
              <w:t>Devido à rigidez das metas de 12 anos, as escolas que perderam metas anuais no início provavelmente nunca atingirão uma meta provisória, mesmo que, em anos posteriores, a escola demonstre crescimento igual ou superior à taxa de mudança esperada.</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5C14F" w14:textId="77777777" w:rsidR="00C475FD" w:rsidRPr="00CC1CB4" w:rsidRDefault="00000000">
            <w:pPr>
              <w:pStyle w:val="TableText"/>
              <w:ind w:left="46"/>
              <w:rPr>
                <w:color w:val="auto"/>
                <w:sz w:val="22"/>
                <w:szCs w:val="22"/>
                <w:lang w:val="es-ES"/>
              </w:rPr>
            </w:pPr>
            <w:r>
              <w:rPr>
                <w:rFonts w:eastAsia="Times New Roman"/>
                <w:color w:val="auto"/>
                <w:sz w:val="22"/>
                <w:szCs w:val="22"/>
                <w:lang w:val="pt-BR"/>
              </w:rPr>
              <w:t xml:space="preserve">Oferece ao estado flexibilidade para ajustar a cada 6 anos com base nos dados de referência reais, o que promove a urgência e se concentra no fechamento de lacunas porque as metas anuais ajustáveis e de curto prazo são mais alcançáveis. </w:t>
            </w:r>
          </w:p>
        </w:tc>
      </w:tr>
      <w:tr w:rsidR="00C566B2" w:rsidRPr="00C04CDD" w14:paraId="2DD30ECF" w14:textId="77777777" w:rsidTr="00C566B2">
        <w:trPr>
          <w:cantSplit/>
        </w:trPr>
        <w:tc>
          <w:tcPr>
            <w:tcW w:w="1435" w:type="dxa"/>
          </w:tcPr>
          <w:p w14:paraId="32E7A2B5" w14:textId="77777777" w:rsidR="00C475FD" w:rsidRPr="006E0632" w:rsidRDefault="00000000">
            <w:pPr>
              <w:pStyle w:val="TableText"/>
              <w:rPr>
                <w:b/>
                <w:color w:val="000000" w:themeColor="text1"/>
                <w:sz w:val="22"/>
                <w:szCs w:val="22"/>
              </w:rPr>
            </w:pPr>
            <w:r>
              <w:rPr>
                <w:rFonts w:eastAsia="Times New Roman"/>
                <w:b/>
                <w:bCs/>
                <w:color w:val="000000"/>
                <w:sz w:val="22"/>
                <w:szCs w:val="22"/>
                <w:lang w:val="pt-BR"/>
              </w:rPr>
              <w:t xml:space="preserve"> </w:t>
            </w:r>
            <w:r>
              <w:rPr>
                <w:rFonts w:eastAsia="Times New Roman"/>
                <w:color w:val="000000"/>
                <w:sz w:val="22"/>
                <w:szCs w:val="22"/>
                <w:lang w:val="pt-BR"/>
              </w:rPr>
              <w:t>Proficiência</w:t>
            </w:r>
            <w:r>
              <w:rPr>
                <w:rFonts w:eastAsia="Times New Roman"/>
                <w:b/>
                <w:bCs/>
                <w:color w:val="000000"/>
                <w:sz w:val="22"/>
                <w:szCs w:val="22"/>
                <w:lang w:val="pt-BR"/>
              </w:rPr>
              <w:t xml:space="preserve"> </w:t>
            </w:r>
            <w:r>
              <w:rPr>
                <w:rFonts w:eastAsia="Times New Roman"/>
                <w:color w:val="000000"/>
                <w:sz w:val="22"/>
                <w:szCs w:val="22"/>
                <w:lang w:val="pt-BR"/>
              </w:rPr>
              <w:t>em inglês</w:t>
            </w:r>
          </w:p>
        </w:tc>
        <w:tc>
          <w:tcPr>
            <w:tcW w:w="4230" w:type="dxa"/>
          </w:tcPr>
          <w:p w14:paraId="7B59CBA6" w14:textId="77777777" w:rsidR="00C475FD" w:rsidRPr="00CC1CB4" w:rsidRDefault="00000000" w:rsidP="004D2055">
            <w:pPr>
              <w:rPr>
                <w:rStyle w:val="af9"/>
                <w:color w:val="auto"/>
                <w:sz w:val="22"/>
                <w:szCs w:val="22"/>
                <w:lang w:val="es-ES"/>
              </w:rPr>
            </w:pPr>
            <w:r>
              <w:rPr>
                <w:rStyle w:val="normaltextrun"/>
                <w:rFonts w:eastAsia="Times New Roman"/>
                <w:color w:val="auto"/>
                <w:sz w:val="22"/>
                <w:szCs w:val="22"/>
                <w:shd w:val="clear" w:color="auto" w:fill="FFFFFF"/>
                <w:lang w:val="pt-BR"/>
              </w:rPr>
              <w:t>As medições do progresso provisório, ou metas anuais, para cada escola representarão um aumento anual de 1% em relação à linha de base, que é a quantidade de progresso anual necessária para atingir a meta de longo prazo em 6 anos. Observe que as metas reais de longo prazo foram ajustadas devido a alterações nos dados basais. Essas alterações são refletidas nas alterações destacadas do Plano estadual da ESSA de 2017.</w:t>
            </w:r>
          </w:p>
        </w:tc>
        <w:tc>
          <w:tcPr>
            <w:tcW w:w="4477" w:type="dxa"/>
          </w:tcPr>
          <w:p w14:paraId="3EE68D99" w14:textId="77777777" w:rsidR="00C475FD" w:rsidRPr="00CC1CB4" w:rsidRDefault="00000000">
            <w:pPr>
              <w:pStyle w:val="TableText"/>
              <w:rPr>
                <w:color w:val="auto"/>
                <w:sz w:val="22"/>
                <w:szCs w:val="22"/>
                <w:lang w:val="es-ES"/>
              </w:rPr>
            </w:pPr>
            <w:r>
              <w:rPr>
                <w:rFonts w:eastAsia="Times New Roman"/>
                <w:color w:val="auto"/>
                <w:sz w:val="22"/>
                <w:szCs w:val="22"/>
                <w:lang w:val="pt-BR"/>
              </w:rPr>
              <w:t>Nenhuma alteração além de alinhar com o cronograma de 6 anos. O NJDOE continuará sua revisão e avaliará essa métrica em consulta com as partes interessadas e pesquisadores para garantir que seja ambiciosa, mas alcançável.</w:t>
            </w:r>
          </w:p>
        </w:tc>
      </w:tr>
    </w:tbl>
    <w:p w14:paraId="14EBE814" w14:textId="77777777" w:rsidR="00C9107A" w:rsidRPr="00CC1CB4" w:rsidRDefault="00000000" w:rsidP="0077652B">
      <w:pPr>
        <w:pStyle w:val="4"/>
        <w:rPr>
          <w:lang w:val="es-ES"/>
        </w:rPr>
      </w:pPr>
      <w:bookmarkStart w:id="73" w:name="_Toc199403691"/>
      <w:r>
        <w:rPr>
          <w:rFonts w:ascii="Cambria" w:eastAsia="Cambria" w:hAnsi="Cambria" w:cs="Arial"/>
          <w:szCs w:val="24"/>
          <w:lang w:val="pt-BR"/>
        </w:rPr>
        <w:t>Plano de fundo</w:t>
      </w:r>
      <w:bookmarkEnd w:id="73"/>
    </w:p>
    <w:p w14:paraId="393308AE" w14:textId="77777777" w:rsidR="00565898" w:rsidRPr="00CC1CB4" w:rsidRDefault="00000000" w:rsidP="003A1F91">
      <w:pPr>
        <w:rPr>
          <w:rFonts w:cs="Times New Roman"/>
          <w:lang w:val="es-ES"/>
        </w:rPr>
      </w:pPr>
      <w:r>
        <w:rPr>
          <w:rFonts w:eastAsia="Times New Roman" w:cs="Times New Roman"/>
          <w:lang w:val="pt-BR"/>
        </w:rPr>
        <w:t>Para o desenvolvimento do Plano estadual da ESSA de 2017, o NJDOE, em consulta com as partes interessadas, estabeleceu as seguintes metas de longo prazo de 12 anos:</w:t>
      </w:r>
    </w:p>
    <w:p w14:paraId="75E0C4A3" w14:textId="77777777" w:rsidR="00565898" w:rsidRPr="00CC1CB4" w:rsidRDefault="00000000">
      <w:pPr>
        <w:pStyle w:val="a6"/>
        <w:numPr>
          <w:ilvl w:val="0"/>
          <w:numId w:val="171"/>
        </w:numPr>
        <w:spacing w:after="120"/>
        <w:contextualSpacing w:val="0"/>
        <w:rPr>
          <w:rFonts w:cs="Times New Roman"/>
          <w:lang w:val="es-ES"/>
        </w:rPr>
      </w:pPr>
      <w:r>
        <w:rPr>
          <w:rFonts w:eastAsia="Times New Roman" w:cs="Times New Roman"/>
          <w:lang w:val="pt-BR"/>
        </w:rPr>
        <w:t xml:space="preserve">Para realizações acadêmicas, 80% dos alunos atenderão ou excederão as expectativas do nível do ano nas avaliações estaduais para artes em inglês ou ELA e matemática; </w:t>
      </w:r>
    </w:p>
    <w:p w14:paraId="4AE4A1B7" w14:textId="77777777" w:rsidR="006758C9" w:rsidRPr="00CC1CB4" w:rsidRDefault="00000000">
      <w:pPr>
        <w:pStyle w:val="a6"/>
        <w:numPr>
          <w:ilvl w:val="0"/>
          <w:numId w:val="171"/>
        </w:numPr>
        <w:spacing w:after="120"/>
        <w:contextualSpacing w:val="0"/>
        <w:rPr>
          <w:rFonts w:cs="Times New Roman"/>
          <w:lang w:val="es-ES"/>
        </w:rPr>
      </w:pPr>
      <w:r>
        <w:rPr>
          <w:rFonts w:eastAsia="Times New Roman" w:cs="Times New Roman"/>
          <w:lang w:val="pt-BR"/>
        </w:rPr>
        <w:t>Para se formar, 95% dos alunos se formarão em quatro anos e 96% dos alunos se formarão em cinco anos.</w:t>
      </w:r>
    </w:p>
    <w:p w14:paraId="401CD71A" w14:textId="77777777" w:rsidR="00A80F80" w:rsidRPr="00CC1CB4" w:rsidRDefault="00000000" w:rsidP="006758C9">
      <w:pPr>
        <w:rPr>
          <w:rFonts w:cs="Times New Roman"/>
          <w:lang w:val="es-ES"/>
        </w:rPr>
      </w:pPr>
      <w:r>
        <w:rPr>
          <w:rFonts w:eastAsia="Times New Roman" w:cs="Times New Roman"/>
          <w:lang w:val="pt-BR"/>
        </w:rPr>
        <w:lastRenderedPageBreak/>
        <w:t xml:space="preserve">Para o plano atual, o progresso de Nova Jersey em direção às metas de longo prazo de proficiência em inglês foi atualizado. Para este indicador, as escolas ou LEAs que atendem aos anos até e incluindo o 5º ano têm uma meta de longo prazo de 65,7% dos alunos que alcançam o progresso anual esperado para alcançar a proficiência em inglês. Todas as outras escolas/LEAs, como aquelas que contêm notas anteriores ao 5º ano, têm uma meta de longo prazo de 51,8%. </w:t>
      </w:r>
    </w:p>
    <w:p w14:paraId="2D74D052" w14:textId="77777777" w:rsidR="006758C9" w:rsidRPr="00CC1CB4" w:rsidRDefault="00000000" w:rsidP="006758C9">
      <w:pPr>
        <w:rPr>
          <w:rFonts w:cs="Times New Roman"/>
          <w:lang w:val="es-ES"/>
        </w:rPr>
      </w:pPr>
      <w:r>
        <w:rPr>
          <w:rFonts w:eastAsia="Times New Roman" w:cs="Times New Roman"/>
          <w:lang w:val="pt-BR"/>
        </w:rPr>
        <w:t xml:space="preserve">A data em que o estado atingiria suas metas de longo prazo foi inicialmente 2030, mas isso foi transferido para 2032 devido às alterações no Adendo ao Plano estadual aprovado para COVID-19. </w:t>
      </w:r>
    </w:p>
    <w:p w14:paraId="7568A564" w14:textId="77777777" w:rsidR="00A90256" w:rsidRPr="00CC1CB4" w:rsidRDefault="00000000" w:rsidP="0077652B">
      <w:pPr>
        <w:pStyle w:val="4"/>
        <w:rPr>
          <w:lang w:val="es-ES"/>
        </w:rPr>
      </w:pPr>
      <w:bookmarkStart w:id="74" w:name="_Toc199403692"/>
      <w:r>
        <w:rPr>
          <w:rFonts w:ascii="Cambria" w:eastAsia="Cambria" w:hAnsi="Cambria" w:cs="Arial"/>
          <w:szCs w:val="24"/>
          <w:lang w:val="pt-BR"/>
        </w:rPr>
        <w:t>Melhoria contínua: Verificar e revisar</w:t>
      </w:r>
      <w:bookmarkEnd w:id="74"/>
    </w:p>
    <w:p w14:paraId="4A9DD1BB" w14:textId="77777777" w:rsidR="00D14ECD" w:rsidRPr="00CC1CB4" w:rsidRDefault="00000000" w:rsidP="00AB5ADE">
      <w:pPr>
        <w:rPr>
          <w:rFonts w:cs="Times New Roman"/>
          <w:lang w:val="es-ES"/>
        </w:rPr>
      </w:pPr>
      <w:r>
        <w:rPr>
          <w:rFonts w:eastAsia="Times New Roman" w:cs="Times New Roman"/>
          <w:lang w:val="pt-BR"/>
        </w:rPr>
        <w:t xml:space="preserve">Desde 2017, a equipe do NJDOE tem analisado e avaliado se as metas originais de longo prazo de Nova Jersey são ambiciosas, mas alcançáveis; pesquisando modelos alternativos de medição de crescimento de longo prazo e provisório; e avaliando a eficácia das metas de longo prazo ao diferenciar entre todas as escolas públicas de Nova Jersey. Para melhorar continuamente o sistema de responsabilidade de Nova Jersey, esta seção do Plano estadual da ESSA de 2024 inclui várias mudanças em suas metas de longo prazo e medições de progresso provisório para garantir que as metas de Nova Jersey continuem a ser realistas e alcançáveis para as escolas, enquanto permanecem ambiciosas. </w:t>
      </w:r>
    </w:p>
    <w:p w14:paraId="2383DC0F" w14:textId="77777777" w:rsidR="00D14ECD" w:rsidRPr="00CC1CB4" w:rsidRDefault="00000000" w:rsidP="0077652B">
      <w:pPr>
        <w:pStyle w:val="4"/>
        <w:rPr>
          <w:lang w:val="es-ES"/>
        </w:rPr>
      </w:pPr>
      <w:bookmarkStart w:id="75" w:name="_Toc199403693"/>
      <w:r>
        <w:rPr>
          <w:rFonts w:ascii="Cambria" w:eastAsia="Cambria" w:hAnsi="Cambria" w:cs="Arial"/>
          <w:szCs w:val="24"/>
          <w:lang w:val="pt-BR"/>
        </w:rPr>
        <w:t>Principais atualizações desde 2017</w:t>
      </w:r>
      <w:bookmarkEnd w:id="75"/>
    </w:p>
    <w:p w14:paraId="149DFF39" w14:textId="77777777" w:rsidR="00FD0368" w:rsidRPr="00CC1CB4" w:rsidRDefault="00000000" w:rsidP="00AB5ADE">
      <w:pPr>
        <w:rPr>
          <w:rFonts w:cs="Times New Roman"/>
          <w:lang w:val="es-ES"/>
        </w:rPr>
      </w:pPr>
      <w:r>
        <w:rPr>
          <w:rFonts w:eastAsia="Times New Roman" w:cs="Times New Roman"/>
          <w:lang w:val="pt-BR"/>
        </w:rPr>
        <w:t>Primeiro, o NJDOE estabeleceu novas “metas futuras” que capturam melhor as verdadeiras metas do Estado para todos os alunos e se alinham com o propósito da ESSA de fornecer “todas as oportunidades significativas para que os alunos recebam uma educação justa, equitativa e de alta qualidade”. Por exemplo, e conforme descrito abaixo, a meta futura de Nova Jersey é que todos os alunos atendam ou excedam as expectativas nas avaliações de ELA e matemática em todo o estado. As novas metas de longo prazo acompanharão o progresso das escolas no fechamento das lacunas entre o desempenho básico e a meta futura em uma porcentagem definida ao longo de seis anos. Além disso, para a realização acadêmica e taxa de formação, dentro do período de seis anos, enquanto uma escola está progredindo em direção à sua próxima meta de longo prazo, as medições anuais do progresso provisório serão inicialmente definidas com base na quantidade anual de progresso necessária para atingir a meta de longo prazo em seis anos, com o progresso igualmente distribuído ao longo dos seis anos. A cada ano, as metas anuais para os anos restantes serão analisadas. Se uma escola não atingiu sua meta anual para um determinado ano, as metas anuais restantes até o quinto ano serão ajustadas para refletir a quantidade anual de progresso necessária para atingir a meta de longo prazo nos anos restantes.</w:t>
      </w:r>
    </w:p>
    <w:p w14:paraId="0C54E409" w14:textId="77777777" w:rsidR="00D14ECD" w:rsidRPr="00CC1CB4" w:rsidRDefault="00000000" w:rsidP="00AB5ADE">
      <w:pPr>
        <w:rPr>
          <w:rFonts w:cs="Times New Roman"/>
          <w:lang w:val="es-ES"/>
        </w:rPr>
      </w:pPr>
      <w:r>
        <w:rPr>
          <w:rFonts w:eastAsia="Times New Roman" w:cs="Times New Roman"/>
          <w:lang w:val="pt-BR"/>
        </w:rPr>
        <w:t xml:space="preserve">Esta é uma melhoria em relação às metas de longo prazo de proficiência do Plano estadual da ESSA de 2017, que foram baseadas na expectativa de que cada escola e cada grupo de alunos atingiriam 80% de proficiência até 2030. Para alcançar as metas de longo prazo, a quantidade de progresso anual esperado aumenta ao longo do tempo. </w:t>
      </w:r>
    </w:p>
    <w:p w14:paraId="2FBCD4D5" w14:textId="77777777" w:rsidR="00DC7931" w:rsidRPr="00CC1CB4" w:rsidRDefault="00000000" w:rsidP="00CC12C6">
      <w:pPr>
        <w:rPr>
          <w:rStyle w:val="NJDOEResponse"/>
          <w:lang w:val="es-ES"/>
        </w:rPr>
      </w:pPr>
      <w:r>
        <w:rPr>
          <w:rStyle w:val="NJDOEResponse"/>
          <w:rFonts w:eastAsia="Times New Roman"/>
          <w:color w:val="365F91"/>
          <w:lang w:val="pt-BR"/>
        </w:rPr>
        <w:t>[finalizar resposta do NJDOE]</w:t>
      </w:r>
    </w:p>
    <w:p w14:paraId="7A3DC59E" w14:textId="77777777" w:rsidR="000659DD" w:rsidRPr="00CC1CB4" w:rsidRDefault="00000000" w:rsidP="0080160C">
      <w:pPr>
        <w:pStyle w:val="BeginUSED"/>
        <w:rPr>
          <w:rStyle w:val="NJDOEResponse"/>
          <w:lang w:val="es-ES"/>
        </w:rPr>
      </w:pPr>
      <w:r>
        <w:rPr>
          <w:rFonts w:eastAsia="Times New Roman"/>
          <w:color w:val="FFFFFF"/>
          <w:szCs w:val="4"/>
          <w:lang w:val="pt-BR"/>
        </w:rPr>
        <w:t>[iniciar o texto do USED]</w:t>
      </w:r>
    </w:p>
    <w:p w14:paraId="2ED3413A" w14:textId="77777777" w:rsidR="0077652B" w:rsidRPr="00CC1CB4" w:rsidRDefault="00000000" w:rsidP="007C607D">
      <w:pPr>
        <w:pStyle w:val="4"/>
        <w:spacing w:before="0"/>
        <w:ind w:left="144"/>
        <w:rPr>
          <w:lang w:val="es-ES"/>
        </w:rPr>
      </w:pPr>
      <w:bookmarkStart w:id="76" w:name="_Toc199403694"/>
      <w:r>
        <w:rPr>
          <w:rFonts w:ascii="Cambria" w:eastAsia="Cambria" w:hAnsi="Cambria" w:cs="Arial"/>
          <w:szCs w:val="24"/>
          <w:lang w:val="pt-BR"/>
        </w:rPr>
        <w:t>a. Realização acadêmica</w:t>
      </w:r>
      <w:bookmarkEnd w:id="76"/>
      <w:r>
        <w:rPr>
          <w:rFonts w:ascii="Cambria" w:eastAsia="Cambria" w:hAnsi="Cambria" w:cs="Arial"/>
          <w:szCs w:val="24"/>
          <w:lang w:val="pt-BR"/>
        </w:rPr>
        <w:t xml:space="preserve"> </w:t>
      </w:r>
    </w:p>
    <w:p w14:paraId="797A073D" w14:textId="77777777" w:rsidR="00E6556A" w:rsidRPr="00CC1CB4" w:rsidRDefault="00000000" w:rsidP="0077652B">
      <w:pPr>
        <w:pStyle w:val="blue"/>
        <w:rPr>
          <w:b/>
          <w:bCs/>
          <w:sz w:val="24"/>
          <w:szCs w:val="24"/>
          <w:lang w:val="es-ES"/>
        </w:rPr>
      </w:pPr>
      <w:r>
        <w:rPr>
          <w:rFonts w:ascii="Cambria" w:eastAsia="Cambria" w:hAnsi="Cambria"/>
          <w:b/>
          <w:bCs/>
          <w:sz w:val="24"/>
          <w:szCs w:val="24"/>
          <w:lang w:val="pt-BR"/>
        </w:rPr>
        <w:t>(seção ESEA 1111(c)(4)(A)(i)(I)(aa))</w:t>
      </w:r>
    </w:p>
    <w:p w14:paraId="59749FB4" w14:textId="77777777" w:rsidR="00E6556A" w:rsidRPr="00CC1CB4" w:rsidRDefault="00000000">
      <w:pPr>
        <w:pStyle w:val="blue"/>
        <w:numPr>
          <w:ilvl w:val="0"/>
          <w:numId w:val="172"/>
        </w:numPr>
        <w:ind w:left="648"/>
        <w:rPr>
          <w:lang w:val="es-ES"/>
        </w:rPr>
      </w:pPr>
      <w:r>
        <w:rPr>
          <w:rFonts w:ascii="Cambria" w:eastAsia="Cambria" w:hAnsi="Cambria"/>
          <w:lang w:val="pt-BR"/>
        </w:rPr>
        <w:lastRenderedPageBreak/>
        <w:t>Descrever as metas de longo prazo para melhor realização acadêmica, conforme medido pela proficiência nas avaliações anuais de leitura/linguagem e matemática em todo o estado, para todos os alunos e para cada subgrupo de alunos, incluindo: (i) dados de linha de base; (ii) o cronograma para atingir as metas de longo prazo, para o qual o prazo deve ser o mesmo período de tempo de vários anos para todos os alunos e para cada subgrupo de alunos no estado; e (iii) como as metas de longo prazo são ambiciosas.</w:t>
      </w:r>
    </w:p>
    <w:p w14:paraId="6A1F8FA2" w14:textId="77777777" w:rsidR="00E6556A" w:rsidRPr="00CC1CB4" w:rsidRDefault="00000000">
      <w:pPr>
        <w:pStyle w:val="blue"/>
        <w:numPr>
          <w:ilvl w:val="0"/>
          <w:numId w:val="172"/>
        </w:numPr>
        <w:ind w:left="648"/>
        <w:rPr>
          <w:lang w:val="es-ES"/>
        </w:rPr>
      </w:pPr>
      <w:r>
        <w:rPr>
          <w:rFonts w:ascii="Cambria" w:eastAsia="Cambria" w:hAnsi="Cambria"/>
          <w:lang w:val="pt-BR"/>
        </w:rPr>
        <w:t>Fornecer as medidas do progresso provisório para atingir as metas de longo prazo para realização acadêmica no Anexo A.</w:t>
      </w:r>
    </w:p>
    <w:p w14:paraId="57D6327C" w14:textId="77777777" w:rsidR="00E6556A" w:rsidRPr="00CC1CB4" w:rsidRDefault="00000000">
      <w:pPr>
        <w:pStyle w:val="blue"/>
        <w:numPr>
          <w:ilvl w:val="0"/>
          <w:numId w:val="172"/>
        </w:numPr>
        <w:ind w:left="648"/>
        <w:rPr>
          <w:lang w:val="es-ES"/>
        </w:rPr>
      </w:pPr>
      <w:r>
        <w:rPr>
          <w:rFonts w:ascii="Cambria" w:eastAsia="Cambria" w:hAnsi="Cambria"/>
          <w:lang w:val="pt-BR"/>
        </w:rPr>
        <w:t>Descrever como as metas de longo prazo e as medições do progresso provisório em direção às metas de longo prazo para realização acadêmica levam em conta a melhoria necessária para fazer progresso significativo no fechamento de lacunas de proficiência em todo o estado.</w:t>
      </w:r>
    </w:p>
    <w:p w14:paraId="4F5BA9D2" w14:textId="77777777" w:rsidR="00E6556A" w:rsidRPr="00CC1CB4" w:rsidRDefault="00000000" w:rsidP="0080160C">
      <w:pPr>
        <w:pStyle w:val="EndUSED"/>
        <w:rPr>
          <w:lang w:val="es-ES"/>
        </w:rPr>
      </w:pPr>
      <w:r>
        <w:rPr>
          <w:rFonts w:eastAsia="Times New Roman"/>
          <w:color w:val="FFFFFF"/>
          <w:szCs w:val="4"/>
          <w:lang w:val="pt-BR"/>
        </w:rPr>
        <w:t>[finalizar texto do USED]</w:t>
      </w:r>
    </w:p>
    <w:p w14:paraId="0A8EB0EA" w14:textId="77777777" w:rsidR="00D27F41" w:rsidRPr="00CC1CB4" w:rsidRDefault="00000000" w:rsidP="00225FF3">
      <w:pPr>
        <w:spacing w:before="240"/>
        <w:rPr>
          <w:rFonts w:cs="Times New Roman"/>
          <w:color w:val="244061" w:themeColor="accent1" w:themeShade="80"/>
          <w:lang w:val="es-ES"/>
        </w:rPr>
      </w:pPr>
      <w:r>
        <w:rPr>
          <w:rStyle w:val="NJDOEResponse"/>
          <w:rFonts w:eastAsia="Times New Roman"/>
          <w:color w:val="244061"/>
          <w:lang w:val="pt-BR"/>
        </w:rPr>
        <w:t>[iniciar a resposta do NJDOE]</w:t>
      </w:r>
    </w:p>
    <w:p w14:paraId="1F25A966" w14:textId="77777777" w:rsidR="00973F83" w:rsidRPr="00CC1CB4" w:rsidRDefault="00000000" w:rsidP="0077652B">
      <w:pPr>
        <w:pStyle w:val="5"/>
        <w:rPr>
          <w:lang w:val="es-ES"/>
        </w:rPr>
      </w:pPr>
      <w:r>
        <w:rPr>
          <w:rFonts w:ascii="Cambria" w:eastAsia="Cambria" w:hAnsi="Cambria" w:cs="Times New Roman"/>
          <w:bCs/>
          <w:lang w:val="pt-BR"/>
        </w:rPr>
        <w:t>Metas basais e de longo prazo</w:t>
      </w:r>
    </w:p>
    <w:p w14:paraId="02E05DDD" w14:textId="77777777" w:rsidR="00952AAA" w:rsidRPr="00CC1CB4" w:rsidRDefault="00000000" w:rsidP="009C603D">
      <w:pPr>
        <w:rPr>
          <w:rFonts w:cs="Times New Roman"/>
          <w:lang w:val="es-ES"/>
        </w:rPr>
      </w:pPr>
      <w:r>
        <w:rPr>
          <w:rFonts w:eastAsia="Times New Roman" w:cs="Times New Roman"/>
          <w:lang w:val="pt-BR"/>
        </w:rPr>
        <w:t xml:space="preserve">Nova Jersey definiu as seguintes </w:t>
      </w:r>
      <w:r>
        <w:rPr>
          <w:rFonts w:eastAsia="Times New Roman" w:cs="Times New Roman"/>
          <w:b/>
          <w:bCs/>
          <w:lang w:val="pt-BR"/>
        </w:rPr>
        <w:t>metas futuras</w:t>
      </w:r>
      <w:r>
        <w:rPr>
          <w:rFonts w:eastAsia="Times New Roman" w:cs="Times New Roman"/>
          <w:lang w:val="pt-BR"/>
        </w:rPr>
        <w:t xml:space="preserve"> para a realização acadêmica:</w:t>
      </w:r>
    </w:p>
    <w:p w14:paraId="747D966A" w14:textId="77777777" w:rsidR="00BF4CB6" w:rsidRPr="00CC1CB4" w:rsidRDefault="00000000">
      <w:pPr>
        <w:pStyle w:val="a6"/>
        <w:numPr>
          <w:ilvl w:val="0"/>
          <w:numId w:val="21"/>
        </w:numPr>
        <w:rPr>
          <w:rFonts w:cs="Times New Roman"/>
          <w:b/>
          <w:bCs/>
          <w:lang w:val="es-ES"/>
        </w:rPr>
      </w:pPr>
      <w:r>
        <w:rPr>
          <w:rFonts w:eastAsia="Times New Roman" w:cs="Times New Roman"/>
          <w:lang w:val="pt-BR"/>
        </w:rPr>
        <w:t>Cem por cento de todos os alunos e cada grupo de alunos atenderá ou excederá as expectativas nas avaliações de ELA em todo o estado.</w:t>
      </w:r>
    </w:p>
    <w:p w14:paraId="11004405" w14:textId="77777777" w:rsidR="009C603D" w:rsidRPr="00CC1CB4" w:rsidRDefault="00000000">
      <w:pPr>
        <w:pStyle w:val="a6"/>
        <w:numPr>
          <w:ilvl w:val="0"/>
          <w:numId w:val="21"/>
        </w:numPr>
        <w:rPr>
          <w:rStyle w:val="Red"/>
          <w:rFonts w:cs="Times New Roman"/>
          <w:b/>
          <w:bCs/>
          <w:color w:val="auto"/>
          <w:lang w:val="es-ES"/>
        </w:rPr>
      </w:pPr>
      <w:r>
        <w:rPr>
          <w:rFonts w:eastAsia="Times New Roman" w:cs="Times New Roman"/>
          <w:lang w:val="pt-BR"/>
        </w:rPr>
        <w:t>Cem por cento de todos os alunos e cada grupo de alunos atenderá ou excederá as expectativas nas avaliações de matemática em todo o estado.</w:t>
      </w:r>
    </w:p>
    <w:p w14:paraId="523E2066" w14:textId="77777777" w:rsidR="00406812" w:rsidRPr="00CC1CB4" w:rsidRDefault="00000000" w:rsidP="009C603D">
      <w:pPr>
        <w:rPr>
          <w:rStyle w:val="Red"/>
          <w:rFonts w:cs="Times New Roman"/>
          <w:color w:val="auto"/>
          <w:lang w:val="es-ES"/>
        </w:rPr>
      </w:pPr>
      <w:r>
        <w:rPr>
          <w:rStyle w:val="Red"/>
          <w:rFonts w:eastAsia="Times New Roman" w:cs="Times New Roman"/>
          <w:color w:val="000000"/>
          <w:lang w:val="pt-BR"/>
        </w:rPr>
        <w:t xml:space="preserve">A partir dessas metas futuras, New Jersey definiu suas metas de longo prazo da ESSA para fechar as lacunas entre o desempenho da linha de base e as metas futuras em 20% a cada seis anos. Após seis anos, o NJDOE definirá novas metas de longo prazo para fechar a lacuna entre a nova linha de base e a meta futura em 20% para os próximos seis anos. </w:t>
      </w:r>
    </w:p>
    <w:p w14:paraId="346DC5D1" w14:textId="77777777" w:rsidR="009B2FD5" w:rsidRPr="00CC1CB4" w:rsidRDefault="00000000" w:rsidP="0D7A8AEB">
      <w:pPr>
        <w:rPr>
          <w:rStyle w:val="Red"/>
          <w:rFonts w:cs="Times New Roman"/>
          <w:color w:val="auto"/>
          <w:lang w:val="es-ES"/>
        </w:rPr>
      </w:pPr>
      <w:r>
        <w:rPr>
          <w:rStyle w:val="Red"/>
          <w:rFonts w:eastAsia="Times New Roman" w:cs="Times New Roman"/>
          <w:color w:val="000000"/>
          <w:lang w:val="pt-BR"/>
        </w:rPr>
        <w:t xml:space="preserve">Cada escola e grupo de alunos terá uma meta de longo prazo para ELA e uma meta de longo prazo para matemática. Isso é baseado no desempenho do 3º ao 8º ano e nas avaliações exigidas do ensino médio. Isso inclui alunos que fazem as avaliações New Jersey Student Learning Assessment (NJSLA) e Dynamic Learning Maps (DLM), que são projetadas para alunos com as deficiências cognitivas mais significativas. Para ELA, isso inclui avaliações de nível de ano no 3º e 9º ano (e 11º ano para DLM). Para a matemática, isso inclui avaliações de nível de série da 3ª à 8ª série e avaliações matemáticas de fim de curso no ensino fundamental e médio (e 11ª série para DLM). </w:t>
      </w:r>
    </w:p>
    <w:p w14:paraId="724AB7D1" w14:textId="77777777" w:rsidR="5E3386C3" w:rsidRPr="00CC1CB4" w:rsidRDefault="00000000" w:rsidP="3E1F85CA">
      <w:pPr>
        <w:rPr>
          <w:lang w:val="es-ES"/>
        </w:rPr>
      </w:pPr>
      <w:r>
        <w:rPr>
          <w:rStyle w:val="Red"/>
          <w:rFonts w:eastAsia="Times New Roman" w:cs="Times New Roman"/>
          <w:color w:val="000000"/>
          <w:lang w:val="pt-BR"/>
        </w:rPr>
        <w:t xml:space="preserve">A avaliação matemática obrigatória do ensino médio é a avaliação de Álgebra I da NJSLA. </w:t>
      </w:r>
      <w:r>
        <w:rPr>
          <w:rStyle w:val="Red"/>
          <w:rFonts w:eastAsia="Times New Roman" w:cs="Arial"/>
          <w:color w:val="auto"/>
          <w:lang w:val="pt-BR"/>
        </w:rPr>
        <w:t xml:space="preserve">Todos os alunos devem fazer a avaliação estadual de Álgebra I no fim do curso de ensino médio, exceto os alunos com exceções qualificadas. As exceções qualificadas incluem alunos que fazem a avaliação de Álgebra I no ensino médio e alunos que fazem a avaliação do Dynamic Learning Maps no ensino médio. Os alunos que fizerem a avaliação de Álgebra I no 7º ou 8º ano devem fazer a avaliação de Geometria ou de Álgebra II no ensino médio, e os alunos que fizerem a avaliação de Álgebra I no 6º ano devem fazer a avaliação </w:t>
      </w:r>
      <w:r>
        <w:rPr>
          <w:rStyle w:val="Red"/>
          <w:rFonts w:eastAsia="Times New Roman" w:cs="Arial"/>
          <w:color w:val="auto"/>
          <w:lang w:val="pt-BR"/>
        </w:rPr>
        <w:lastRenderedPageBreak/>
        <w:t>do nível do ano e a avaliação de Álgebra I no 6º ano. Os resultados da avaliação de Álgebra I serão usados no ano em que o aluno estiver no 9º ano.</w:t>
      </w:r>
    </w:p>
    <w:p w14:paraId="377AC569" w14:textId="77777777" w:rsidR="009B2FD5" w:rsidRPr="00CC1CB4" w:rsidRDefault="00000000" w:rsidP="009C603D">
      <w:pPr>
        <w:rPr>
          <w:rStyle w:val="Red"/>
          <w:rFonts w:cs="Times New Roman"/>
          <w:color w:val="auto"/>
          <w:lang w:val="es-ES"/>
        </w:rPr>
      </w:pPr>
      <w:r>
        <w:rPr>
          <w:rStyle w:val="Red"/>
          <w:rFonts w:eastAsia="Times New Roman" w:cs="Times New Roman"/>
          <w:color w:val="000000"/>
          <w:lang w:val="pt-BR"/>
        </w:rPr>
        <w:t>A medida de desempenho usada para as metas de longo prazo de realização acadêmica está alinhada com a medida de realização acadêmica de Nova Jersey, que é baseada no desempenho geral de todos os alunos na escola. Metas anuais separadas não são calculadas para níveis individuais ou avaliações de fim de curso.</w:t>
      </w:r>
    </w:p>
    <w:p w14:paraId="7BF429FA" w14:textId="77777777" w:rsidR="00104BB3" w:rsidRPr="00CC1CB4" w:rsidRDefault="00000000" w:rsidP="009C603D">
      <w:pPr>
        <w:rPr>
          <w:rFonts w:cs="Times New Roman"/>
          <w:lang w:val="es-ES"/>
        </w:rPr>
      </w:pPr>
      <w:r>
        <w:rPr>
          <w:rStyle w:val="Red"/>
          <w:rFonts w:eastAsia="Times New Roman" w:cs="Times New Roman"/>
          <w:color w:val="auto"/>
          <w:lang w:val="pt-BR"/>
        </w:rPr>
        <w:t>O NJDOE usará dados de avaliação do ano letivo de 2022-2023 como base para calcular as metas de longo prazo para realização acadêmica. Como parte de seu processo para determinar uma meta de longo prazo apropriada, o NJDOE analisou dados históricos de avaliação estadual de 2015-2016 até o momento. Os dados do ano letivo de 2015-2016 foram usados como base para as metas originais de longo prazo de Nova Jersey no Plano estadual da ESSA de 2017. Os alunos atendem ou superam as expectativas nas avaliações estaduais ou demonstram proficiência em nível de ano se atingirem um nível de desempenho de 4 ou 5 na avaliação da NJSLA ou um nível de desempenho de 3 ou 4 na avaliação de DLM.</w:t>
      </w:r>
    </w:p>
    <w:p w14:paraId="60FB5E0B" w14:textId="77777777" w:rsidR="00BD3743" w:rsidRPr="00CC1CB4" w:rsidRDefault="00000000" w:rsidP="00BD3743">
      <w:pPr>
        <w:rPr>
          <w:rFonts w:cs="Times New Roman"/>
          <w:lang w:val="es-ES"/>
        </w:rPr>
      </w:pPr>
      <w:r>
        <w:rPr>
          <w:rFonts w:eastAsia="Times New Roman" w:cs="Times New Roman"/>
          <w:lang w:val="pt-BR"/>
        </w:rPr>
        <w:t>No ano letivo de 2015-2016, 51,6% dos alunos em todo o estado atenderam ou excederam as expectativas na avaliação estadual para ELA. Em matemática, 42,3% dos alunos demonstraram proficiência em nível de ano nas avaliações estaduais. Até o ano letivo de 2018-2019, o último ano completo de testes antes das interrupções da pandemia, houve aumentos significativos nas porcentagens de alunos que atingiram proficiência no nível de ano em comparação com o ano letivo de 2015-2016, com 57,9% dos alunos atendendo às expectativas em ELA e 44,5% dos alunos atendendo às expectativas em matemática. Aumentos no desempenho entre 2015-2016 e 2018-2019 foram observados em todos os grupos de alunos. Esses aumentos indicam o progresso em direção ao fechamento de lacunas de realização.</w:t>
      </w:r>
    </w:p>
    <w:p w14:paraId="2653C083" w14:textId="77777777" w:rsidR="00BD3743" w:rsidRPr="00CC1CB4" w:rsidRDefault="00000000" w:rsidP="00BD3743">
      <w:pPr>
        <w:rPr>
          <w:rFonts w:cs="Times New Roman"/>
          <w:lang w:val="es-ES"/>
        </w:rPr>
      </w:pPr>
      <w:r>
        <w:rPr>
          <w:rFonts w:eastAsia="Times New Roman" w:cs="Times New Roman"/>
          <w:lang w:val="pt-BR"/>
        </w:rPr>
        <w:t>No entanto, embora todos os grupos de alunos tenham visto aumentos no desempenho do ano letivo de 2015-2016 até o ano letivo de 2018-2019, grandes lacunas permanecem no desempenho entre os grupos de alunos. No ano letivo de 2018-2019, apenas 22,7% dos alunos com deficiências atenderam às expectativas do ano escolar para ELA, em comparação com 65,1% dos alunos sem deficiências.</w:t>
      </w:r>
    </w:p>
    <w:p w14:paraId="760D265F" w14:textId="77777777" w:rsidR="00BD3743" w:rsidRPr="00CC1CB4" w:rsidRDefault="00000000" w:rsidP="00BD3743">
      <w:pPr>
        <w:rPr>
          <w:rStyle w:val="Red"/>
          <w:rFonts w:cs="Times New Roman"/>
          <w:color w:val="auto"/>
          <w:lang w:val="es-ES"/>
        </w:rPr>
      </w:pPr>
      <w:r>
        <w:rPr>
          <w:rFonts w:eastAsia="Times New Roman" w:cs="Times New Roman"/>
          <w:lang w:val="pt-BR"/>
        </w:rPr>
        <w:t>Em 2022-2023, o primeiro ano de avaliações após cancelamentos de pandemia em 2019-2020 e 2021-2022, 49% dos alunos atenderam às expectativas de nível de ano para ELA e 36% atenderam às expectativas de nível de ano para matemática. Para abordar os impactos da pandemia e as lacunas no desempenho entre os grupos de alunos, o NJDOE busca redefinir as metas de longo prazo da ESSA, mantendo metas ambiciosas, mas alcançáveis, para escolas e alunos.</w:t>
      </w:r>
    </w:p>
    <w:p w14:paraId="718600F8" w14:textId="77777777" w:rsidR="009C603D" w:rsidRPr="00CC1CB4" w:rsidRDefault="00000000" w:rsidP="009C603D">
      <w:pPr>
        <w:rPr>
          <w:rFonts w:cs="Times New Roman"/>
          <w:lang w:val="es-ES"/>
        </w:rPr>
      </w:pPr>
      <w:r>
        <w:rPr>
          <w:rFonts w:eastAsia="Times New Roman" w:cs="Times New Roman"/>
          <w:lang w:val="pt-BR"/>
        </w:rPr>
        <w:t>A ESSA exige que os estados estabeleçam metas acadêmicas de longo prazo que sejam as mesmas para todas as escolas. Em Nova Jersey, que tem uma ampla gama de dados de referência, é bastante desafiador definir uma meta apropriada para todas as escolas, que impulsione cada escola a continuar a desempenhar, garantindo que todas as escolas tenham uma meta razoável. Ao redefinir as metas em termos de “metas futuras” e ajustar as metas de longo prazo da ESSA a cada seis anos para refletir os dados de referência mais recentes, o NJDOE pode considerar melhor essas diferenças e impulsionar cada escola a alcançar metas ambiciosas em um cronograma único e alcançável.</w:t>
      </w:r>
    </w:p>
    <w:p w14:paraId="3CE0310A" w14:textId="77777777" w:rsidR="00CA2862" w:rsidRPr="00CC1CB4" w:rsidRDefault="00000000" w:rsidP="009C603D">
      <w:pPr>
        <w:rPr>
          <w:rFonts w:cs="Times New Roman"/>
          <w:lang w:val="es-ES"/>
        </w:rPr>
      </w:pPr>
      <w:r>
        <w:rPr>
          <w:rFonts w:eastAsia="Times New Roman" w:cs="Times New Roman"/>
          <w:lang w:val="pt-BR"/>
        </w:rPr>
        <w:t xml:space="preserve">O futuro, ou objetivo final, é que 100% de todos os alunos atendam às expectativas do nível do ano. O NJDOE reconhece que pode levar muitos anos para atingir essa meta, e diferentes escolas e grupos de </w:t>
      </w:r>
      <w:r>
        <w:rPr>
          <w:rFonts w:eastAsia="Times New Roman" w:cs="Times New Roman"/>
          <w:lang w:val="pt-BR"/>
        </w:rPr>
        <w:lastRenderedPageBreak/>
        <w:t>alunos exigirão diferentes quantidades de tempo para atingir essa meta. Para definir metas realistas, mas ainda ambiciosas, para cada escola e grupo de alunos, o NJDOE definirá metas de longo prazo da ESSA para preencher as lacunas entre o desempenho básico e a meta futura em 20% ao longo de seis anos.</w:t>
      </w:r>
    </w:p>
    <w:p w14:paraId="7FC62BB7" w14:textId="77777777" w:rsidR="0076305C" w:rsidRPr="00CC1CB4" w:rsidRDefault="00000000" w:rsidP="009C603D">
      <w:pPr>
        <w:rPr>
          <w:rFonts w:cs="Times New Roman"/>
          <w:lang w:val="es-ES"/>
        </w:rPr>
      </w:pPr>
      <w:r>
        <w:rPr>
          <w:rFonts w:eastAsia="Times New Roman" w:cs="Times New Roman"/>
          <w:lang w:val="pt-BR"/>
        </w:rPr>
        <w:t>O NJDOE escolheu seis anos para destacar a urgência de fechar essas lacunas de desempenho e garantir que todos os alunos alcancem a excelência acadêmica. O NJDOE acredita que é importante definir metas que forneçam o tempo necessário para que as escolas e as LEAs façam mudanças que resultem em melhoria mensurável. Também é importante definir metas que transmitam urgência, para que nossas escolas e LEAs vejam a necessidade de abordar as lacunas atuais. O cronograma de seis anos se alinha com os ciclos de identificação e saída de três anos, de modo que as metas de longo prazo serão definidas para anos, durante os quais os dados de desempenho serão usados para identificar e sair das escolas.</w:t>
      </w:r>
    </w:p>
    <w:p w14:paraId="7087F893" w14:textId="77777777" w:rsidR="001B072F" w:rsidRPr="00CC1CB4" w:rsidRDefault="00000000" w:rsidP="009C603D">
      <w:pPr>
        <w:rPr>
          <w:rFonts w:cs="Times New Roman"/>
          <w:lang w:val="es-ES"/>
        </w:rPr>
      </w:pPr>
      <w:r>
        <w:rPr>
          <w:rFonts w:eastAsia="Times New Roman" w:cs="Times New Roman"/>
          <w:lang w:val="pt-BR"/>
        </w:rPr>
        <w:t>Essas metas serão definidas exclusivamente para cada escola e grupo de alunos com base no desempenho da linha de base individual da escola ou grupo de alunos do ano letivo de 2022-2023. Como as metas de longo prazo são baseadas em dados de linha de base individuais, uma escola ou grupo de alunos com uma porcentagem menor de alunos que atendem às expectativas de nível de ano no ano letivo de 2022-2023 exigirá mais melhoria para atender às metas de longo prazo do que escolas e grupos de alunos com porcentagens maiores de alunos que atendem às expectativas de nível de ano na linha de base. Se as metas de longo prazo da ESSA fossem alcançadas em seis anos, as lacunas entre os grupos de alunos reduziriam significativamente.</w:t>
      </w:r>
    </w:p>
    <w:p w14:paraId="2B580B3A" w14:textId="77777777" w:rsidR="00BE3D1F" w:rsidRPr="00CC1CB4" w:rsidRDefault="00000000" w:rsidP="009C603D">
      <w:pPr>
        <w:rPr>
          <w:rFonts w:cs="Times New Roman"/>
          <w:lang w:val="es-ES"/>
        </w:rPr>
      </w:pPr>
      <w:r>
        <w:rPr>
          <w:rFonts w:eastAsia="Times New Roman" w:cs="Times New Roman"/>
          <w:lang w:val="pt-BR"/>
        </w:rPr>
        <w:t>Por exemplo, no ano letivo de 2022-2023, 51,3% de todos os alunos e 19,2% dos alunos com deficiências atenderam às expectativas de nível de ano em ELA. As metas de longo prazo da ESSA em nível estadual para o ano letivo de 2028-2029 seriam para 61% de todos os alunos e 35,4% dos alunos com deficiências para atender às expectativas em nível de ano em ELA. Se essas metas forem alcançadas, a lacuna entre esses dois grupos reduziria de 32,1 pontos percentuais para 25,6 pontos percentuais. Embora ambos os grupos de alunos tenham visto melhorias na porcentagem de alunos que atenderam às expectativas do ano letivo de 2015-2016 até o ano letivo de 2018-2019, a lacuna no desempenho entre esses dois grupos de alunos diminuiu apenas 1,8 ponto percentual.</w:t>
      </w:r>
    </w:p>
    <w:p w14:paraId="6BB3723B" w14:textId="77777777" w:rsidR="009D2730" w:rsidRPr="00CC1CB4" w:rsidRDefault="00000000" w:rsidP="009C603D">
      <w:pPr>
        <w:rPr>
          <w:rFonts w:cs="Times New Roman"/>
          <w:lang w:val="es-ES"/>
        </w:rPr>
      </w:pPr>
      <w:r>
        <w:rPr>
          <w:rFonts w:eastAsia="Times New Roman" w:cs="Times New Roman"/>
          <w:lang w:val="pt-BR"/>
        </w:rPr>
        <w:t>A cada seis anos, novas metas de longo prazo para os próximos seis anos serão definidas usando o ano mais recente como uma nova linha de base. Isso significa que os dados para o ano letivo de 2028-2029 serão usados para a próxima linha de base, e uma nova meta de longo prazo da ESSA será definida para 2034-2035.</w:t>
      </w:r>
    </w:p>
    <w:p w14:paraId="5E322A2F" w14:textId="77777777" w:rsidR="009F1396" w:rsidRPr="00CC1CB4" w:rsidRDefault="00000000" w:rsidP="009F1396">
      <w:pPr>
        <w:rPr>
          <w:rFonts w:cs="Times New Roman"/>
          <w:lang w:val="es-ES"/>
        </w:rPr>
      </w:pPr>
      <w:r>
        <w:rPr>
          <w:rFonts w:eastAsia="Times New Roman" w:cs="Times New Roman"/>
          <w:lang w:val="pt-BR"/>
        </w:rPr>
        <w:t>A tabela a seguir mostra os resultados da avaliação estadual de 2022-2023 para ELA e matemática e as metas de longo prazo correspondentes.</w:t>
      </w:r>
    </w:p>
    <w:p w14:paraId="45892484" w14:textId="77777777" w:rsidR="009F1396" w:rsidRPr="00CC1CB4" w:rsidRDefault="00000000" w:rsidP="00F86F30">
      <w:pPr>
        <w:pStyle w:val="aff0"/>
        <w:rPr>
          <w:lang w:val="es-ES"/>
        </w:rPr>
      </w:pPr>
      <w:r>
        <w:rPr>
          <w:rFonts w:eastAsia="Cambria"/>
          <w:lang w:val="pt-BR"/>
        </w:rPr>
        <w:lastRenderedPageBreak/>
        <w:t>Figura A.2: Metas de proficiência acadêmica basal e de longo prazo (porcentagem de atendimento ou superação das expectativas)</w:t>
      </w:r>
    </w:p>
    <w:tbl>
      <w:tblPr>
        <w:tblW w:w="9360" w:type="dxa"/>
        <w:tblInd w:w="-8" w:type="dxa"/>
        <w:tblBorders>
          <w:top w:val="outset" w:sz="6" w:space="0" w:color="auto"/>
          <w:left w:val="outset" w:sz="6" w:space="0" w:color="auto"/>
          <w:bottom w:val="outset" w:sz="6" w:space="0" w:color="auto"/>
          <w:right w:val="outset" w:sz="6" w:space="0" w:color="auto"/>
        </w:tblBorders>
        <w:tblCellMar>
          <w:top w:w="58" w:type="dxa"/>
          <w:left w:w="58" w:type="dxa"/>
          <w:bottom w:w="58" w:type="dxa"/>
          <w:right w:w="58" w:type="dxa"/>
        </w:tblCellMar>
        <w:tblLook w:val="0420" w:firstRow="1" w:lastRow="0" w:firstColumn="0" w:lastColumn="0" w:noHBand="0" w:noVBand="1"/>
      </w:tblPr>
      <w:tblGrid>
        <w:gridCol w:w="3358"/>
        <w:gridCol w:w="1500"/>
        <w:gridCol w:w="1501"/>
        <w:gridCol w:w="1500"/>
        <w:gridCol w:w="1501"/>
      </w:tblGrid>
      <w:tr w:rsidR="00C566B2" w:rsidRPr="00856537" w14:paraId="36426874" w14:textId="77777777" w:rsidTr="007E2386">
        <w:trPr>
          <w:trHeight w:val="300"/>
          <w:tblHeader/>
        </w:trPr>
        <w:tc>
          <w:tcPr>
            <w:tcW w:w="3358" w:type="dxa"/>
            <w:tcBorders>
              <w:top w:val="single" w:sz="6" w:space="0" w:color="auto"/>
              <w:left w:val="single" w:sz="6" w:space="0" w:color="auto"/>
              <w:bottom w:val="single" w:sz="6" w:space="0" w:color="auto"/>
              <w:right w:val="single" w:sz="4" w:space="0" w:color="FFFFFF" w:themeColor="background1"/>
            </w:tcBorders>
            <w:shd w:val="clear" w:color="auto" w:fill="215868" w:themeFill="accent5" w:themeFillShade="80"/>
            <w:vAlign w:val="center"/>
            <w:hideMark/>
          </w:tcPr>
          <w:p w14:paraId="394AB4D2" w14:textId="77777777" w:rsidR="009F1396" w:rsidRPr="00877316" w:rsidRDefault="00000000" w:rsidP="0077652B">
            <w:pPr>
              <w:spacing w:after="0"/>
            </w:pPr>
            <w:r>
              <w:rPr>
                <w:rStyle w:val="normaltextrun"/>
                <w:rFonts w:eastAsia="Times New Roman" w:cs="Arial"/>
                <w:b/>
                <w:bCs/>
                <w:color w:val="FFFFFF"/>
                <w:lang w:val="pt-BR"/>
              </w:rPr>
              <w:t>Grupo de estudantes</w:t>
            </w:r>
            <w:r>
              <w:rPr>
                <w:rStyle w:val="normaltextrun"/>
                <w:rFonts w:eastAsia="Times New Roman" w:cs="Arial"/>
                <w:color w:val="FFFFFF"/>
                <w:lang w:val="pt-BR"/>
              </w:rPr>
              <w:t xml:space="preserve"> </w:t>
            </w:r>
          </w:p>
        </w:tc>
        <w:tc>
          <w:tcPr>
            <w:tcW w:w="1500" w:type="dxa"/>
            <w:tcBorders>
              <w:top w:val="single" w:sz="6" w:space="0" w:color="auto"/>
              <w:left w:val="single" w:sz="4" w:space="0" w:color="FFFFFF" w:themeColor="background1"/>
              <w:bottom w:val="single" w:sz="6" w:space="0" w:color="auto"/>
              <w:right w:val="single" w:sz="4" w:space="0" w:color="FFFFFF" w:themeColor="background1"/>
            </w:tcBorders>
            <w:shd w:val="clear" w:color="auto" w:fill="215868" w:themeFill="accent5" w:themeFillShade="80"/>
            <w:vAlign w:val="center"/>
            <w:hideMark/>
          </w:tcPr>
          <w:p w14:paraId="0207A01A" w14:textId="77777777" w:rsidR="009F1396" w:rsidRPr="00CC1CB4" w:rsidRDefault="00000000" w:rsidP="0077652B">
            <w:pPr>
              <w:spacing w:after="0"/>
              <w:rPr>
                <w:lang w:val="es-ES"/>
              </w:rPr>
            </w:pPr>
            <w:r>
              <w:rPr>
                <w:rStyle w:val="normaltextrun"/>
                <w:rFonts w:eastAsia="Times New Roman" w:cs="Arial"/>
                <w:b/>
                <w:bCs/>
                <w:color w:val="FFFFFF"/>
                <w:lang w:val="pt-BR"/>
              </w:rPr>
              <w:t xml:space="preserve">Desempenho em ELA da linha de base: 2022-2023 </w:t>
            </w:r>
          </w:p>
        </w:tc>
        <w:tc>
          <w:tcPr>
            <w:tcW w:w="1501" w:type="dxa"/>
            <w:tcBorders>
              <w:top w:val="single" w:sz="6" w:space="0" w:color="auto"/>
              <w:left w:val="single" w:sz="4" w:space="0" w:color="FFFFFF" w:themeColor="background1"/>
              <w:bottom w:val="single" w:sz="6" w:space="0" w:color="auto"/>
              <w:right w:val="single" w:sz="4" w:space="0" w:color="FFFFFF" w:themeColor="background1"/>
            </w:tcBorders>
            <w:shd w:val="clear" w:color="auto" w:fill="215868" w:themeFill="accent5" w:themeFillShade="80"/>
            <w:vAlign w:val="center"/>
            <w:hideMark/>
          </w:tcPr>
          <w:p w14:paraId="7995C7AE" w14:textId="77777777" w:rsidR="009F1396" w:rsidRPr="00CC1CB4" w:rsidRDefault="00000000" w:rsidP="0077652B">
            <w:pPr>
              <w:spacing w:after="0"/>
              <w:rPr>
                <w:lang w:val="es-ES"/>
              </w:rPr>
            </w:pPr>
            <w:r>
              <w:rPr>
                <w:rStyle w:val="normaltextrun"/>
                <w:rFonts w:eastAsia="Times New Roman" w:cs="Arial"/>
                <w:b/>
                <w:bCs/>
                <w:color w:val="FFFFFF"/>
                <w:lang w:val="pt-BR"/>
              </w:rPr>
              <w:t>Meta de longo prazo de ELA: 2028-2029</w:t>
            </w:r>
          </w:p>
        </w:tc>
        <w:tc>
          <w:tcPr>
            <w:tcW w:w="1500" w:type="dxa"/>
            <w:tcBorders>
              <w:top w:val="single" w:sz="6" w:space="0" w:color="auto"/>
              <w:left w:val="single" w:sz="4" w:space="0" w:color="FFFFFF" w:themeColor="background1"/>
              <w:bottom w:val="single" w:sz="6" w:space="0" w:color="auto"/>
              <w:right w:val="single" w:sz="4" w:space="0" w:color="FFFFFF" w:themeColor="background1"/>
            </w:tcBorders>
            <w:shd w:val="clear" w:color="auto" w:fill="215868" w:themeFill="accent5" w:themeFillShade="80"/>
            <w:vAlign w:val="center"/>
            <w:hideMark/>
          </w:tcPr>
          <w:p w14:paraId="021A4DEF" w14:textId="77777777" w:rsidR="009F1396" w:rsidRPr="00CC1CB4" w:rsidRDefault="00000000" w:rsidP="0077652B">
            <w:pPr>
              <w:spacing w:after="0"/>
              <w:rPr>
                <w:lang w:val="es-ES"/>
              </w:rPr>
            </w:pPr>
            <w:r>
              <w:rPr>
                <w:rStyle w:val="normaltextrun"/>
                <w:rFonts w:eastAsia="Times New Roman" w:cs="Arial"/>
                <w:b/>
                <w:bCs/>
                <w:color w:val="FFFFFF"/>
                <w:lang w:val="pt-BR"/>
              </w:rPr>
              <w:t>Desempenho de matemática da linha de base: 2022-2023</w:t>
            </w:r>
            <w:r>
              <w:rPr>
                <w:rStyle w:val="normaltextrun"/>
                <w:rFonts w:eastAsia="Times New Roman" w:cs="Arial"/>
                <w:color w:val="FFFFFF"/>
                <w:lang w:val="pt-BR"/>
              </w:rPr>
              <w:t xml:space="preserve"> </w:t>
            </w:r>
          </w:p>
        </w:tc>
        <w:tc>
          <w:tcPr>
            <w:tcW w:w="1501" w:type="dxa"/>
            <w:tcBorders>
              <w:top w:val="single" w:sz="6" w:space="0" w:color="auto"/>
              <w:left w:val="single" w:sz="4" w:space="0" w:color="FFFFFF" w:themeColor="background1"/>
              <w:bottom w:val="single" w:sz="6" w:space="0" w:color="auto"/>
              <w:right w:val="single" w:sz="6" w:space="0" w:color="auto"/>
            </w:tcBorders>
            <w:shd w:val="clear" w:color="auto" w:fill="215868" w:themeFill="accent5" w:themeFillShade="80"/>
            <w:vAlign w:val="center"/>
            <w:hideMark/>
          </w:tcPr>
          <w:p w14:paraId="462C8DA2" w14:textId="77777777" w:rsidR="009F1396" w:rsidRPr="00CC1CB4" w:rsidRDefault="00000000" w:rsidP="0077652B">
            <w:pPr>
              <w:spacing w:after="0"/>
              <w:rPr>
                <w:lang w:val="es-ES"/>
              </w:rPr>
            </w:pPr>
            <w:r>
              <w:rPr>
                <w:rStyle w:val="normaltextrun"/>
                <w:rFonts w:eastAsia="Times New Roman" w:cs="Arial"/>
                <w:b/>
                <w:bCs/>
                <w:color w:val="FFFFFF"/>
                <w:lang w:val="pt-BR"/>
              </w:rPr>
              <w:t>Matemática de metas de longo prazo: 2028-2029</w:t>
            </w:r>
            <w:r>
              <w:rPr>
                <w:rStyle w:val="normaltextrun"/>
                <w:rFonts w:eastAsia="Times New Roman" w:cs="Arial"/>
                <w:color w:val="FFFFFF"/>
                <w:lang w:val="pt-BR"/>
              </w:rPr>
              <w:t xml:space="preserve"> </w:t>
            </w:r>
          </w:p>
        </w:tc>
      </w:tr>
      <w:tr w:rsidR="00C566B2" w14:paraId="0FBCB53D" w14:textId="77777777" w:rsidTr="0077652B">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hideMark/>
          </w:tcPr>
          <w:p w14:paraId="2CAE0A80" w14:textId="77777777" w:rsidR="009F1396" w:rsidRPr="00877316" w:rsidRDefault="00000000" w:rsidP="0077652B">
            <w:pPr>
              <w:spacing w:after="0"/>
            </w:pPr>
            <w:r>
              <w:rPr>
                <w:rStyle w:val="normaltextrun"/>
                <w:rFonts w:eastAsia="Times New Roman" w:cs="Arial"/>
                <w:lang w:val="pt-BR"/>
              </w:rPr>
              <w:t xml:space="preserve">Todos os alunos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BD59A9B" w14:textId="77777777" w:rsidR="009F1396" w:rsidRPr="00877316" w:rsidRDefault="00000000" w:rsidP="0077652B">
            <w:pPr>
              <w:spacing w:after="0"/>
            </w:pPr>
            <w:r>
              <w:rPr>
                <w:rStyle w:val="normaltextrun"/>
                <w:rFonts w:eastAsia="Times New Roman" w:cs="Arial"/>
                <w:lang w:val="pt-BR"/>
              </w:rPr>
              <w:t xml:space="preserve">51,3 % </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C98F870" w14:textId="77777777" w:rsidR="009F1396" w:rsidRPr="00877316" w:rsidRDefault="00000000" w:rsidP="0077652B">
            <w:pPr>
              <w:spacing w:after="0"/>
            </w:pPr>
            <w:r>
              <w:rPr>
                <w:rStyle w:val="normaltextrun"/>
                <w:rFonts w:eastAsia="Times New Roman" w:cs="Arial"/>
                <w:lang w:val="pt-BR"/>
              </w:rPr>
              <w:t xml:space="preserve">61,0%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37FA924" w14:textId="77777777" w:rsidR="009F1396" w:rsidRPr="00877316" w:rsidRDefault="00000000" w:rsidP="0077652B">
            <w:pPr>
              <w:spacing w:after="0"/>
            </w:pPr>
            <w:r>
              <w:rPr>
                <w:rStyle w:val="normaltextrun"/>
                <w:rFonts w:eastAsia="Times New Roman" w:cs="Arial"/>
                <w:lang w:val="pt-BR"/>
              </w:rPr>
              <w:t xml:space="preserve">38,2 % </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388BCB7" w14:textId="77777777" w:rsidR="009F1396" w:rsidRPr="00877316" w:rsidRDefault="00000000" w:rsidP="0077652B">
            <w:pPr>
              <w:spacing w:after="0"/>
            </w:pPr>
            <w:r>
              <w:rPr>
                <w:rStyle w:val="normaltextrun"/>
                <w:rFonts w:eastAsia="Times New Roman" w:cs="Arial"/>
                <w:lang w:val="pt-BR"/>
              </w:rPr>
              <w:t xml:space="preserve">50,6 % </w:t>
            </w:r>
          </w:p>
        </w:tc>
      </w:tr>
      <w:tr w:rsidR="00C566B2" w14:paraId="547FBA3B" w14:textId="77777777" w:rsidTr="0077652B">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hideMark/>
          </w:tcPr>
          <w:p w14:paraId="5581A932" w14:textId="77777777" w:rsidR="009F1396" w:rsidRPr="00877316" w:rsidRDefault="00000000" w:rsidP="0077652B">
            <w:pPr>
              <w:spacing w:after="0"/>
            </w:pPr>
            <w:r>
              <w:rPr>
                <w:rStyle w:val="normaltextrun"/>
                <w:rFonts w:eastAsia="Times New Roman" w:cs="Arial"/>
                <w:lang w:val="pt-BR"/>
              </w:rPr>
              <w:t xml:space="preserve">Estudantes economicamente desfavorecidos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6A44BA4E" w14:textId="77777777" w:rsidR="009F1396" w:rsidRPr="00877316" w:rsidRDefault="00000000" w:rsidP="0077652B">
            <w:pPr>
              <w:spacing w:after="0"/>
            </w:pPr>
            <w:r>
              <w:rPr>
                <w:rStyle w:val="normaltextrun"/>
                <w:rFonts w:eastAsia="Times New Roman" w:cs="Arial"/>
                <w:lang w:val="pt-BR"/>
              </w:rPr>
              <w:t xml:space="preserve">33,4 %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69AC25B0" w14:textId="77777777" w:rsidR="009F1396" w:rsidRPr="00877316" w:rsidRDefault="00000000" w:rsidP="0077652B">
            <w:pPr>
              <w:spacing w:after="0"/>
            </w:pPr>
            <w:r>
              <w:rPr>
                <w:rStyle w:val="normaltextrun"/>
                <w:rFonts w:eastAsia="Times New Roman" w:cs="Arial"/>
                <w:lang w:val="pt-BR"/>
              </w:rPr>
              <w:t xml:space="preserve">46,7%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0C2ECB99" w14:textId="77777777" w:rsidR="009F1396" w:rsidRPr="00877316" w:rsidRDefault="00000000" w:rsidP="0077652B">
            <w:pPr>
              <w:spacing w:after="0"/>
            </w:pPr>
            <w:r>
              <w:rPr>
                <w:rStyle w:val="normaltextrun"/>
                <w:rFonts w:eastAsia="Times New Roman" w:cs="Arial"/>
                <w:lang w:val="pt-BR"/>
              </w:rPr>
              <w:t xml:space="preserve">19,5 %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7A456D51" w14:textId="77777777" w:rsidR="009F1396" w:rsidRPr="00877316" w:rsidRDefault="00000000" w:rsidP="0077652B">
            <w:pPr>
              <w:spacing w:after="0"/>
            </w:pPr>
            <w:r>
              <w:rPr>
                <w:rStyle w:val="normaltextrun"/>
                <w:rFonts w:eastAsia="Times New Roman" w:cs="Arial"/>
                <w:lang w:val="pt-BR"/>
              </w:rPr>
              <w:t xml:space="preserve">35,6 % </w:t>
            </w:r>
          </w:p>
        </w:tc>
      </w:tr>
      <w:tr w:rsidR="00C566B2" w14:paraId="670281EE" w14:textId="77777777" w:rsidTr="0077652B">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hideMark/>
          </w:tcPr>
          <w:p w14:paraId="43184260" w14:textId="77777777" w:rsidR="009F1396" w:rsidRPr="00877316" w:rsidRDefault="00000000" w:rsidP="0077652B">
            <w:pPr>
              <w:spacing w:after="0"/>
            </w:pPr>
            <w:r>
              <w:rPr>
                <w:rStyle w:val="normaltextrun"/>
                <w:rFonts w:eastAsia="Times New Roman" w:cs="Arial"/>
                <w:lang w:val="pt-BR"/>
              </w:rPr>
              <w:t xml:space="preserve">Estudantes com deficiências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4B727A8" w14:textId="77777777" w:rsidR="009F1396" w:rsidRPr="00877316" w:rsidRDefault="00000000" w:rsidP="0077652B">
            <w:pPr>
              <w:spacing w:after="0"/>
            </w:pPr>
            <w:r>
              <w:rPr>
                <w:rStyle w:val="normaltextrun"/>
                <w:rFonts w:eastAsia="Times New Roman" w:cs="Arial"/>
                <w:lang w:val="pt-BR"/>
              </w:rPr>
              <w:t xml:space="preserve">19,2 % </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1791625" w14:textId="77777777" w:rsidR="009F1396" w:rsidRPr="00877316" w:rsidRDefault="00000000" w:rsidP="0077652B">
            <w:pPr>
              <w:spacing w:after="0"/>
            </w:pPr>
            <w:r>
              <w:rPr>
                <w:rStyle w:val="normaltextrun"/>
                <w:rFonts w:eastAsia="Times New Roman" w:cs="Arial"/>
                <w:lang w:val="pt-BR"/>
              </w:rPr>
              <w:t xml:space="preserve">35,4%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D537989" w14:textId="77777777" w:rsidR="009F1396" w:rsidRPr="00877316" w:rsidRDefault="00000000" w:rsidP="0077652B">
            <w:pPr>
              <w:spacing w:after="0"/>
            </w:pPr>
            <w:r>
              <w:rPr>
                <w:rStyle w:val="normaltextrun"/>
                <w:rFonts w:eastAsia="Times New Roman" w:cs="Arial"/>
                <w:lang w:val="pt-BR"/>
              </w:rPr>
              <w:t xml:space="preserve">15,7 % </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66A4C6A" w14:textId="77777777" w:rsidR="009F1396" w:rsidRPr="00877316" w:rsidRDefault="00000000" w:rsidP="0077652B">
            <w:pPr>
              <w:spacing w:after="0"/>
            </w:pPr>
            <w:r>
              <w:rPr>
                <w:rStyle w:val="normaltextrun"/>
                <w:rFonts w:eastAsia="Times New Roman" w:cs="Arial"/>
                <w:lang w:val="pt-BR"/>
              </w:rPr>
              <w:t xml:space="preserve">32,6 % </w:t>
            </w:r>
          </w:p>
        </w:tc>
      </w:tr>
      <w:tr w:rsidR="00C566B2" w14:paraId="5BDC1479" w14:textId="77777777" w:rsidTr="0077652B">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hideMark/>
          </w:tcPr>
          <w:p w14:paraId="663F7860" w14:textId="77777777" w:rsidR="009F1396" w:rsidRPr="00877316" w:rsidRDefault="00000000" w:rsidP="0077652B">
            <w:pPr>
              <w:spacing w:after="0"/>
            </w:pPr>
            <w:r>
              <w:rPr>
                <w:rStyle w:val="normaltextrun"/>
                <w:rFonts w:eastAsia="Times New Roman" w:cs="Arial"/>
                <w:lang w:val="pt-BR"/>
              </w:rPr>
              <w:t xml:space="preserve">Aprendizes multilíngues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2BF9F0D0" w14:textId="77777777" w:rsidR="009F1396" w:rsidRPr="00877316" w:rsidRDefault="00000000" w:rsidP="0077652B">
            <w:pPr>
              <w:spacing w:after="0"/>
            </w:pPr>
            <w:r>
              <w:rPr>
                <w:rStyle w:val="normaltextrun"/>
                <w:rFonts w:eastAsia="Times New Roman" w:cs="Arial"/>
                <w:lang w:val="pt-BR"/>
              </w:rPr>
              <w:t xml:space="preserve">23,9 %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2E9831A8" w14:textId="77777777" w:rsidR="009F1396" w:rsidRPr="00877316" w:rsidRDefault="00000000" w:rsidP="0077652B">
            <w:pPr>
              <w:spacing w:after="0"/>
            </w:pPr>
            <w:r>
              <w:rPr>
                <w:rStyle w:val="normaltextrun"/>
                <w:rFonts w:eastAsia="Times New Roman" w:cs="Arial"/>
                <w:lang w:val="pt-BR"/>
              </w:rPr>
              <w:t xml:space="preserve">39,1%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1FB5C88F" w14:textId="77777777" w:rsidR="009F1396" w:rsidRPr="00877316" w:rsidRDefault="00000000" w:rsidP="0077652B">
            <w:pPr>
              <w:spacing w:after="0"/>
            </w:pPr>
            <w:r>
              <w:rPr>
                <w:rStyle w:val="normaltextrun"/>
                <w:rFonts w:eastAsia="Times New Roman" w:cs="Arial"/>
                <w:lang w:val="pt-BR"/>
              </w:rPr>
              <w:t xml:space="preserve">18,1 %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1BDBD737" w14:textId="77777777" w:rsidR="009F1396" w:rsidRPr="00877316" w:rsidRDefault="00000000" w:rsidP="0077652B">
            <w:pPr>
              <w:spacing w:after="0"/>
            </w:pPr>
            <w:r>
              <w:rPr>
                <w:rStyle w:val="normaltextrun"/>
                <w:rFonts w:eastAsia="Times New Roman" w:cs="Arial"/>
                <w:lang w:val="pt-BR"/>
              </w:rPr>
              <w:t xml:space="preserve">34,5 % </w:t>
            </w:r>
          </w:p>
        </w:tc>
      </w:tr>
      <w:tr w:rsidR="00C566B2" w14:paraId="14E4A034" w14:textId="77777777" w:rsidTr="0077652B">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250A4857" w14:textId="77777777" w:rsidR="009F1396" w:rsidRPr="00CC1CB4" w:rsidRDefault="00000000" w:rsidP="0077652B">
            <w:pPr>
              <w:spacing w:after="0"/>
              <w:rPr>
                <w:lang w:val="es-ES"/>
              </w:rPr>
            </w:pPr>
            <w:r>
              <w:rPr>
                <w:rStyle w:val="normaltextrun"/>
                <w:rFonts w:eastAsia="Times New Roman" w:cs="Arial"/>
                <w:lang w:val="pt-BR"/>
              </w:rPr>
              <w:t xml:space="preserve">Indígena americano ou nativo do Alasca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685F80A" w14:textId="77777777" w:rsidR="009F1396" w:rsidRPr="00877316" w:rsidRDefault="00000000" w:rsidP="0077652B">
            <w:pPr>
              <w:spacing w:after="0"/>
            </w:pPr>
            <w:r>
              <w:rPr>
                <w:rStyle w:val="normaltextrun"/>
                <w:rFonts w:eastAsia="Times New Roman" w:cs="Arial"/>
                <w:lang w:val="pt-BR"/>
              </w:rPr>
              <w:t xml:space="preserve">52,7 % </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C896795" w14:textId="77777777" w:rsidR="009F1396" w:rsidRPr="00877316" w:rsidRDefault="00000000" w:rsidP="0077652B">
            <w:pPr>
              <w:spacing w:after="0"/>
            </w:pPr>
            <w:r>
              <w:rPr>
                <w:rStyle w:val="normaltextrun"/>
                <w:rFonts w:eastAsia="Times New Roman" w:cs="Arial"/>
                <w:lang w:val="pt-BR"/>
              </w:rPr>
              <w:t xml:space="preserve">62,2%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E5791B4" w14:textId="77777777" w:rsidR="009F1396" w:rsidRPr="00877316" w:rsidRDefault="00000000" w:rsidP="0077652B">
            <w:pPr>
              <w:spacing w:after="0"/>
            </w:pPr>
            <w:r>
              <w:rPr>
                <w:rStyle w:val="normaltextrun"/>
                <w:rFonts w:eastAsia="Times New Roman" w:cs="Arial"/>
                <w:lang w:val="pt-BR"/>
              </w:rPr>
              <w:t xml:space="preserve">40,1 % </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07D604F" w14:textId="77777777" w:rsidR="009F1396" w:rsidRPr="00877316" w:rsidRDefault="00000000" w:rsidP="0077652B">
            <w:pPr>
              <w:spacing w:after="0"/>
            </w:pPr>
            <w:r>
              <w:rPr>
                <w:rStyle w:val="normaltextrun"/>
                <w:rFonts w:eastAsia="Times New Roman" w:cs="Arial"/>
                <w:lang w:val="pt-BR"/>
              </w:rPr>
              <w:t xml:space="preserve">52,1 % </w:t>
            </w:r>
          </w:p>
        </w:tc>
      </w:tr>
      <w:tr w:rsidR="00C566B2" w14:paraId="77382600" w14:textId="77777777" w:rsidTr="0077652B">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21E294C7" w14:textId="77777777" w:rsidR="009F1396" w:rsidRPr="00CC1CB4" w:rsidRDefault="00000000" w:rsidP="0077652B">
            <w:pPr>
              <w:spacing w:after="0"/>
              <w:rPr>
                <w:lang w:val="es-ES"/>
              </w:rPr>
            </w:pPr>
            <w:r>
              <w:rPr>
                <w:rStyle w:val="normaltextrun"/>
                <w:rFonts w:eastAsia="Times New Roman" w:cs="Arial"/>
                <w:lang w:val="pt-BR"/>
              </w:rPr>
              <w:t xml:space="preserve">Asiático, havaiano nativo ou das ilhas do Pacífico </w:t>
            </w:r>
          </w:p>
        </w:tc>
        <w:tc>
          <w:tcPr>
            <w:tcW w:w="1500"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0C725E61" w14:textId="77777777" w:rsidR="009F1396" w:rsidRPr="00877316" w:rsidRDefault="00000000" w:rsidP="0077652B">
            <w:pPr>
              <w:spacing w:after="0"/>
            </w:pPr>
            <w:r>
              <w:rPr>
                <w:rStyle w:val="normaltextrun"/>
                <w:rFonts w:eastAsia="Times New Roman" w:cs="Arial"/>
                <w:lang w:val="pt-BR"/>
              </w:rPr>
              <w:t xml:space="preserve">79,8%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1A9B58AD" w14:textId="77777777" w:rsidR="009F1396" w:rsidRPr="00877316" w:rsidRDefault="00000000" w:rsidP="0077652B">
            <w:pPr>
              <w:spacing w:after="0"/>
            </w:pPr>
            <w:r>
              <w:rPr>
                <w:rStyle w:val="normaltextrun"/>
                <w:rFonts w:eastAsia="Times New Roman" w:cs="Arial"/>
                <w:lang w:val="pt-BR"/>
              </w:rPr>
              <w:t xml:space="preserve">83,8%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54A5A97B" w14:textId="77777777" w:rsidR="009F1396" w:rsidRPr="00877316" w:rsidRDefault="00000000" w:rsidP="0077652B">
            <w:pPr>
              <w:spacing w:after="0"/>
            </w:pPr>
            <w:r>
              <w:rPr>
                <w:rStyle w:val="normaltextrun"/>
                <w:rFonts w:eastAsia="Times New Roman" w:cs="Arial"/>
                <w:lang w:val="pt-BR"/>
              </w:rPr>
              <w:t xml:space="preserve">73,1%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7263BC35" w14:textId="77777777" w:rsidR="009F1396" w:rsidRPr="00877316" w:rsidRDefault="00000000" w:rsidP="0077652B">
            <w:pPr>
              <w:spacing w:after="0"/>
            </w:pPr>
            <w:r>
              <w:rPr>
                <w:rStyle w:val="normaltextrun"/>
                <w:rFonts w:eastAsia="Times New Roman" w:cs="Arial"/>
                <w:lang w:val="pt-BR"/>
              </w:rPr>
              <w:t xml:space="preserve">78,5% </w:t>
            </w:r>
          </w:p>
        </w:tc>
      </w:tr>
      <w:tr w:rsidR="00C566B2" w14:paraId="47178582" w14:textId="77777777" w:rsidTr="0077652B">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4016CBCE" w14:textId="77777777" w:rsidR="009F1396" w:rsidRPr="00877316" w:rsidRDefault="00000000" w:rsidP="0077652B">
            <w:pPr>
              <w:spacing w:after="0"/>
            </w:pPr>
            <w:r>
              <w:rPr>
                <w:rStyle w:val="normaltextrun"/>
                <w:rFonts w:eastAsia="Times New Roman" w:cs="Arial"/>
                <w:lang w:val="pt-BR"/>
              </w:rPr>
              <w:t xml:space="preserve">Negro ou afro-americano </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9576C7" w14:textId="77777777" w:rsidR="009F1396" w:rsidRPr="00877316" w:rsidRDefault="00000000" w:rsidP="0077652B">
            <w:pPr>
              <w:spacing w:after="0"/>
            </w:pPr>
            <w:r>
              <w:rPr>
                <w:rStyle w:val="normaltextrun"/>
                <w:rFonts w:eastAsia="Times New Roman" w:cs="Arial"/>
                <w:lang w:val="pt-BR"/>
              </w:rPr>
              <w:t xml:space="preserve">34,0 % </w:t>
            </w:r>
          </w:p>
        </w:tc>
        <w:tc>
          <w:tcPr>
            <w:tcW w:w="15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FA7B13" w14:textId="77777777" w:rsidR="009F1396" w:rsidRPr="00877316" w:rsidRDefault="00000000" w:rsidP="0077652B">
            <w:pPr>
              <w:spacing w:after="0"/>
            </w:pPr>
            <w:r>
              <w:rPr>
                <w:rStyle w:val="normaltextrun"/>
                <w:rFonts w:eastAsia="Times New Roman" w:cs="Arial"/>
                <w:lang w:val="pt-BR"/>
              </w:rPr>
              <w:t xml:space="preserve">47,2% </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504604" w14:textId="77777777" w:rsidR="009F1396" w:rsidRPr="00877316" w:rsidRDefault="00000000" w:rsidP="0077652B">
            <w:pPr>
              <w:spacing w:after="0"/>
            </w:pPr>
            <w:r>
              <w:rPr>
                <w:rStyle w:val="normaltextrun"/>
                <w:rFonts w:eastAsia="Times New Roman" w:cs="Arial"/>
                <w:lang w:val="pt-BR"/>
              </w:rPr>
              <w:t xml:space="preserve">17,9 % </w:t>
            </w:r>
          </w:p>
        </w:tc>
        <w:tc>
          <w:tcPr>
            <w:tcW w:w="15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9AF78D" w14:textId="77777777" w:rsidR="009F1396" w:rsidRPr="00877316" w:rsidRDefault="00000000" w:rsidP="0077652B">
            <w:pPr>
              <w:spacing w:after="0"/>
            </w:pPr>
            <w:r>
              <w:rPr>
                <w:rStyle w:val="normaltextrun"/>
                <w:rFonts w:eastAsia="Times New Roman" w:cs="Arial"/>
                <w:lang w:val="pt-BR"/>
              </w:rPr>
              <w:t xml:space="preserve">34,3 % </w:t>
            </w:r>
          </w:p>
        </w:tc>
      </w:tr>
      <w:tr w:rsidR="00C566B2" w14:paraId="2E26BBED" w14:textId="77777777" w:rsidTr="0077652B">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6C69A949" w14:textId="77777777" w:rsidR="009F1396" w:rsidRPr="00877316" w:rsidRDefault="00000000" w:rsidP="0077652B">
            <w:pPr>
              <w:spacing w:after="0"/>
            </w:pPr>
            <w:r>
              <w:rPr>
                <w:rStyle w:val="normaltextrun"/>
                <w:rFonts w:eastAsia="Times New Roman" w:cs="Arial"/>
                <w:lang w:val="pt-BR"/>
              </w:rPr>
              <w:t xml:space="preserve">Hispânico ou latino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2C90464A" w14:textId="77777777" w:rsidR="009F1396" w:rsidRPr="00877316" w:rsidRDefault="00000000" w:rsidP="0077652B">
            <w:pPr>
              <w:spacing w:after="0"/>
            </w:pPr>
            <w:r>
              <w:rPr>
                <w:rStyle w:val="normaltextrun"/>
                <w:rFonts w:eastAsia="Times New Roman" w:cs="Arial"/>
                <w:lang w:val="pt-BR"/>
              </w:rPr>
              <w:t xml:space="preserve">37,3 %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35E54699" w14:textId="77777777" w:rsidR="009F1396" w:rsidRPr="00877316" w:rsidRDefault="00000000" w:rsidP="0077652B">
            <w:pPr>
              <w:spacing w:after="0"/>
            </w:pPr>
            <w:r>
              <w:rPr>
                <w:rStyle w:val="normaltextrun"/>
                <w:rFonts w:eastAsia="Times New Roman" w:cs="Arial"/>
                <w:lang w:val="pt-BR"/>
              </w:rPr>
              <w:t xml:space="preserve">49,8%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37D21A86" w14:textId="77777777" w:rsidR="009F1396" w:rsidRPr="00877316" w:rsidRDefault="00000000" w:rsidP="0077652B">
            <w:pPr>
              <w:spacing w:after="0"/>
            </w:pPr>
            <w:r>
              <w:rPr>
                <w:rStyle w:val="normaltextrun"/>
                <w:rFonts w:eastAsia="Times New Roman" w:cs="Arial"/>
                <w:lang w:val="pt-BR"/>
              </w:rPr>
              <w:t xml:space="preserve">22,2 %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12505056" w14:textId="77777777" w:rsidR="009F1396" w:rsidRPr="00877316" w:rsidRDefault="00000000" w:rsidP="0077652B">
            <w:pPr>
              <w:spacing w:after="0"/>
            </w:pPr>
            <w:r>
              <w:rPr>
                <w:rStyle w:val="normaltextrun"/>
                <w:rFonts w:eastAsia="Times New Roman" w:cs="Arial"/>
                <w:lang w:val="pt-BR"/>
              </w:rPr>
              <w:t xml:space="preserve">37,8 % </w:t>
            </w:r>
          </w:p>
        </w:tc>
      </w:tr>
      <w:tr w:rsidR="00C566B2" w14:paraId="50DDA5D1" w14:textId="77777777" w:rsidTr="0077652B">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1F042DEB" w14:textId="77777777" w:rsidR="009F1396" w:rsidRPr="00877316" w:rsidRDefault="00000000" w:rsidP="0077652B">
            <w:pPr>
              <w:spacing w:after="0"/>
            </w:pPr>
            <w:r>
              <w:rPr>
                <w:rStyle w:val="normaltextrun"/>
                <w:rFonts w:eastAsia="Times New Roman" w:cs="Arial"/>
                <w:lang w:val="pt-BR"/>
              </w:rPr>
              <w:t xml:space="preserve">Branco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E625A66" w14:textId="77777777" w:rsidR="009F1396" w:rsidRPr="00877316" w:rsidRDefault="00000000" w:rsidP="0077652B">
            <w:pPr>
              <w:spacing w:after="0"/>
            </w:pPr>
            <w:r>
              <w:rPr>
                <w:rStyle w:val="normaltextrun"/>
                <w:rFonts w:eastAsia="Times New Roman" w:cs="Arial"/>
                <w:lang w:val="pt-BR"/>
              </w:rPr>
              <w:t xml:space="preserve">60,7 % </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E32E694" w14:textId="77777777" w:rsidR="009F1396" w:rsidRPr="00877316" w:rsidRDefault="00000000" w:rsidP="0077652B">
            <w:pPr>
              <w:spacing w:after="0"/>
            </w:pPr>
            <w:r>
              <w:rPr>
                <w:rStyle w:val="normaltextrun"/>
                <w:rFonts w:eastAsia="Times New Roman" w:cs="Arial"/>
                <w:lang w:val="pt-BR"/>
              </w:rPr>
              <w:t xml:space="preserve">68,6%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1C4886B" w14:textId="77777777" w:rsidR="009F1396" w:rsidRPr="00877316" w:rsidRDefault="00000000" w:rsidP="0077652B">
            <w:pPr>
              <w:spacing w:after="0"/>
            </w:pPr>
            <w:r>
              <w:rPr>
                <w:rStyle w:val="normaltextrun"/>
                <w:rFonts w:eastAsia="Times New Roman" w:cs="Arial"/>
                <w:lang w:val="pt-BR"/>
              </w:rPr>
              <w:t xml:space="preserve">48,7 % </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BB243BF" w14:textId="77777777" w:rsidR="009F1396" w:rsidRPr="00877316" w:rsidRDefault="00000000" w:rsidP="0077652B">
            <w:pPr>
              <w:spacing w:after="0"/>
            </w:pPr>
            <w:r>
              <w:rPr>
                <w:rStyle w:val="normaltextrun"/>
                <w:rFonts w:eastAsia="Times New Roman" w:cs="Arial"/>
                <w:lang w:val="pt-BR"/>
              </w:rPr>
              <w:t xml:space="preserve">59,0 % </w:t>
            </w:r>
          </w:p>
        </w:tc>
      </w:tr>
      <w:tr w:rsidR="00C566B2" w14:paraId="10ECA67D" w14:textId="77777777" w:rsidTr="0077652B">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622F1BF0" w14:textId="77777777" w:rsidR="009F1396" w:rsidRPr="00877316" w:rsidRDefault="00000000" w:rsidP="0077652B">
            <w:pPr>
              <w:spacing w:after="0"/>
            </w:pPr>
            <w:r>
              <w:rPr>
                <w:rStyle w:val="normaltextrun"/>
                <w:rFonts w:eastAsia="Times New Roman" w:cs="Arial"/>
                <w:lang w:val="pt-BR"/>
              </w:rPr>
              <w:t xml:space="preserve">Duas ou mais raças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444FBE4C" w14:textId="77777777" w:rsidR="009F1396" w:rsidRPr="00877316" w:rsidRDefault="00000000" w:rsidP="0077652B">
            <w:pPr>
              <w:spacing w:after="0"/>
            </w:pPr>
            <w:r>
              <w:rPr>
                <w:rStyle w:val="normaltextrun"/>
                <w:rFonts w:eastAsia="Times New Roman" w:cs="Arial"/>
                <w:lang w:val="pt-BR"/>
              </w:rPr>
              <w:t xml:space="preserve">58,2 %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424449F8" w14:textId="77777777" w:rsidR="009F1396" w:rsidRPr="00877316" w:rsidRDefault="00000000" w:rsidP="0077652B">
            <w:pPr>
              <w:spacing w:after="0"/>
            </w:pPr>
            <w:r>
              <w:rPr>
                <w:rStyle w:val="normaltextrun"/>
                <w:rFonts w:eastAsia="Times New Roman" w:cs="Arial"/>
                <w:lang w:val="pt-BR"/>
              </w:rPr>
              <w:t xml:space="preserve">66,6%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50D67932" w14:textId="77777777" w:rsidR="009F1396" w:rsidRPr="002C5B24" w:rsidRDefault="00000000" w:rsidP="0077652B">
            <w:pPr>
              <w:spacing w:after="0"/>
            </w:pPr>
            <w:r>
              <w:rPr>
                <w:rStyle w:val="normaltextrun"/>
                <w:rFonts w:eastAsia="Times New Roman" w:cs="Arial"/>
                <w:lang w:val="pt-BR"/>
              </w:rPr>
              <w:t xml:space="preserve">46,4 %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4EF465A7" w14:textId="77777777" w:rsidR="009F1396" w:rsidRPr="002C5B24" w:rsidRDefault="00000000" w:rsidP="0077652B">
            <w:pPr>
              <w:spacing w:after="0"/>
            </w:pPr>
            <w:r>
              <w:rPr>
                <w:rStyle w:val="normaltextrun"/>
                <w:rFonts w:eastAsia="Times New Roman" w:cs="Arial"/>
                <w:lang w:val="pt-BR"/>
              </w:rPr>
              <w:t xml:space="preserve">57,1 % </w:t>
            </w:r>
          </w:p>
        </w:tc>
      </w:tr>
    </w:tbl>
    <w:p w14:paraId="61BBD5AF" w14:textId="77777777" w:rsidR="00973F83" w:rsidRPr="0077652B" w:rsidRDefault="00000000" w:rsidP="0077652B">
      <w:pPr>
        <w:pStyle w:val="5"/>
        <w:spacing w:before="240"/>
      </w:pPr>
      <w:r>
        <w:rPr>
          <w:rFonts w:ascii="Cambria" w:eastAsia="Cambria" w:hAnsi="Cambria" w:cs="Times New Roman"/>
          <w:bCs/>
          <w:lang w:val="pt-BR"/>
        </w:rPr>
        <w:t>Medições do progresso provisório</w:t>
      </w:r>
    </w:p>
    <w:p w14:paraId="7E019754" w14:textId="77777777" w:rsidR="008A5E15" w:rsidRPr="00CC1CB4" w:rsidRDefault="00000000" w:rsidP="009C603D">
      <w:pPr>
        <w:rPr>
          <w:rFonts w:cs="Times New Roman"/>
          <w:lang w:val="es-ES"/>
        </w:rPr>
      </w:pPr>
      <w:r>
        <w:rPr>
          <w:rFonts w:eastAsia="Times New Roman" w:cs="Times New Roman"/>
          <w:lang w:val="pt-BR"/>
        </w:rPr>
        <w:t>As medições do progresso provisório, ou metas anuais, para cada escola e cada grupo de alunos serão definidas com base no desempenho básico exclusivo de cada escola e cada grupo de alunos e meta de longo prazo. As metas anuais para os anos um a cinco serão inicialmente definidas com base na quantidade anual de progresso necessária para atingir a meta de longo prazo em seis anos, com o progresso igualmente distribuído ao longo dos seis anos. Por exemplo, se um grupo de alunos tiver um desempenho de referência de 50% de proficiência em 2022-2023, a meta da ESSA de longo prazo para o ano letivo de 2028-2029 seria de 60%, representando uma redução de 20% na lacuna entre o desempenho de referência e 100% de proficiência. As metas anuais para os anos um a cinco seriam baseadas em um aumento anual de 1,7%.</w:t>
      </w:r>
    </w:p>
    <w:p w14:paraId="1E175BEB" w14:textId="77777777" w:rsidR="008A5E15" w:rsidRPr="00CC1CB4" w:rsidRDefault="00000000" w:rsidP="00F86F30">
      <w:pPr>
        <w:pStyle w:val="aff0"/>
        <w:rPr>
          <w:rFonts w:ascii="Times New Roman" w:hAnsi="Times New Roman"/>
          <w:color w:val="215868" w:themeColor="accent5" w:themeShade="80"/>
          <w:lang w:val="es-ES"/>
        </w:rPr>
      </w:pPr>
      <w:r>
        <w:rPr>
          <w:rFonts w:eastAsia="Cambria"/>
          <w:lang w:val="pt-BR"/>
        </w:rPr>
        <w:lastRenderedPageBreak/>
        <w:t>Figura A.3: Exemplo de meta de longo prazo (6 anos) do grupo de alunos e metas anuais/progresso provisório</w:t>
      </w:r>
    </w:p>
    <w:tbl>
      <w:tblPr>
        <w:tblStyle w:val="af5"/>
        <w:tblW w:w="0" w:type="auto"/>
        <w:tblCellMar>
          <w:top w:w="58" w:type="dxa"/>
          <w:left w:w="58" w:type="dxa"/>
          <w:bottom w:w="58" w:type="dxa"/>
          <w:right w:w="58" w:type="dxa"/>
        </w:tblCellMar>
        <w:tblLook w:val="0420" w:firstRow="1" w:lastRow="0" w:firstColumn="0" w:lastColumn="0" w:noHBand="0" w:noVBand="1"/>
      </w:tblPr>
      <w:tblGrid>
        <w:gridCol w:w="1170"/>
        <w:gridCol w:w="1339"/>
        <w:gridCol w:w="1143"/>
        <w:gridCol w:w="1144"/>
        <w:gridCol w:w="1144"/>
        <w:gridCol w:w="1144"/>
        <w:gridCol w:w="1144"/>
        <w:gridCol w:w="1122"/>
      </w:tblGrid>
      <w:tr w:rsidR="00C566B2" w14:paraId="7242A9DC" w14:textId="77777777" w:rsidTr="002D678C">
        <w:trPr>
          <w:tblHeader/>
        </w:trPr>
        <w:tc>
          <w:tcPr>
            <w:tcW w:w="1189" w:type="dxa"/>
            <w:tcBorders>
              <w:right w:val="single" w:sz="4" w:space="0" w:color="FFFFFF" w:themeColor="background1"/>
            </w:tcBorders>
            <w:shd w:val="clear" w:color="auto" w:fill="215868" w:themeFill="accent5" w:themeFillShade="80"/>
          </w:tcPr>
          <w:p w14:paraId="012DF727" w14:textId="77777777" w:rsidR="003D4604" w:rsidRPr="00877316" w:rsidRDefault="00000000" w:rsidP="00152861">
            <w:pPr>
              <w:jc w:val="center"/>
              <w:rPr>
                <w:b/>
                <w:color w:val="FFFFFF" w:themeColor="background1"/>
                <w:sz w:val="22"/>
                <w:szCs w:val="22"/>
              </w:rPr>
            </w:pPr>
            <w:r>
              <w:rPr>
                <w:rFonts w:eastAsia="Times New Roman"/>
                <w:b/>
                <w:bCs/>
                <w:color w:val="FFFFFF"/>
                <w:sz w:val="22"/>
                <w:szCs w:val="22"/>
                <w:lang w:val="pt-BR"/>
              </w:rPr>
              <w:t>Grupo de estudantes</w:t>
            </w:r>
          </w:p>
        </w:tc>
        <w:tc>
          <w:tcPr>
            <w:tcW w:w="1346" w:type="dxa"/>
            <w:tcBorders>
              <w:left w:val="single" w:sz="4" w:space="0" w:color="FFFFFF" w:themeColor="background1"/>
              <w:right w:val="single" w:sz="4" w:space="0" w:color="FFFFFF" w:themeColor="background1"/>
            </w:tcBorders>
            <w:shd w:val="clear" w:color="auto" w:fill="215868" w:themeFill="accent5" w:themeFillShade="80"/>
          </w:tcPr>
          <w:p w14:paraId="5B6F5029" w14:textId="77777777" w:rsidR="003D4604" w:rsidRPr="00CC1CB4" w:rsidRDefault="00000000" w:rsidP="00152861">
            <w:pPr>
              <w:jc w:val="center"/>
              <w:rPr>
                <w:b/>
                <w:color w:val="FFFFFF" w:themeColor="background1"/>
                <w:sz w:val="22"/>
                <w:szCs w:val="22"/>
                <w:lang w:val="es-ES"/>
              </w:rPr>
            </w:pPr>
            <w:r>
              <w:rPr>
                <w:rFonts w:eastAsia="Times New Roman"/>
                <w:b/>
                <w:bCs/>
                <w:color w:val="FFFFFF"/>
                <w:sz w:val="22"/>
                <w:szCs w:val="22"/>
                <w:lang w:val="pt-BR"/>
              </w:rPr>
              <w:t>Desempenho da linha de base de 2022-2023</w:t>
            </w:r>
          </w:p>
        </w:tc>
        <w:tc>
          <w:tcPr>
            <w:tcW w:w="1269" w:type="dxa"/>
            <w:tcBorders>
              <w:left w:val="single" w:sz="4" w:space="0" w:color="FFFFFF" w:themeColor="background1"/>
              <w:right w:val="single" w:sz="4" w:space="0" w:color="FFFFFF" w:themeColor="background1"/>
            </w:tcBorders>
            <w:shd w:val="clear" w:color="auto" w:fill="215868" w:themeFill="accent5" w:themeFillShade="80"/>
          </w:tcPr>
          <w:p w14:paraId="58630930" w14:textId="77777777" w:rsidR="003D4604" w:rsidRPr="00877316" w:rsidRDefault="00000000" w:rsidP="00152861">
            <w:pPr>
              <w:jc w:val="center"/>
              <w:rPr>
                <w:b/>
                <w:color w:val="FFFFFF" w:themeColor="background1"/>
                <w:sz w:val="22"/>
                <w:szCs w:val="22"/>
              </w:rPr>
            </w:pPr>
            <w:r>
              <w:rPr>
                <w:rFonts w:eastAsia="Times New Roman"/>
                <w:b/>
                <w:bCs/>
                <w:color w:val="FFFFFF"/>
                <w:sz w:val="22"/>
                <w:szCs w:val="22"/>
                <w:lang w:val="pt-BR"/>
              </w:rPr>
              <w:t>Meta para 2023-2024 (Ano 1)</w:t>
            </w:r>
          </w:p>
        </w:tc>
        <w:tc>
          <w:tcPr>
            <w:tcW w:w="1270" w:type="dxa"/>
            <w:tcBorders>
              <w:left w:val="single" w:sz="4" w:space="0" w:color="FFFFFF" w:themeColor="background1"/>
              <w:right w:val="single" w:sz="4" w:space="0" w:color="FFFFFF" w:themeColor="background1"/>
            </w:tcBorders>
            <w:shd w:val="clear" w:color="auto" w:fill="215868" w:themeFill="accent5" w:themeFillShade="80"/>
          </w:tcPr>
          <w:p w14:paraId="6A646900" w14:textId="77777777" w:rsidR="003D4604" w:rsidRPr="00877316" w:rsidRDefault="00000000" w:rsidP="00152861">
            <w:pPr>
              <w:jc w:val="center"/>
              <w:rPr>
                <w:b/>
                <w:color w:val="FFFFFF" w:themeColor="background1"/>
                <w:sz w:val="22"/>
                <w:szCs w:val="22"/>
              </w:rPr>
            </w:pPr>
            <w:r>
              <w:rPr>
                <w:rFonts w:eastAsia="Times New Roman"/>
                <w:b/>
                <w:bCs/>
                <w:color w:val="FFFFFF"/>
                <w:sz w:val="22"/>
                <w:szCs w:val="22"/>
                <w:lang w:val="pt-BR"/>
              </w:rPr>
              <w:t>Meta para 2024-2025 (Ano 2)</w:t>
            </w:r>
          </w:p>
        </w:tc>
        <w:tc>
          <w:tcPr>
            <w:tcW w:w="1270" w:type="dxa"/>
            <w:tcBorders>
              <w:left w:val="single" w:sz="4" w:space="0" w:color="FFFFFF" w:themeColor="background1"/>
              <w:right w:val="single" w:sz="4" w:space="0" w:color="FFFFFF" w:themeColor="background1"/>
            </w:tcBorders>
            <w:shd w:val="clear" w:color="auto" w:fill="215868" w:themeFill="accent5" w:themeFillShade="80"/>
          </w:tcPr>
          <w:p w14:paraId="291D1ACA" w14:textId="77777777" w:rsidR="003D4604" w:rsidRPr="00877316" w:rsidRDefault="00000000" w:rsidP="00152861">
            <w:pPr>
              <w:jc w:val="center"/>
              <w:rPr>
                <w:b/>
                <w:color w:val="FFFFFF" w:themeColor="background1"/>
                <w:sz w:val="22"/>
                <w:szCs w:val="22"/>
              </w:rPr>
            </w:pPr>
            <w:r>
              <w:rPr>
                <w:rFonts w:eastAsia="Times New Roman"/>
                <w:b/>
                <w:bCs/>
                <w:color w:val="FFFFFF"/>
                <w:sz w:val="22"/>
                <w:szCs w:val="22"/>
                <w:lang w:val="pt-BR"/>
              </w:rPr>
              <w:t>Meta para 2025-2026 (Ano 3)</w:t>
            </w:r>
          </w:p>
        </w:tc>
        <w:tc>
          <w:tcPr>
            <w:tcW w:w="1270" w:type="dxa"/>
            <w:tcBorders>
              <w:left w:val="single" w:sz="4" w:space="0" w:color="FFFFFF" w:themeColor="background1"/>
              <w:right w:val="single" w:sz="4" w:space="0" w:color="FFFFFF" w:themeColor="background1"/>
            </w:tcBorders>
            <w:shd w:val="clear" w:color="auto" w:fill="215868" w:themeFill="accent5" w:themeFillShade="80"/>
          </w:tcPr>
          <w:p w14:paraId="5C997F8A" w14:textId="77777777" w:rsidR="003D4604" w:rsidRPr="00877316" w:rsidRDefault="00000000" w:rsidP="00152861">
            <w:pPr>
              <w:jc w:val="center"/>
              <w:rPr>
                <w:b/>
                <w:color w:val="FFFFFF" w:themeColor="background1"/>
                <w:sz w:val="22"/>
                <w:szCs w:val="22"/>
              </w:rPr>
            </w:pPr>
            <w:r>
              <w:rPr>
                <w:rFonts w:eastAsia="Times New Roman"/>
                <w:b/>
                <w:bCs/>
                <w:color w:val="FFFFFF"/>
                <w:sz w:val="22"/>
                <w:szCs w:val="22"/>
                <w:lang w:val="pt-BR"/>
              </w:rPr>
              <w:t>Meta para 2026-2027 (Ano 4)</w:t>
            </w:r>
          </w:p>
        </w:tc>
        <w:tc>
          <w:tcPr>
            <w:tcW w:w="1270" w:type="dxa"/>
            <w:tcBorders>
              <w:left w:val="single" w:sz="4" w:space="0" w:color="FFFFFF" w:themeColor="background1"/>
              <w:right w:val="single" w:sz="4" w:space="0" w:color="FFFFFF" w:themeColor="background1"/>
            </w:tcBorders>
            <w:shd w:val="clear" w:color="auto" w:fill="215868" w:themeFill="accent5" w:themeFillShade="80"/>
          </w:tcPr>
          <w:p w14:paraId="07BEA7E7" w14:textId="77777777" w:rsidR="003D4604" w:rsidRPr="00877316" w:rsidRDefault="00000000" w:rsidP="00152861">
            <w:pPr>
              <w:jc w:val="center"/>
              <w:rPr>
                <w:b/>
                <w:color w:val="FFFFFF" w:themeColor="background1"/>
                <w:sz w:val="22"/>
                <w:szCs w:val="22"/>
              </w:rPr>
            </w:pPr>
            <w:r>
              <w:rPr>
                <w:rFonts w:eastAsia="Times New Roman"/>
                <w:b/>
                <w:bCs/>
                <w:color w:val="FFFFFF"/>
                <w:sz w:val="22"/>
                <w:szCs w:val="22"/>
                <w:lang w:val="pt-BR"/>
              </w:rPr>
              <w:t>Meta para 2027-2028 (Ano 5)</w:t>
            </w:r>
          </w:p>
        </w:tc>
        <w:tc>
          <w:tcPr>
            <w:tcW w:w="1258" w:type="dxa"/>
            <w:tcBorders>
              <w:left w:val="single" w:sz="4" w:space="0" w:color="FFFFFF" w:themeColor="background1"/>
            </w:tcBorders>
            <w:shd w:val="clear" w:color="auto" w:fill="215868" w:themeFill="accent5" w:themeFillShade="80"/>
          </w:tcPr>
          <w:p w14:paraId="383C096F" w14:textId="77777777" w:rsidR="003D4604" w:rsidRPr="00877316" w:rsidRDefault="00000000" w:rsidP="00152861">
            <w:pPr>
              <w:jc w:val="center"/>
              <w:rPr>
                <w:b/>
                <w:color w:val="FFFFFF" w:themeColor="background1"/>
                <w:sz w:val="22"/>
                <w:szCs w:val="22"/>
              </w:rPr>
            </w:pPr>
            <w:r>
              <w:rPr>
                <w:rFonts w:eastAsia="Times New Roman"/>
                <w:b/>
                <w:bCs/>
                <w:color w:val="FFFFFF"/>
                <w:sz w:val="22"/>
                <w:szCs w:val="22"/>
                <w:lang w:val="pt-BR"/>
              </w:rPr>
              <w:t>Meta para 2028-2029 (Ano 6)</w:t>
            </w:r>
          </w:p>
        </w:tc>
      </w:tr>
      <w:tr w:rsidR="00C566B2" w14:paraId="2F621788" w14:textId="77777777" w:rsidTr="0077652B">
        <w:tc>
          <w:tcPr>
            <w:tcW w:w="1189" w:type="dxa"/>
          </w:tcPr>
          <w:p w14:paraId="027B4227" w14:textId="77777777" w:rsidR="003D4604" w:rsidRPr="00877316" w:rsidRDefault="00000000" w:rsidP="009C603D">
            <w:pPr>
              <w:rPr>
                <w:sz w:val="22"/>
                <w:szCs w:val="22"/>
              </w:rPr>
            </w:pPr>
            <w:r>
              <w:rPr>
                <w:rFonts w:eastAsia="Times New Roman"/>
                <w:sz w:val="22"/>
                <w:szCs w:val="22"/>
                <w:lang w:val="pt-BR"/>
              </w:rPr>
              <w:t>Exemplo</w:t>
            </w:r>
          </w:p>
        </w:tc>
        <w:tc>
          <w:tcPr>
            <w:tcW w:w="1346" w:type="dxa"/>
          </w:tcPr>
          <w:p w14:paraId="4DA594EE" w14:textId="77777777" w:rsidR="003D4604" w:rsidRPr="00877316" w:rsidRDefault="00000000" w:rsidP="00436B8A">
            <w:pPr>
              <w:jc w:val="center"/>
              <w:rPr>
                <w:sz w:val="22"/>
                <w:szCs w:val="22"/>
              </w:rPr>
            </w:pPr>
            <w:r>
              <w:rPr>
                <w:rFonts w:eastAsia="Times New Roman"/>
                <w:sz w:val="22"/>
                <w:szCs w:val="22"/>
                <w:lang w:val="pt-BR"/>
              </w:rPr>
              <w:t>50%</w:t>
            </w:r>
          </w:p>
        </w:tc>
        <w:tc>
          <w:tcPr>
            <w:tcW w:w="1269" w:type="dxa"/>
          </w:tcPr>
          <w:p w14:paraId="644F423B" w14:textId="77777777" w:rsidR="003D4604" w:rsidRPr="00877316" w:rsidRDefault="00000000" w:rsidP="00436B8A">
            <w:pPr>
              <w:jc w:val="center"/>
              <w:rPr>
                <w:sz w:val="22"/>
                <w:szCs w:val="22"/>
              </w:rPr>
            </w:pPr>
            <w:r>
              <w:rPr>
                <w:rFonts w:eastAsia="Times New Roman"/>
                <w:sz w:val="22"/>
                <w:szCs w:val="22"/>
                <w:lang w:val="pt-BR"/>
              </w:rPr>
              <w:t>51,7%</w:t>
            </w:r>
          </w:p>
        </w:tc>
        <w:tc>
          <w:tcPr>
            <w:tcW w:w="1270" w:type="dxa"/>
          </w:tcPr>
          <w:p w14:paraId="4FACC51F" w14:textId="77777777" w:rsidR="003D4604" w:rsidRPr="00877316" w:rsidRDefault="00000000" w:rsidP="00436B8A">
            <w:pPr>
              <w:jc w:val="center"/>
              <w:rPr>
                <w:sz w:val="22"/>
                <w:szCs w:val="22"/>
              </w:rPr>
            </w:pPr>
            <w:r>
              <w:rPr>
                <w:rFonts w:eastAsia="Times New Roman"/>
                <w:sz w:val="22"/>
                <w:szCs w:val="22"/>
                <w:lang w:val="pt-BR"/>
              </w:rPr>
              <w:t>53,3%</w:t>
            </w:r>
          </w:p>
        </w:tc>
        <w:tc>
          <w:tcPr>
            <w:tcW w:w="1270" w:type="dxa"/>
          </w:tcPr>
          <w:p w14:paraId="3213217C" w14:textId="77777777" w:rsidR="003D4604" w:rsidRPr="00877316" w:rsidRDefault="00000000" w:rsidP="00436B8A">
            <w:pPr>
              <w:jc w:val="center"/>
              <w:rPr>
                <w:sz w:val="22"/>
                <w:szCs w:val="22"/>
              </w:rPr>
            </w:pPr>
            <w:r>
              <w:rPr>
                <w:rFonts w:eastAsia="Times New Roman"/>
                <w:sz w:val="22"/>
                <w:szCs w:val="22"/>
                <w:lang w:val="pt-BR"/>
              </w:rPr>
              <w:t>55,0%</w:t>
            </w:r>
          </w:p>
        </w:tc>
        <w:tc>
          <w:tcPr>
            <w:tcW w:w="1270" w:type="dxa"/>
          </w:tcPr>
          <w:p w14:paraId="22F8691E" w14:textId="77777777" w:rsidR="003D4604" w:rsidRPr="00877316" w:rsidRDefault="00000000" w:rsidP="00436B8A">
            <w:pPr>
              <w:jc w:val="center"/>
              <w:rPr>
                <w:sz w:val="22"/>
                <w:szCs w:val="22"/>
              </w:rPr>
            </w:pPr>
            <w:r>
              <w:rPr>
                <w:rFonts w:eastAsia="Times New Roman"/>
                <w:sz w:val="22"/>
                <w:szCs w:val="22"/>
                <w:lang w:val="pt-BR"/>
              </w:rPr>
              <w:t>56,7%</w:t>
            </w:r>
          </w:p>
        </w:tc>
        <w:tc>
          <w:tcPr>
            <w:tcW w:w="1270" w:type="dxa"/>
          </w:tcPr>
          <w:p w14:paraId="2EE559EC" w14:textId="77777777" w:rsidR="003D4604" w:rsidRPr="00877316" w:rsidRDefault="00000000" w:rsidP="00436B8A">
            <w:pPr>
              <w:jc w:val="center"/>
              <w:rPr>
                <w:sz w:val="22"/>
                <w:szCs w:val="22"/>
              </w:rPr>
            </w:pPr>
            <w:r>
              <w:rPr>
                <w:rFonts w:eastAsia="Times New Roman"/>
                <w:sz w:val="22"/>
                <w:szCs w:val="22"/>
                <w:lang w:val="pt-BR"/>
              </w:rPr>
              <w:t>58,3%</w:t>
            </w:r>
          </w:p>
        </w:tc>
        <w:tc>
          <w:tcPr>
            <w:tcW w:w="1258" w:type="dxa"/>
          </w:tcPr>
          <w:p w14:paraId="2FB78B27" w14:textId="77777777" w:rsidR="003D4604" w:rsidRPr="00877316" w:rsidRDefault="00000000" w:rsidP="00436B8A">
            <w:pPr>
              <w:jc w:val="center"/>
              <w:rPr>
                <w:sz w:val="22"/>
                <w:szCs w:val="22"/>
              </w:rPr>
            </w:pPr>
            <w:r>
              <w:rPr>
                <w:rFonts w:eastAsia="Times New Roman"/>
                <w:sz w:val="22"/>
                <w:szCs w:val="22"/>
                <w:lang w:val="pt-BR"/>
              </w:rPr>
              <w:t>60%</w:t>
            </w:r>
          </w:p>
        </w:tc>
      </w:tr>
    </w:tbl>
    <w:p w14:paraId="612D975E" w14:textId="77777777" w:rsidR="006415C4" w:rsidRPr="00CC1CB4" w:rsidRDefault="00000000" w:rsidP="002D678C">
      <w:pPr>
        <w:spacing w:before="240" w:after="220"/>
        <w:rPr>
          <w:rFonts w:cs="Times New Roman"/>
          <w:lang w:val="es-ES"/>
        </w:rPr>
      </w:pPr>
      <w:r>
        <w:rPr>
          <w:rFonts w:eastAsia="Times New Roman" w:cs="Times New Roman"/>
          <w:lang w:val="pt-BR"/>
        </w:rPr>
        <w:t>A cada ano, as metas anuais para os anos restantes serão analisadas. Se uma escola não atingiu sua meta anual para um determinado ano, as metas anuais restantes até o quinto ano serão ajustadas para refletir a quantidade anual de progresso necessária para atingir a meta de longo prazo nos anos restantes. Se as metas anuais forem atingidas, as metas anuais subsequentes permanecerão as mesmas. Esse processo resulta em metas anuais mais realistas, mas mantém as mesmas metas ambiciosas de longo prazo.</w:t>
      </w:r>
    </w:p>
    <w:p w14:paraId="2D14DE9F" w14:textId="77777777" w:rsidR="00CD5DBD" w:rsidRPr="00CC1CB4" w:rsidRDefault="00000000" w:rsidP="009C603D">
      <w:pPr>
        <w:rPr>
          <w:rFonts w:cs="Times New Roman"/>
          <w:lang w:val="es-ES"/>
        </w:rPr>
      </w:pPr>
      <w:r>
        <w:rPr>
          <w:rFonts w:eastAsia="Times New Roman" w:cs="Times New Roman"/>
          <w:lang w:val="pt-BR"/>
        </w:rPr>
        <w:t>Por exemplo, se o grupo de alunos no exemplo anterior tivesse 50% dos alunos atendendo às expectativas do ano letivo de 2023-2024 (ano um), a meta de 51,7% não seria atingida. As metas anuais restantes para os anos dois a cinco seriam reajustadas para refletir a quantidade anual de progresso necessária para atingir a meta de longo prazo nos anos restantes. Isso significaria que o aumento anual para os anos dois a cinco seria aumentado para 2%, mas a meta original do ano dois seria reduzida de 53,3% para 52%. Isso dá uma trajetória mais realista para o grupo de alunos atingir a meta de longo prazo, mas mantém a meta em si igual.</w:t>
      </w:r>
    </w:p>
    <w:p w14:paraId="14AD3BB4" w14:textId="77777777" w:rsidR="009F1C6C" w:rsidRPr="00CC1CB4" w:rsidRDefault="00000000" w:rsidP="00F86F30">
      <w:pPr>
        <w:pStyle w:val="aff0"/>
        <w:rPr>
          <w:rFonts w:ascii="Times New Roman" w:hAnsi="Times New Roman"/>
          <w:lang w:val="es-ES"/>
        </w:rPr>
      </w:pPr>
      <w:r>
        <w:rPr>
          <w:rFonts w:eastAsia="Cambria"/>
          <w:lang w:val="pt-BR"/>
        </w:rPr>
        <w:t>Figura A.4: Meta de longo prazo (6 anos) e metas anuais atualizadas para o exemplo de grupo de alunos da Figura A.3</w:t>
      </w:r>
    </w:p>
    <w:tbl>
      <w:tblPr>
        <w:tblStyle w:val="af5"/>
        <w:tblW w:w="0" w:type="auto"/>
        <w:tblCellMar>
          <w:top w:w="58" w:type="dxa"/>
          <w:left w:w="58" w:type="dxa"/>
          <w:bottom w:w="58" w:type="dxa"/>
          <w:right w:w="58" w:type="dxa"/>
        </w:tblCellMar>
        <w:tblLook w:val="0420" w:firstRow="1" w:lastRow="0" w:firstColumn="0" w:lastColumn="0" w:noHBand="0" w:noVBand="1"/>
      </w:tblPr>
      <w:tblGrid>
        <w:gridCol w:w="1329"/>
        <w:gridCol w:w="962"/>
        <w:gridCol w:w="1329"/>
        <w:gridCol w:w="1200"/>
        <w:gridCol w:w="1200"/>
        <w:gridCol w:w="1200"/>
        <w:gridCol w:w="1200"/>
        <w:gridCol w:w="930"/>
      </w:tblGrid>
      <w:tr w:rsidR="00C566B2" w14:paraId="11C82A82" w14:textId="77777777" w:rsidTr="0077652B">
        <w:trPr>
          <w:tblHeader/>
        </w:trPr>
        <w:tc>
          <w:tcPr>
            <w:tcW w:w="1348" w:type="dxa"/>
            <w:shd w:val="clear" w:color="auto" w:fill="215868" w:themeFill="accent5" w:themeFillShade="80"/>
          </w:tcPr>
          <w:p w14:paraId="54D815DF" w14:textId="77777777" w:rsidR="00D649A8" w:rsidRPr="00CC1CB4" w:rsidRDefault="00000000" w:rsidP="00436B8A">
            <w:pPr>
              <w:jc w:val="center"/>
              <w:rPr>
                <w:b/>
                <w:color w:val="FFFFFF" w:themeColor="background1"/>
                <w:sz w:val="22"/>
                <w:szCs w:val="22"/>
                <w:lang w:val="es-ES"/>
              </w:rPr>
            </w:pPr>
            <w:r>
              <w:rPr>
                <w:rFonts w:eastAsia="Times New Roman"/>
                <w:b/>
                <w:bCs/>
                <w:color w:val="FFFFFF"/>
                <w:sz w:val="22"/>
                <w:szCs w:val="22"/>
                <w:lang w:val="pt-BR"/>
              </w:rPr>
              <w:t>Desempenho da linha de base de 2022-2023</w:t>
            </w:r>
          </w:p>
        </w:tc>
        <w:tc>
          <w:tcPr>
            <w:tcW w:w="1348" w:type="dxa"/>
            <w:shd w:val="clear" w:color="auto" w:fill="215868" w:themeFill="accent5" w:themeFillShade="80"/>
          </w:tcPr>
          <w:p w14:paraId="00CBEFAC" w14:textId="77777777" w:rsidR="00D649A8" w:rsidRPr="00877316" w:rsidRDefault="00000000" w:rsidP="00436B8A">
            <w:pPr>
              <w:jc w:val="center"/>
              <w:rPr>
                <w:b/>
                <w:color w:val="FFFFFF" w:themeColor="background1"/>
                <w:sz w:val="22"/>
                <w:szCs w:val="22"/>
              </w:rPr>
            </w:pPr>
            <w:r>
              <w:rPr>
                <w:rFonts w:eastAsia="Times New Roman"/>
                <w:b/>
                <w:bCs/>
                <w:color w:val="FFFFFF"/>
                <w:sz w:val="22"/>
                <w:szCs w:val="22"/>
                <w:lang w:val="pt-BR"/>
              </w:rPr>
              <w:t>Meta para 2023-2024 (Ano 1)</w:t>
            </w:r>
          </w:p>
        </w:tc>
        <w:tc>
          <w:tcPr>
            <w:tcW w:w="1349" w:type="dxa"/>
            <w:shd w:val="clear" w:color="auto" w:fill="215868" w:themeFill="accent5" w:themeFillShade="80"/>
          </w:tcPr>
          <w:p w14:paraId="2AB63CED" w14:textId="77777777" w:rsidR="00D649A8" w:rsidRPr="00CC1CB4" w:rsidRDefault="00000000" w:rsidP="00436B8A">
            <w:pPr>
              <w:jc w:val="center"/>
              <w:rPr>
                <w:b/>
                <w:color w:val="FFFFFF" w:themeColor="background1"/>
                <w:sz w:val="22"/>
                <w:szCs w:val="22"/>
                <w:lang w:val="es-ES"/>
              </w:rPr>
            </w:pPr>
            <w:r>
              <w:rPr>
                <w:rFonts w:eastAsia="Times New Roman"/>
                <w:b/>
                <w:bCs/>
                <w:color w:val="FFFFFF"/>
                <w:sz w:val="22"/>
                <w:szCs w:val="22"/>
                <w:lang w:val="pt-BR"/>
              </w:rPr>
              <w:t xml:space="preserve">Desempenho real do ano 1 de 2023-2024 </w:t>
            </w:r>
          </w:p>
        </w:tc>
        <w:tc>
          <w:tcPr>
            <w:tcW w:w="1349" w:type="dxa"/>
            <w:shd w:val="clear" w:color="auto" w:fill="215868" w:themeFill="accent5" w:themeFillShade="80"/>
          </w:tcPr>
          <w:p w14:paraId="2C4C26B8" w14:textId="77777777" w:rsidR="00D649A8" w:rsidRPr="00877316" w:rsidRDefault="00000000" w:rsidP="00436B8A">
            <w:pPr>
              <w:jc w:val="center"/>
              <w:rPr>
                <w:b/>
                <w:color w:val="FFFFFF" w:themeColor="background1"/>
                <w:sz w:val="22"/>
                <w:szCs w:val="22"/>
              </w:rPr>
            </w:pPr>
            <w:r>
              <w:rPr>
                <w:rFonts w:eastAsia="Times New Roman"/>
                <w:b/>
                <w:bCs/>
                <w:color w:val="FFFFFF"/>
                <w:sz w:val="22"/>
                <w:szCs w:val="22"/>
                <w:lang w:val="pt-BR"/>
              </w:rPr>
              <w:t>Meta atualizada para 2024-2025 (Ano 2)</w:t>
            </w:r>
          </w:p>
        </w:tc>
        <w:tc>
          <w:tcPr>
            <w:tcW w:w="1349" w:type="dxa"/>
            <w:shd w:val="clear" w:color="auto" w:fill="215868" w:themeFill="accent5" w:themeFillShade="80"/>
          </w:tcPr>
          <w:p w14:paraId="00761EED" w14:textId="77777777" w:rsidR="00D649A8" w:rsidRPr="00877316" w:rsidRDefault="00000000" w:rsidP="00436B8A">
            <w:pPr>
              <w:jc w:val="center"/>
              <w:rPr>
                <w:b/>
                <w:color w:val="FFFFFF" w:themeColor="background1"/>
                <w:sz w:val="22"/>
                <w:szCs w:val="22"/>
              </w:rPr>
            </w:pPr>
            <w:r>
              <w:rPr>
                <w:rFonts w:eastAsia="Times New Roman"/>
                <w:b/>
                <w:bCs/>
                <w:color w:val="FFFFFF"/>
                <w:sz w:val="22"/>
                <w:szCs w:val="22"/>
                <w:lang w:val="pt-BR"/>
              </w:rPr>
              <w:t>Meta atualizada para 2025-2026 (Ano 3)</w:t>
            </w:r>
          </w:p>
        </w:tc>
        <w:tc>
          <w:tcPr>
            <w:tcW w:w="1349" w:type="dxa"/>
            <w:shd w:val="clear" w:color="auto" w:fill="215868" w:themeFill="accent5" w:themeFillShade="80"/>
          </w:tcPr>
          <w:p w14:paraId="4E8D1D29" w14:textId="77777777" w:rsidR="00D649A8" w:rsidRPr="00877316" w:rsidRDefault="00000000" w:rsidP="00436B8A">
            <w:pPr>
              <w:jc w:val="center"/>
              <w:rPr>
                <w:b/>
                <w:color w:val="FFFFFF" w:themeColor="background1"/>
                <w:sz w:val="22"/>
                <w:szCs w:val="22"/>
              </w:rPr>
            </w:pPr>
            <w:r>
              <w:rPr>
                <w:rFonts w:eastAsia="Times New Roman"/>
                <w:b/>
                <w:bCs/>
                <w:color w:val="FFFFFF"/>
                <w:sz w:val="22"/>
                <w:szCs w:val="22"/>
                <w:lang w:val="pt-BR"/>
              </w:rPr>
              <w:t>Meta atualizada para 2026-2027 (Ano 4)</w:t>
            </w:r>
          </w:p>
        </w:tc>
        <w:tc>
          <w:tcPr>
            <w:tcW w:w="1349" w:type="dxa"/>
            <w:shd w:val="clear" w:color="auto" w:fill="215868" w:themeFill="accent5" w:themeFillShade="80"/>
          </w:tcPr>
          <w:p w14:paraId="16A492CA" w14:textId="77777777" w:rsidR="00D649A8" w:rsidRPr="00877316" w:rsidRDefault="00000000" w:rsidP="00436B8A">
            <w:pPr>
              <w:jc w:val="center"/>
              <w:rPr>
                <w:b/>
                <w:color w:val="FFFFFF" w:themeColor="background1"/>
                <w:sz w:val="22"/>
                <w:szCs w:val="22"/>
              </w:rPr>
            </w:pPr>
            <w:r>
              <w:rPr>
                <w:rFonts w:eastAsia="Times New Roman"/>
                <w:b/>
                <w:bCs/>
                <w:color w:val="FFFFFF"/>
                <w:sz w:val="22"/>
                <w:szCs w:val="22"/>
                <w:lang w:val="pt-BR"/>
              </w:rPr>
              <w:t>Meta atualizada para 2027-2028 (Ano 5)</w:t>
            </w:r>
          </w:p>
        </w:tc>
        <w:tc>
          <w:tcPr>
            <w:tcW w:w="1349" w:type="dxa"/>
            <w:shd w:val="clear" w:color="auto" w:fill="215868" w:themeFill="accent5" w:themeFillShade="80"/>
          </w:tcPr>
          <w:p w14:paraId="42A01165" w14:textId="77777777" w:rsidR="00D649A8" w:rsidRPr="00877316" w:rsidRDefault="00000000" w:rsidP="00436B8A">
            <w:pPr>
              <w:jc w:val="center"/>
              <w:rPr>
                <w:b/>
                <w:color w:val="FFFFFF" w:themeColor="background1"/>
                <w:sz w:val="22"/>
                <w:szCs w:val="22"/>
              </w:rPr>
            </w:pPr>
            <w:r>
              <w:rPr>
                <w:rFonts w:eastAsia="Times New Roman"/>
                <w:b/>
                <w:bCs/>
                <w:color w:val="FFFFFF"/>
                <w:sz w:val="22"/>
                <w:szCs w:val="22"/>
                <w:lang w:val="pt-BR"/>
              </w:rPr>
              <w:t>Meta para 2028-2029 (Ano 6)</w:t>
            </w:r>
          </w:p>
        </w:tc>
      </w:tr>
      <w:tr w:rsidR="00C566B2" w14:paraId="3E84BE43" w14:textId="77777777" w:rsidTr="0077652B">
        <w:tc>
          <w:tcPr>
            <w:tcW w:w="1348" w:type="dxa"/>
          </w:tcPr>
          <w:p w14:paraId="47137666" w14:textId="77777777" w:rsidR="00D649A8" w:rsidRPr="00877316" w:rsidRDefault="00000000" w:rsidP="00436B8A">
            <w:pPr>
              <w:jc w:val="center"/>
              <w:rPr>
                <w:sz w:val="22"/>
                <w:szCs w:val="22"/>
              </w:rPr>
            </w:pPr>
            <w:r>
              <w:rPr>
                <w:rFonts w:eastAsia="Times New Roman"/>
                <w:sz w:val="22"/>
                <w:szCs w:val="22"/>
                <w:lang w:val="pt-BR"/>
              </w:rPr>
              <w:t>50%</w:t>
            </w:r>
          </w:p>
        </w:tc>
        <w:tc>
          <w:tcPr>
            <w:tcW w:w="1348" w:type="dxa"/>
          </w:tcPr>
          <w:p w14:paraId="50B1F13C" w14:textId="77777777" w:rsidR="00D649A8" w:rsidRPr="00877316" w:rsidRDefault="00000000" w:rsidP="00436B8A">
            <w:pPr>
              <w:jc w:val="center"/>
              <w:rPr>
                <w:sz w:val="22"/>
                <w:szCs w:val="22"/>
              </w:rPr>
            </w:pPr>
            <w:r>
              <w:rPr>
                <w:rFonts w:eastAsia="Times New Roman"/>
                <w:sz w:val="22"/>
                <w:szCs w:val="22"/>
                <w:lang w:val="pt-BR"/>
              </w:rPr>
              <w:t>51,7%</w:t>
            </w:r>
          </w:p>
        </w:tc>
        <w:tc>
          <w:tcPr>
            <w:tcW w:w="1349" w:type="dxa"/>
          </w:tcPr>
          <w:p w14:paraId="55805DE4" w14:textId="77777777" w:rsidR="00D649A8" w:rsidRPr="00877316" w:rsidRDefault="00000000" w:rsidP="00436B8A">
            <w:pPr>
              <w:jc w:val="center"/>
              <w:rPr>
                <w:sz w:val="22"/>
                <w:szCs w:val="22"/>
              </w:rPr>
            </w:pPr>
            <w:r>
              <w:rPr>
                <w:rFonts w:eastAsia="Times New Roman"/>
                <w:sz w:val="22"/>
                <w:szCs w:val="22"/>
                <w:lang w:val="pt-BR"/>
              </w:rPr>
              <w:t>50,0%</w:t>
            </w:r>
          </w:p>
        </w:tc>
        <w:tc>
          <w:tcPr>
            <w:tcW w:w="1349" w:type="dxa"/>
          </w:tcPr>
          <w:p w14:paraId="389EDE87" w14:textId="77777777" w:rsidR="00D649A8" w:rsidRPr="00877316" w:rsidRDefault="00000000" w:rsidP="00436B8A">
            <w:pPr>
              <w:jc w:val="center"/>
              <w:rPr>
                <w:sz w:val="22"/>
                <w:szCs w:val="22"/>
              </w:rPr>
            </w:pPr>
            <w:r>
              <w:rPr>
                <w:rFonts w:eastAsia="Times New Roman"/>
                <w:sz w:val="22"/>
                <w:szCs w:val="22"/>
                <w:lang w:val="pt-BR"/>
              </w:rPr>
              <w:t>52,0%</w:t>
            </w:r>
          </w:p>
        </w:tc>
        <w:tc>
          <w:tcPr>
            <w:tcW w:w="1349" w:type="dxa"/>
          </w:tcPr>
          <w:p w14:paraId="41CBADB2" w14:textId="77777777" w:rsidR="00D649A8" w:rsidRPr="00877316" w:rsidRDefault="00000000" w:rsidP="00436B8A">
            <w:pPr>
              <w:jc w:val="center"/>
              <w:rPr>
                <w:sz w:val="22"/>
                <w:szCs w:val="22"/>
              </w:rPr>
            </w:pPr>
            <w:r>
              <w:rPr>
                <w:rFonts w:eastAsia="Times New Roman"/>
                <w:sz w:val="22"/>
                <w:szCs w:val="22"/>
                <w:lang w:val="pt-BR"/>
              </w:rPr>
              <w:t>54,0%</w:t>
            </w:r>
          </w:p>
        </w:tc>
        <w:tc>
          <w:tcPr>
            <w:tcW w:w="1349" w:type="dxa"/>
          </w:tcPr>
          <w:p w14:paraId="3DD35889" w14:textId="77777777" w:rsidR="00D649A8" w:rsidRPr="00877316" w:rsidRDefault="00000000" w:rsidP="00436B8A">
            <w:pPr>
              <w:jc w:val="center"/>
              <w:rPr>
                <w:sz w:val="22"/>
                <w:szCs w:val="22"/>
              </w:rPr>
            </w:pPr>
            <w:r>
              <w:rPr>
                <w:rFonts w:eastAsia="Times New Roman"/>
                <w:sz w:val="22"/>
                <w:szCs w:val="22"/>
                <w:lang w:val="pt-BR"/>
              </w:rPr>
              <w:t>56,0%</w:t>
            </w:r>
          </w:p>
        </w:tc>
        <w:tc>
          <w:tcPr>
            <w:tcW w:w="1349" w:type="dxa"/>
          </w:tcPr>
          <w:p w14:paraId="6FF8558F" w14:textId="77777777" w:rsidR="00D649A8" w:rsidRPr="00877316" w:rsidRDefault="00000000" w:rsidP="00436B8A">
            <w:pPr>
              <w:jc w:val="center"/>
              <w:rPr>
                <w:sz w:val="22"/>
                <w:szCs w:val="22"/>
              </w:rPr>
            </w:pPr>
            <w:r>
              <w:rPr>
                <w:rFonts w:eastAsia="Times New Roman"/>
                <w:sz w:val="22"/>
                <w:szCs w:val="22"/>
                <w:lang w:val="pt-BR"/>
              </w:rPr>
              <w:t>58,0%</w:t>
            </w:r>
          </w:p>
        </w:tc>
        <w:tc>
          <w:tcPr>
            <w:tcW w:w="1349" w:type="dxa"/>
          </w:tcPr>
          <w:p w14:paraId="24F74E54" w14:textId="77777777" w:rsidR="00D649A8" w:rsidRPr="00877316" w:rsidRDefault="00000000" w:rsidP="00436B8A">
            <w:pPr>
              <w:jc w:val="center"/>
              <w:rPr>
                <w:sz w:val="22"/>
                <w:szCs w:val="22"/>
              </w:rPr>
            </w:pPr>
            <w:r>
              <w:rPr>
                <w:rFonts w:eastAsia="Times New Roman"/>
                <w:sz w:val="22"/>
                <w:szCs w:val="22"/>
                <w:lang w:val="pt-BR"/>
              </w:rPr>
              <w:t>60%</w:t>
            </w:r>
          </w:p>
        </w:tc>
      </w:tr>
    </w:tbl>
    <w:p w14:paraId="0583F0B4" w14:textId="77777777" w:rsidR="009C603D" w:rsidRPr="00CC1CB4" w:rsidRDefault="00000000" w:rsidP="0077652B">
      <w:pPr>
        <w:spacing w:before="240"/>
        <w:rPr>
          <w:lang w:val="es-ES"/>
        </w:rPr>
      </w:pPr>
      <w:r>
        <w:rPr>
          <w:rFonts w:eastAsia="Times New Roman" w:cs="Times New Roman"/>
          <w:lang w:val="pt-BR"/>
        </w:rPr>
        <w:t xml:space="preserve">Consulte o Anexo A para ver gráficos que demonstram as metas anuais iniciais de conquista acadêmica em nível estadual para ELA e matemática. As metas provisórias de cada escola são publicadas anualmente na </w:t>
      </w:r>
      <w:hyperlink r:id="rId30">
        <w:r w:rsidR="009C603D">
          <w:rPr>
            <w:rFonts w:eastAsia="Times New Roman" w:cs="Times New Roman"/>
            <w:color w:val="0000FF"/>
            <w:u w:val="single"/>
            <w:lang w:val="pt-BR"/>
          </w:rPr>
          <w:t>página de Responsabilidade do NJDOE.</w:t>
        </w:r>
      </w:hyperlink>
      <w:r>
        <w:rPr>
          <w:rFonts w:eastAsia="Times New Roman" w:cs="Times New Roman"/>
          <w:u w:val="single"/>
          <w:lang w:val="pt-BR"/>
        </w:rPr>
        <w:t xml:space="preserve"> </w:t>
      </w:r>
      <w:r>
        <w:rPr>
          <w:rFonts w:eastAsia="Times New Roman" w:cs="Times New Roman"/>
          <w:lang w:val="pt-BR"/>
        </w:rPr>
        <w:t>Conforme descrito acima, as metas anuais podem ser ajustadas com base no desempenho real durante o período de seis anos, mas as metas de longo prazo permanecerão as mesmas.</w:t>
      </w:r>
    </w:p>
    <w:p w14:paraId="31B5CD22" w14:textId="77777777" w:rsidR="00F00691" w:rsidRPr="00CC1CB4" w:rsidRDefault="00000000">
      <w:pPr>
        <w:rPr>
          <w:rFonts w:eastAsiaTheme="majorEastAsia" w:cstheme="majorBidi"/>
          <w:b/>
          <w:bCs/>
          <w:color w:val="17365D" w:themeColor="text2" w:themeShade="BF"/>
          <w:sz w:val="28"/>
          <w:lang w:val="es-ES"/>
        </w:rPr>
      </w:pPr>
      <w:r>
        <w:rPr>
          <w:rStyle w:val="NJDOEResponse"/>
          <w:rFonts w:eastAsia="Times New Roman"/>
          <w:color w:val="365F91"/>
          <w:lang w:val="pt-BR"/>
        </w:rPr>
        <w:t>[finalizar resposta do NJDOE]</w:t>
      </w:r>
    </w:p>
    <w:p w14:paraId="268B5D7B" w14:textId="77777777" w:rsidR="00185F6B" w:rsidRPr="00CC1CB4" w:rsidRDefault="00000000" w:rsidP="00185F6B">
      <w:pPr>
        <w:pStyle w:val="BeginUSED"/>
        <w:rPr>
          <w:color w:val="244061" w:themeColor="accent1" w:themeShade="80"/>
          <w:sz w:val="28"/>
          <w:lang w:val="es-ES"/>
        </w:rPr>
      </w:pPr>
      <w:r>
        <w:rPr>
          <w:rFonts w:eastAsia="Times New Roman"/>
          <w:color w:val="FFFFFF"/>
          <w:szCs w:val="4"/>
          <w:lang w:val="pt-BR"/>
        </w:rPr>
        <w:t>[iniciar o texto do USED]</w:t>
      </w:r>
    </w:p>
    <w:p w14:paraId="4B8E0024" w14:textId="77777777" w:rsidR="006415C4" w:rsidRPr="00C04CDD" w:rsidRDefault="00000000" w:rsidP="00636B44">
      <w:pPr>
        <w:pStyle w:val="4"/>
        <w:ind w:left="144"/>
        <w:rPr>
          <w:lang w:val="es-ES"/>
        </w:rPr>
      </w:pPr>
      <w:bookmarkStart w:id="77" w:name="_Toc199403695"/>
      <w:r>
        <w:rPr>
          <w:rFonts w:ascii="Cambria" w:eastAsia="Cambria" w:hAnsi="Cambria" w:cs="Arial"/>
          <w:szCs w:val="24"/>
          <w:lang w:val="pt-BR"/>
        </w:rPr>
        <w:t>b. Taxa de formação. (seção ESEA 1111(c)(4)(A)(i)(I)(bb))</w:t>
      </w:r>
      <w:bookmarkEnd w:id="77"/>
    </w:p>
    <w:p w14:paraId="21A8315B" w14:textId="77777777" w:rsidR="00583316" w:rsidRPr="00CC1CB4" w:rsidRDefault="00000000">
      <w:pPr>
        <w:pStyle w:val="blue"/>
        <w:numPr>
          <w:ilvl w:val="0"/>
          <w:numId w:val="173"/>
        </w:numPr>
        <w:spacing w:after="120"/>
        <w:rPr>
          <w:lang w:val="es-ES"/>
        </w:rPr>
      </w:pPr>
      <w:r>
        <w:rPr>
          <w:rFonts w:ascii="Cambria" w:eastAsia="Cambria" w:hAnsi="Cambria"/>
          <w:lang w:val="pt-BR"/>
        </w:rPr>
        <w:t>Descrever as metas de longo prazo para a taxa de formação de grupo ajustada de quatro anos para todos os alunos e para cada subgrupo de alunos, incluindo:</w:t>
      </w:r>
    </w:p>
    <w:p w14:paraId="4C7A4673" w14:textId="77777777" w:rsidR="00583316" w:rsidRDefault="00000000">
      <w:pPr>
        <w:pStyle w:val="blue"/>
        <w:numPr>
          <w:ilvl w:val="1"/>
          <w:numId w:val="173"/>
        </w:numPr>
        <w:spacing w:after="120"/>
        <w:ind w:left="1656"/>
      </w:pPr>
      <w:r>
        <w:rPr>
          <w:rFonts w:ascii="Cambria" w:eastAsia="Cambria" w:hAnsi="Cambria"/>
          <w:lang w:val="pt-BR"/>
        </w:rPr>
        <w:lastRenderedPageBreak/>
        <w:t>dados basais;</w:t>
      </w:r>
    </w:p>
    <w:p w14:paraId="09ED942E" w14:textId="77777777" w:rsidR="00583316" w:rsidRPr="00CC1CB4" w:rsidRDefault="00000000">
      <w:pPr>
        <w:pStyle w:val="blue"/>
        <w:numPr>
          <w:ilvl w:val="1"/>
          <w:numId w:val="173"/>
        </w:numPr>
        <w:spacing w:after="120"/>
        <w:ind w:left="1656"/>
        <w:rPr>
          <w:lang w:val="es-ES"/>
        </w:rPr>
      </w:pPr>
      <w:r>
        <w:rPr>
          <w:rFonts w:ascii="Cambria" w:eastAsia="Cambria" w:hAnsi="Cambria"/>
          <w:lang w:val="pt-BR"/>
        </w:rPr>
        <w:t xml:space="preserve"> o cronograma para cumprir as metas de longo prazo, para o qual o prazo deve ser o mesmo período de tempo plurianual para todos os alunos e para cada subgrupo de alunos no estado;</w:t>
      </w:r>
    </w:p>
    <w:p w14:paraId="7A5A597C" w14:textId="77777777" w:rsidR="002F2256" w:rsidRPr="00CC1CB4" w:rsidRDefault="00000000">
      <w:pPr>
        <w:pStyle w:val="blue"/>
        <w:numPr>
          <w:ilvl w:val="1"/>
          <w:numId w:val="173"/>
        </w:numPr>
        <w:spacing w:after="120"/>
        <w:ind w:left="1656"/>
        <w:rPr>
          <w:lang w:val="es-ES"/>
        </w:rPr>
      </w:pPr>
      <w:r>
        <w:rPr>
          <w:rFonts w:ascii="Cambria" w:eastAsia="Cambria" w:hAnsi="Cambria"/>
          <w:lang w:val="pt-BR"/>
        </w:rPr>
        <w:t>como as metas de longo prazo são ambiciosas.</w:t>
      </w:r>
    </w:p>
    <w:p w14:paraId="7727F3C3" w14:textId="77777777" w:rsidR="00583316" w:rsidRPr="00CC1CB4" w:rsidRDefault="00000000">
      <w:pPr>
        <w:pStyle w:val="blue"/>
        <w:numPr>
          <w:ilvl w:val="0"/>
          <w:numId w:val="173"/>
        </w:numPr>
        <w:spacing w:after="120"/>
        <w:rPr>
          <w:lang w:val="es-ES"/>
        </w:rPr>
      </w:pPr>
      <w:r>
        <w:rPr>
          <w:rFonts w:ascii="Cambria" w:eastAsia="Cambria" w:hAnsi="Cambria"/>
          <w:lang w:val="pt-BR"/>
        </w:rPr>
        <w:t>Se aplicável, descrever as metas de longo prazo para cada taxa de formação de grupo ajustada para o ano estendido, incluindo:</w:t>
      </w:r>
    </w:p>
    <w:p w14:paraId="52BF7AA6" w14:textId="77777777" w:rsidR="00583316" w:rsidRDefault="00000000">
      <w:pPr>
        <w:pStyle w:val="blue"/>
        <w:numPr>
          <w:ilvl w:val="1"/>
          <w:numId w:val="173"/>
        </w:numPr>
        <w:spacing w:after="120"/>
        <w:ind w:left="1656"/>
      </w:pPr>
      <w:r>
        <w:rPr>
          <w:rFonts w:ascii="Cambria" w:eastAsia="Cambria" w:hAnsi="Cambria"/>
          <w:lang w:val="pt-BR"/>
        </w:rPr>
        <w:t>dados basais;</w:t>
      </w:r>
    </w:p>
    <w:p w14:paraId="16D1010F" w14:textId="77777777" w:rsidR="00583316" w:rsidRPr="00CC1CB4" w:rsidRDefault="00000000">
      <w:pPr>
        <w:pStyle w:val="blue"/>
        <w:numPr>
          <w:ilvl w:val="1"/>
          <w:numId w:val="173"/>
        </w:numPr>
        <w:spacing w:after="120"/>
        <w:ind w:left="1656"/>
        <w:rPr>
          <w:lang w:val="es-ES"/>
        </w:rPr>
      </w:pPr>
      <w:r>
        <w:rPr>
          <w:rFonts w:ascii="Cambria" w:eastAsia="Cambria" w:hAnsi="Cambria"/>
          <w:lang w:val="pt-BR"/>
        </w:rPr>
        <w:t>o cronograma para cumprir as metas de longo prazo, para o qual o prazo deve ser o mesmo período de tempo plurianual para todos os alunos e para cada subgrupo de alunos no estado;</w:t>
      </w:r>
    </w:p>
    <w:p w14:paraId="6B224C40" w14:textId="77777777" w:rsidR="00583316" w:rsidRPr="00CC1CB4" w:rsidRDefault="00000000">
      <w:pPr>
        <w:pStyle w:val="blue"/>
        <w:numPr>
          <w:ilvl w:val="1"/>
          <w:numId w:val="173"/>
        </w:numPr>
        <w:spacing w:after="120"/>
        <w:ind w:left="1656"/>
        <w:rPr>
          <w:lang w:val="es-ES"/>
        </w:rPr>
      </w:pPr>
      <w:r>
        <w:rPr>
          <w:rFonts w:ascii="Cambria" w:eastAsia="Cambria" w:hAnsi="Cambria"/>
          <w:lang w:val="pt-BR"/>
        </w:rPr>
        <w:t>como as metas de longo prazo são ambiciosas;</w:t>
      </w:r>
    </w:p>
    <w:p w14:paraId="1DD42F1C" w14:textId="77777777" w:rsidR="00E35693" w:rsidRPr="00CC1CB4" w:rsidRDefault="00000000">
      <w:pPr>
        <w:pStyle w:val="blue"/>
        <w:numPr>
          <w:ilvl w:val="1"/>
          <w:numId w:val="173"/>
        </w:numPr>
        <w:spacing w:after="120"/>
        <w:ind w:left="1656"/>
        <w:rPr>
          <w:lang w:val="es-ES"/>
        </w:rPr>
      </w:pPr>
      <w:r>
        <w:rPr>
          <w:rFonts w:ascii="Cambria" w:eastAsia="Cambria" w:hAnsi="Cambria"/>
          <w:lang w:val="pt-BR"/>
        </w:rPr>
        <w:t xml:space="preserve">como as metas de longo prazo são mais rigorosas do que a meta de longo prazo definida para a taxa de formação de grupo ajustada de quatro anos. </w:t>
      </w:r>
    </w:p>
    <w:p w14:paraId="70200263" w14:textId="77777777" w:rsidR="00E35693" w:rsidRPr="00CC1CB4" w:rsidRDefault="00000000">
      <w:pPr>
        <w:pStyle w:val="blue"/>
        <w:numPr>
          <w:ilvl w:val="0"/>
          <w:numId w:val="173"/>
        </w:numPr>
        <w:spacing w:after="120"/>
        <w:rPr>
          <w:lang w:val="es-ES"/>
        </w:rPr>
      </w:pPr>
      <w:r>
        <w:rPr>
          <w:rFonts w:ascii="Cambria" w:eastAsia="Cambria" w:hAnsi="Cambria"/>
          <w:lang w:val="pt-BR"/>
        </w:rPr>
        <w:t xml:space="preserve">Fornecer as medições do progresso parcial em direção às metas de longo prazo para a taxa de formação de grupo ajustada de quatro anos e qualquer taxa de formação de grupo ajustada de ano estendido no Anexo A. </w:t>
      </w:r>
    </w:p>
    <w:p w14:paraId="1708792B" w14:textId="77777777" w:rsidR="00AD3D37" w:rsidRPr="00CC1CB4" w:rsidRDefault="00000000">
      <w:pPr>
        <w:pStyle w:val="blue"/>
        <w:numPr>
          <w:ilvl w:val="0"/>
          <w:numId w:val="173"/>
        </w:numPr>
        <w:rPr>
          <w:lang w:val="es-ES"/>
        </w:rPr>
      </w:pPr>
      <w:r>
        <w:rPr>
          <w:rFonts w:ascii="Cambria" w:eastAsia="Cambria" w:hAnsi="Cambria"/>
          <w:lang w:val="pt-BR"/>
        </w:rPr>
        <w:t>Descrever como as metas e medições de longo prazo do progresso parcial para a taxa de formação de grupo ajustada de quatro anos e qualquer taxa de formação de grupo ajustada de ano estendido levam em conta a melhora necessária para fazer progresso significativo no fechamento das lacunas da taxa de formação em todo o estado.</w:t>
      </w:r>
    </w:p>
    <w:p w14:paraId="3B1D1AFF" w14:textId="77777777" w:rsidR="00E6556A" w:rsidRPr="00CC1CB4" w:rsidRDefault="00000000" w:rsidP="00185F6B">
      <w:pPr>
        <w:pStyle w:val="EndUSED"/>
        <w:rPr>
          <w:color w:val="365F91" w:themeColor="accent1" w:themeShade="BF"/>
          <w:lang w:val="es-ES"/>
        </w:rPr>
      </w:pPr>
      <w:r>
        <w:rPr>
          <w:rFonts w:eastAsia="Times New Roman"/>
          <w:color w:val="FFFFFF"/>
          <w:szCs w:val="4"/>
          <w:lang w:val="pt-BR"/>
        </w:rPr>
        <w:t>[finalizar texto do USED]</w:t>
      </w:r>
    </w:p>
    <w:p w14:paraId="66A18133" w14:textId="77777777" w:rsidR="00D27F41" w:rsidRPr="00CC1CB4" w:rsidRDefault="00000000" w:rsidP="002D3834">
      <w:pPr>
        <w:spacing w:before="240"/>
        <w:rPr>
          <w:rFonts w:cs="Times New Roman"/>
          <w:color w:val="365F91" w:themeColor="accent1" w:themeShade="BF"/>
          <w:lang w:val="es-ES"/>
        </w:rPr>
      </w:pPr>
      <w:r>
        <w:rPr>
          <w:rStyle w:val="NJDOEResponse"/>
          <w:rFonts w:eastAsia="Times New Roman"/>
          <w:color w:val="365F91"/>
          <w:lang w:val="pt-BR"/>
        </w:rPr>
        <w:t>[iniciar a resposta do NJDOE]</w:t>
      </w:r>
    </w:p>
    <w:p w14:paraId="5CE67630" w14:textId="77777777" w:rsidR="14BA22A7" w:rsidRPr="00CC1CB4" w:rsidRDefault="00000000" w:rsidP="006A1CD7">
      <w:pPr>
        <w:pStyle w:val="5"/>
        <w:rPr>
          <w:lang w:val="es-ES"/>
        </w:rPr>
      </w:pPr>
      <w:r>
        <w:rPr>
          <w:rFonts w:ascii="Cambria" w:eastAsia="Cambria" w:hAnsi="Cambria" w:cs="Times New Roman"/>
          <w:bCs/>
          <w:lang w:val="pt-BR"/>
        </w:rPr>
        <w:t>Metas basais e de longo prazo</w:t>
      </w:r>
    </w:p>
    <w:p w14:paraId="10510886" w14:textId="77777777" w:rsidR="00974CBC" w:rsidRPr="00CC1CB4" w:rsidRDefault="00000000" w:rsidP="00974CBC">
      <w:pPr>
        <w:rPr>
          <w:rFonts w:cs="Times New Roman"/>
          <w:lang w:val="es-ES"/>
        </w:rPr>
      </w:pPr>
      <w:r>
        <w:rPr>
          <w:rFonts w:eastAsia="Times New Roman" w:cs="Times New Roman"/>
          <w:lang w:val="pt-BR"/>
        </w:rPr>
        <w:t xml:space="preserve">O NJDOE estabeleceu as seguintes </w:t>
      </w:r>
      <w:r>
        <w:rPr>
          <w:rFonts w:eastAsia="Times New Roman" w:cs="Times New Roman"/>
          <w:b/>
          <w:bCs/>
          <w:lang w:val="pt-BR"/>
        </w:rPr>
        <w:t>metas futuras</w:t>
      </w:r>
      <w:r>
        <w:rPr>
          <w:rFonts w:eastAsia="Times New Roman" w:cs="Times New Roman"/>
          <w:lang w:val="pt-BR"/>
        </w:rPr>
        <w:t xml:space="preserve"> para a formação:</w:t>
      </w:r>
    </w:p>
    <w:p w14:paraId="0FC0C48A" w14:textId="77777777" w:rsidR="00974CBC" w:rsidRPr="00CC1CB4" w:rsidRDefault="00000000">
      <w:pPr>
        <w:pStyle w:val="a6"/>
        <w:numPr>
          <w:ilvl w:val="0"/>
          <w:numId w:val="17"/>
        </w:numPr>
        <w:spacing w:after="160"/>
        <w:rPr>
          <w:rFonts w:cs="Times New Roman"/>
          <w:lang w:val="es-ES"/>
        </w:rPr>
      </w:pPr>
      <w:r>
        <w:rPr>
          <w:rFonts w:eastAsia="Times New Roman" w:cs="Times New Roman"/>
          <w:lang w:val="pt-BR"/>
        </w:rPr>
        <w:t>noventa e cinco por cento de todos os alunos e cada grupo de alunos se formarão dentro de quatro anos após entrar no ensino médio;</w:t>
      </w:r>
    </w:p>
    <w:p w14:paraId="71409D06" w14:textId="77777777" w:rsidR="00974CBC" w:rsidRPr="00CC1CB4" w:rsidRDefault="00000000">
      <w:pPr>
        <w:pStyle w:val="a6"/>
        <w:numPr>
          <w:ilvl w:val="0"/>
          <w:numId w:val="17"/>
        </w:numPr>
        <w:spacing w:after="160"/>
        <w:rPr>
          <w:rFonts w:cs="Times New Roman"/>
          <w:lang w:val="es-ES"/>
        </w:rPr>
      </w:pPr>
      <w:r>
        <w:rPr>
          <w:rFonts w:eastAsia="Times New Roman" w:cs="Times New Roman"/>
          <w:lang w:val="pt-BR"/>
        </w:rPr>
        <w:t>noventa e seis por cento de todos os alunos e cada grupo de alunos se formará dentro de cinco anos após entrar no ensino médio;</w:t>
      </w:r>
    </w:p>
    <w:p w14:paraId="56D4E68A" w14:textId="77777777" w:rsidR="00A17EAD" w:rsidRPr="00CC1CB4" w:rsidRDefault="00000000">
      <w:pPr>
        <w:pStyle w:val="a6"/>
        <w:numPr>
          <w:ilvl w:val="0"/>
          <w:numId w:val="17"/>
        </w:numPr>
        <w:spacing w:after="160"/>
        <w:rPr>
          <w:rFonts w:cs="Times New Roman"/>
          <w:lang w:val="es-ES"/>
        </w:rPr>
      </w:pPr>
      <w:r>
        <w:rPr>
          <w:rFonts w:eastAsia="Times New Roman" w:cs="Times New Roman"/>
          <w:lang w:val="pt-BR"/>
        </w:rPr>
        <w:t>noventa e sete por cento de todos os alunos e cada grupo de alunos se formarão dentro de seis anos após entrar no ensino médio.</w:t>
      </w:r>
    </w:p>
    <w:p w14:paraId="409D239C" w14:textId="77777777" w:rsidR="00974CBC" w:rsidRPr="00CC1CB4" w:rsidRDefault="00000000" w:rsidP="00974CBC">
      <w:pPr>
        <w:rPr>
          <w:rFonts w:cs="Times New Roman"/>
          <w:lang w:val="es-ES"/>
        </w:rPr>
      </w:pPr>
      <w:r>
        <w:rPr>
          <w:rFonts w:eastAsia="Times New Roman" w:cs="Times New Roman"/>
          <w:lang w:val="pt-BR"/>
        </w:rPr>
        <w:t>A partir dessas metas futuras, New Jersey definiu suas metas de longo prazo da ESSA para fechar as lacunas entre o desempenho de referência e as metas futuras em 25% a cada seis anos. Após seis anos, o NJDOE definirá novas metas de longo prazo para fechar a lacuna entre a nova avaliação inicial e a meta futura em 25% com base nos dados mais recentes do grupo.</w:t>
      </w:r>
    </w:p>
    <w:p w14:paraId="676BEB97" w14:textId="77777777" w:rsidR="00974CBC" w:rsidRPr="00CC1CB4" w:rsidRDefault="00000000" w:rsidP="00974CBC">
      <w:pPr>
        <w:rPr>
          <w:rFonts w:cs="Times New Roman"/>
          <w:lang w:val="es-ES"/>
        </w:rPr>
      </w:pPr>
      <w:r>
        <w:rPr>
          <w:rFonts w:eastAsia="Times New Roman" w:cs="Times New Roman"/>
          <w:lang w:val="pt-BR"/>
        </w:rPr>
        <w:lastRenderedPageBreak/>
        <w:t>O NJDOE usará as taxas de formação do grupo 2022 como uma avaliação inicial a fim de calcular as metas de longo prazo para as taxas de formação de quatro anos, cinco anos e seis anos. O NJDOE optou por usar o Grupo de 2022 como a avaliação inicial para o cálculo porque a exigência de avaliação de formação do estado estava em vigor para a classe de 2022 após ser dispensado para a classe de 2020 e para a classe de 2021. Após o processo de análise de desempenho de 2019 com o USED, o NJDOE mudou a forma como a taxa de formação de grupo ajustada federal foi calculada a partir de 2021. De acordo com a ESSA, alunos com deficiências que não atenderam a todos os requisitos de formação (requisitos de curso, participação e/ou avaliação com base no ano de formação) devido a modificações ou isenções em seus Programas de Educação Individualizada (Individualized Education Programs, IEPs) não podem ser incluídos como graduados (no numerador) na versão federal da taxa de formação. Portanto, o grupo de 2022 servirá como uma avaliação inicial que reflete o cálculo federal modificado da taxa de formação do grupo ajustada e um ano em que todas as exigências de formação estavam em vigor.</w:t>
      </w:r>
    </w:p>
    <w:p w14:paraId="3239EA7B" w14:textId="77777777" w:rsidR="00974CBC" w:rsidRPr="00CC1CB4" w:rsidRDefault="00000000" w:rsidP="2FA98956">
      <w:pPr>
        <w:tabs>
          <w:tab w:val="left" w:pos="1260"/>
        </w:tabs>
        <w:rPr>
          <w:rFonts w:cs="Times New Roman"/>
          <w:lang w:val="es-ES"/>
        </w:rPr>
      </w:pPr>
      <w:r>
        <w:rPr>
          <w:rFonts w:eastAsia="Times New Roman" w:cs="Times New Roman"/>
          <w:lang w:val="pt-BR"/>
        </w:rPr>
        <w:t xml:space="preserve">Essas metas de longo prazo são ambiciosas porque, se alcançadas, reduziriam as lacunas nas taxas de formação entre os grupos de alunos, que existem desde que Nova Jersey começou a usar o cálculo da taxa de formação de grupo ajustada em 2011. </w:t>
      </w:r>
    </w:p>
    <w:p w14:paraId="72E5365D" w14:textId="77777777" w:rsidR="00974CBC" w:rsidRPr="00CC1CB4" w:rsidRDefault="00000000" w:rsidP="2FA98956">
      <w:pPr>
        <w:tabs>
          <w:tab w:val="left" w:pos="1260"/>
        </w:tabs>
        <w:rPr>
          <w:rFonts w:cs="Times New Roman"/>
          <w:lang w:val="es-ES"/>
        </w:rPr>
      </w:pPr>
      <w:r>
        <w:rPr>
          <w:rFonts w:eastAsia="Times New Roman" w:cs="Times New Roman"/>
          <w:lang w:val="pt-BR"/>
        </w:rPr>
        <w:t>Para o Grupo de 2022, a taxa de formação de quatro anos em todo o estado para todos os alunos foi de 85,2%. A taxa de formação de quatro anos para alunos com deficiências foi de 48,5%. A meta de longo prazo para a taxa de formação de quatro anos do Grupo de 2028 é de 87,7% para todos os alunos e 60,1% para alunos com deficiência. Se alcançado, isso reduziria a lacuna entre todos os alunos e os alunos com deficiências do grupo de alunos de 36,7 pontos percentuais para 27,6 pontos percentuais.</w:t>
      </w:r>
    </w:p>
    <w:p w14:paraId="5E638B23" w14:textId="77777777" w:rsidR="00DA1D5B" w:rsidRPr="00CC1CB4" w:rsidRDefault="00000000" w:rsidP="00DA1D5B">
      <w:pPr>
        <w:rPr>
          <w:lang w:val="es-ES"/>
        </w:rPr>
      </w:pPr>
      <w:r>
        <w:rPr>
          <w:rFonts w:eastAsia="Times New Roman" w:cs="Times New Roman"/>
          <w:lang w:val="pt-BR"/>
        </w:rPr>
        <w:t xml:space="preserve">As metas de longo prazo para as taxas de formação de cinco e seis anos são mais rigorosas porque têm metas futuras progressivamente mais altas. Isso resulta em metas de longo prazo de cinco anos para um determinado grupo sendo sempre mais altas do que as metas de longo prazo de quatro anos para o mesmo grupo. </w:t>
      </w:r>
      <w:r>
        <w:rPr>
          <w:rFonts w:eastAsia="Times New Roman" w:cs="Arial"/>
          <w:lang w:val="pt-BR"/>
        </w:rPr>
        <w:t>Da mesma forma, as metas de longo prazo de seis anos para um determinado grupo sempre serão maiores do que as metas de longo prazo de cinco anos para o mesmo grupo.</w:t>
      </w:r>
    </w:p>
    <w:p w14:paraId="2BDDB993" w14:textId="77777777" w:rsidR="7749EFA8" w:rsidRPr="00CC1CB4" w:rsidRDefault="00000000">
      <w:pPr>
        <w:rPr>
          <w:rFonts w:cs="Times New Roman"/>
          <w:lang w:val="es-ES"/>
        </w:rPr>
      </w:pPr>
      <w:r>
        <w:rPr>
          <w:rFonts w:eastAsia="Times New Roman" w:cs="Times New Roman"/>
          <w:lang w:val="pt-BR"/>
        </w:rPr>
        <w:t xml:space="preserve">A tabela a seguir mostra as taxas de formação basais de quatro anos, cinco anos e seis anos para o grupo de 2022 no nível estadual e as metas de longo prazo correspondentes. </w:t>
      </w:r>
    </w:p>
    <w:p w14:paraId="7424F98A" w14:textId="77777777" w:rsidR="7749EFA8" w:rsidRPr="00CC1CB4" w:rsidRDefault="00000000" w:rsidP="00F86F30">
      <w:pPr>
        <w:pStyle w:val="aff0"/>
        <w:rPr>
          <w:color w:val="auto"/>
          <w:lang w:val="es-ES"/>
        </w:rPr>
      </w:pPr>
      <w:r>
        <w:rPr>
          <w:rFonts w:eastAsia="Cambria"/>
          <w:color w:val="auto"/>
          <w:lang w:val="pt-BR"/>
        </w:rPr>
        <w:t>Figura A.5: Metas basais e de longo prazo para taxas de formação de quatro anos, cinco anos e seis anos</w:t>
      </w:r>
    </w:p>
    <w:tbl>
      <w:tblPr>
        <w:tblStyle w:val="4-10"/>
        <w:tblW w:w="944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20" w:firstRow="1" w:lastRow="0" w:firstColumn="0" w:lastColumn="0" w:noHBand="0" w:noVBand="1"/>
      </w:tblPr>
      <w:tblGrid>
        <w:gridCol w:w="1707"/>
        <w:gridCol w:w="1276"/>
        <w:gridCol w:w="1276"/>
        <w:gridCol w:w="1277"/>
        <w:gridCol w:w="1277"/>
        <w:gridCol w:w="1277"/>
        <w:gridCol w:w="1355"/>
      </w:tblGrid>
      <w:tr w:rsidR="00C566B2" w:rsidRPr="00856537" w14:paraId="09C90528" w14:textId="77777777" w:rsidTr="00C566B2">
        <w:trPr>
          <w:cnfStyle w:val="100000000000" w:firstRow="1" w:lastRow="0" w:firstColumn="0" w:lastColumn="0" w:oddVBand="0" w:evenVBand="0" w:oddHBand="0" w:evenHBand="0" w:firstRowFirstColumn="0" w:firstRowLastColumn="0" w:lastRowFirstColumn="0" w:lastRowLastColumn="0"/>
          <w:trHeight w:val="300"/>
          <w:tblHeader/>
        </w:trPr>
        <w:tc>
          <w:tcPr>
            <w:tcW w:w="1472" w:type="dxa"/>
            <w:tcBorders>
              <w:bottom w:val="single" w:sz="4" w:space="0" w:color="0F243E" w:themeColor="text2" w:themeShade="80"/>
              <w:right w:val="single" w:sz="4" w:space="0" w:color="FFFFFF" w:themeColor="background1"/>
            </w:tcBorders>
            <w:shd w:val="clear" w:color="auto" w:fill="215868" w:themeFill="accent5" w:themeFillShade="80"/>
            <w:vAlign w:val="center"/>
          </w:tcPr>
          <w:p w14:paraId="49862BBA" w14:textId="77777777" w:rsidR="005052A1" w:rsidRPr="004A412C" w:rsidRDefault="00000000" w:rsidP="005052A1">
            <w:pPr>
              <w:rPr>
                <w:rFonts w:eastAsia="Palatino Linotype" w:cs="Times New Roman"/>
                <w:b w:val="0"/>
                <w:bCs w:val="0"/>
              </w:rPr>
            </w:pPr>
            <w:r>
              <w:rPr>
                <w:rFonts w:eastAsia="Times New Roman" w:cs="Times New Roman"/>
                <w:color w:val="FFFFFF"/>
                <w:lang w:val="pt-BR"/>
              </w:rPr>
              <w:t>Grupo de estudantes</w:t>
            </w:r>
          </w:p>
        </w:tc>
        <w:tc>
          <w:tcPr>
            <w:tcW w:w="1313" w:type="dxa"/>
            <w:tcBorders>
              <w:left w:val="single" w:sz="4" w:space="0" w:color="FFFFFF" w:themeColor="background1"/>
              <w:bottom w:val="single" w:sz="4" w:space="0" w:color="0F243E" w:themeColor="text2" w:themeShade="80"/>
              <w:right w:val="single" w:sz="4" w:space="0" w:color="FFFFFF" w:themeColor="background1"/>
            </w:tcBorders>
            <w:shd w:val="clear" w:color="auto" w:fill="215868" w:themeFill="accent5" w:themeFillShade="80"/>
          </w:tcPr>
          <w:p w14:paraId="3B485D81" w14:textId="77777777" w:rsidR="005052A1" w:rsidRPr="00CC1CB4" w:rsidRDefault="00000000" w:rsidP="005052A1">
            <w:pPr>
              <w:jc w:val="center"/>
              <w:rPr>
                <w:rFonts w:eastAsia="Palatino Linotype" w:cs="Times New Roman"/>
                <w:b w:val="0"/>
                <w:bCs w:val="0"/>
                <w:lang w:val="es-ES"/>
              </w:rPr>
            </w:pPr>
            <w:r>
              <w:rPr>
                <w:rFonts w:eastAsia="Times New Roman" w:cs="Times New Roman"/>
                <w:color w:val="FFFFFF"/>
                <w:lang w:val="pt-BR"/>
              </w:rPr>
              <w:t>Taxa basal de formação de 4 anos: Grupo de 2022</w:t>
            </w:r>
          </w:p>
        </w:tc>
        <w:tc>
          <w:tcPr>
            <w:tcW w:w="1313" w:type="dxa"/>
            <w:tcBorders>
              <w:left w:val="single" w:sz="4" w:space="0" w:color="FFFFFF" w:themeColor="background1"/>
              <w:bottom w:val="single" w:sz="4" w:space="0" w:color="0F243E" w:themeColor="text2" w:themeShade="80"/>
              <w:right w:val="single" w:sz="4" w:space="0" w:color="FFFFFF" w:themeColor="background1"/>
            </w:tcBorders>
            <w:shd w:val="clear" w:color="auto" w:fill="215868" w:themeFill="accent5" w:themeFillShade="80"/>
          </w:tcPr>
          <w:p w14:paraId="6237FD05" w14:textId="77777777" w:rsidR="005052A1" w:rsidRPr="00CC1CB4" w:rsidRDefault="00000000" w:rsidP="005052A1">
            <w:pPr>
              <w:jc w:val="center"/>
              <w:rPr>
                <w:rFonts w:eastAsia="Palatino Linotype" w:cs="Times New Roman"/>
                <w:b w:val="0"/>
                <w:bCs w:val="0"/>
                <w:lang w:val="es-ES"/>
              </w:rPr>
            </w:pPr>
            <w:r>
              <w:rPr>
                <w:rFonts w:eastAsia="Times New Roman" w:cs="Times New Roman"/>
                <w:color w:val="FFFFFF"/>
                <w:lang w:val="pt-BR"/>
              </w:rPr>
              <w:t>Taxa da meta de longo prazo de formação de 4 anos: Grupo de 2028</w:t>
            </w:r>
          </w:p>
        </w:tc>
        <w:tc>
          <w:tcPr>
            <w:tcW w:w="1313" w:type="dxa"/>
            <w:tcBorders>
              <w:left w:val="single" w:sz="4" w:space="0" w:color="FFFFFF" w:themeColor="background1"/>
              <w:bottom w:val="single" w:sz="4" w:space="0" w:color="0F243E" w:themeColor="text2" w:themeShade="80"/>
              <w:right w:val="single" w:sz="4" w:space="0" w:color="FFFFFF" w:themeColor="background1"/>
            </w:tcBorders>
            <w:shd w:val="clear" w:color="auto" w:fill="215868" w:themeFill="accent5" w:themeFillShade="80"/>
          </w:tcPr>
          <w:p w14:paraId="18F29CE2" w14:textId="77777777" w:rsidR="005052A1" w:rsidRPr="00CC1CB4" w:rsidRDefault="00000000" w:rsidP="005052A1">
            <w:pPr>
              <w:jc w:val="center"/>
              <w:rPr>
                <w:rFonts w:eastAsia="Palatino Linotype" w:cs="Times New Roman"/>
                <w:b w:val="0"/>
                <w:bCs w:val="0"/>
                <w:lang w:val="es-ES"/>
              </w:rPr>
            </w:pPr>
            <w:r>
              <w:rPr>
                <w:rFonts w:eastAsia="Times New Roman" w:cs="Times New Roman"/>
                <w:color w:val="FFFFFF"/>
                <w:lang w:val="pt-BR"/>
              </w:rPr>
              <w:t>Taxa basal de formação de 5 anos: Grupo de 2022</w:t>
            </w:r>
          </w:p>
        </w:tc>
        <w:tc>
          <w:tcPr>
            <w:tcW w:w="1313" w:type="dxa"/>
            <w:tcBorders>
              <w:left w:val="single" w:sz="4" w:space="0" w:color="FFFFFF" w:themeColor="background1"/>
              <w:bottom w:val="single" w:sz="4" w:space="0" w:color="0F243E" w:themeColor="text2" w:themeShade="80"/>
              <w:right w:val="single" w:sz="4" w:space="0" w:color="FFFFFF" w:themeColor="background1"/>
            </w:tcBorders>
            <w:shd w:val="clear" w:color="auto" w:fill="215868" w:themeFill="accent5" w:themeFillShade="80"/>
          </w:tcPr>
          <w:p w14:paraId="2E794B71" w14:textId="77777777" w:rsidR="005052A1" w:rsidRPr="00CC1CB4" w:rsidRDefault="00000000" w:rsidP="005052A1">
            <w:pPr>
              <w:jc w:val="center"/>
              <w:rPr>
                <w:rFonts w:eastAsia="Palatino Linotype" w:cs="Times New Roman"/>
                <w:b w:val="0"/>
                <w:bCs w:val="0"/>
                <w:lang w:val="es-ES"/>
              </w:rPr>
            </w:pPr>
            <w:r>
              <w:rPr>
                <w:rFonts w:eastAsia="Times New Roman" w:cs="Times New Roman"/>
                <w:color w:val="FFFFFF"/>
                <w:lang w:val="pt-BR"/>
              </w:rPr>
              <w:t>Meta de longo prazo de formação de 5 anos: Grupo de 2028</w:t>
            </w:r>
          </w:p>
        </w:tc>
        <w:tc>
          <w:tcPr>
            <w:tcW w:w="1313" w:type="dxa"/>
            <w:tcBorders>
              <w:left w:val="single" w:sz="4" w:space="0" w:color="FFFFFF" w:themeColor="background1"/>
              <w:bottom w:val="single" w:sz="4" w:space="0" w:color="0F243E" w:themeColor="text2" w:themeShade="80"/>
              <w:right w:val="single" w:sz="4" w:space="0" w:color="FFFFFF" w:themeColor="background1"/>
            </w:tcBorders>
            <w:shd w:val="clear" w:color="auto" w:fill="215868" w:themeFill="accent5" w:themeFillShade="80"/>
          </w:tcPr>
          <w:p w14:paraId="7E4FF082" w14:textId="77777777" w:rsidR="005052A1" w:rsidRPr="00CC1CB4" w:rsidRDefault="00000000" w:rsidP="005052A1">
            <w:pPr>
              <w:jc w:val="center"/>
              <w:rPr>
                <w:rFonts w:eastAsia="Palatino Linotype" w:cs="Times New Roman"/>
                <w:b w:val="0"/>
                <w:bCs w:val="0"/>
                <w:lang w:val="es-ES"/>
              </w:rPr>
            </w:pPr>
            <w:r>
              <w:rPr>
                <w:rFonts w:eastAsia="Times New Roman" w:cs="Times New Roman"/>
                <w:color w:val="FFFFFF"/>
                <w:lang w:val="pt-BR"/>
              </w:rPr>
              <w:t>Taxa basal de formação de 6 anos: Grupo de 2022</w:t>
            </w:r>
          </w:p>
        </w:tc>
        <w:tc>
          <w:tcPr>
            <w:tcW w:w="1408" w:type="dxa"/>
            <w:tcBorders>
              <w:left w:val="single" w:sz="4" w:space="0" w:color="FFFFFF" w:themeColor="background1"/>
              <w:bottom w:val="single" w:sz="4" w:space="0" w:color="0F243E" w:themeColor="text2" w:themeShade="80"/>
            </w:tcBorders>
            <w:shd w:val="clear" w:color="auto" w:fill="215868" w:themeFill="accent5" w:themeFillShade="80"/>
          </w:tcPr>
          <w:p w14:paraId="5BCAAFD9" w14:textId="77777777" w:rsidR="005052A1" w:rsidRPr="00CC1CB4" w:rsidRDefault="00000000" w:rsidP="005052A1">
            <w:pPr>
              <w:jc w:val="center"/>
              <w:rPr>
                <w:rFonts w:eastAsia="Palatino Linotype" w:cs="Times New Roman"/>
                <w:b w:val="0"/>
                <w:bCs w:val="0"/>
                <w:lang w:val="es-ES"/>
              </w:rPr>
            </w:pPr>
            <w:r>
              <w:rPr>
                <w:rFonts w:eastAsia="Times New Roman" w:cs="Times New Roman"/>
                <w:color w:val="FFFFFF"/>
                <w:lang w:val="pt-BR"/>
              </w:rPr>
              <w:t>Taxa da meta de longo prazo de formação de 6 anos: Grupo de 2028</w:t>
            </w:r>
          </w:p>
        </w:tc>
      </w:tr>
      <w:tr w:rsidR="00C566B2" w14:paraId="00DF87F1" w14:textId="77777777" w:rsidTr="00C566B2">
        <w:trPr>
          <w:cnfStyle w:val="000000100000" w:firstRow="0" w:lastRow="0" w:firstColumn="0" w:lastColumn="0" w:oddVBand="0" w:evenVBand="0" w:oddHBand="1" w:evenHBand="0" w:firstRowFirstColumn="0" w:firstRowLastColumn="0" w:lastRowFirstColumn="0" w:lastRowLastColumn="0"/>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7FD78387" w14:textId="77777777" w:rsidR="0031436F" w:rsidRPr="00967B62" w:rsidRDefault="00000000" w:rsidP="0031436F">
            <w:pPr>
              <w:rPr>
                <w:rFonts w:eastAsia="Palatino Linotype" w:cs="Times New Roman"/>
                <w:b/>
              </w:rPr>
            </w:pPr>
            <w:r>
              <w:rPr>
                <w:rFonts w:eastAsia="Times New Roman" w:cs="Times New Roman"/>
                <w:lang w:val="pt-BR"/>
              </w:rPr>
              <w:t>Todos os</w:t>
            </w:r>
            <w:r>
              <w:rPr>
                <w:rFonts w:eastAsia="Times New Roman" w:cs="Times New Roman"/>
                <w:b/>
                <w:bCs/>
                <w:lang w:val="pt-BR"/>
              </w:rPr>
              <w:t xml:space="preserve"> </w:t>
            </w:r>
            <w:r>
              <w:rPr>
                <w:rFonts w:eastAsia="Times New Roman" w:cs="Times New Roman"/>
                <w:lang w:val="pt-BR"/>
              </w:rPr>
              <w:t>alunos</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09DDD47F" w14:textId="77777777" w:rsidR="0031436F" w:rsidRPr="00967B62" w:rsidRDefault="00000000" w:rsidP="0031436F">
            <w:pPr>
              <w:jc w:val="center"/>
              <w:rPr>
                <w:rFonts w:eastAsia="Palatino Linotype" w:cs="Times New Roman"/>
              </w:rPr>
            </w:pPr>
            <w:r>
              <w:rPr>
                <w:rFonts w:eastAsia="Times New Roman" w:cs="Times New Roman"/>
                <w:lang w:val="pt-BR"/>
              </w:rPr>
              <w:t>85,2%</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1E2DC8C2" w14:textId="77777777" w:rsidR="0031436F" w:rsidRPr="00967B62" w:rsidRDefault="00000000" w:rsidP="0031436F">
            <w:pPr>
              <w:jc w:val="center"/>
              <w:rPr>
                <w:rFonts w:eastAsia="Palatino Linotype" w:cs="Times New Roman"/>
              </w:rPr>
            </w:pPr>
            <w:r>
              <w:rPr>
                <w:rFonts w:eastAsia="Times New Roman" w:cs="Times New Roman"/>
                <w:lang w:val="pt-BR"/>
              </w:rPr>
              <w:t>87,7%</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5D7B6BEE" w14:textId="77777777" w:rsidR="0031436F" w:rsidRPr="00967B62" w:rsidRDefault="00000000" w:rsidP="0031436F">
            <w:pPr>
              <w:jc w:val="center"/>
              <w:rPr>
                <w:rFonts w:eastAsia="Palatino Linotype" w:cs="Times New Roman"/>
              </w:rPr>
            </w:pPr>
            <w:r>
              <w:rPr>
                <w:rFonts w:eastAsia="Times New Roman" w:cs="Times New Roman"/>
                <w:lang w:val="pt-BR"/>
              </w:rPr>
              <w:t>86,9%</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62E85ECD" w14:textId="77777777" w:rsidR="0031436F" w:rsidRPr="00967B62" w:rsidRDefault="00000000" w:rsidP="0031436F">
            <w:pPr>
              <w:jc w:val="center"/>
              <w:rPr>
                <w:rFonts w:eastAsia="Palatino Linotype" w:cs="Times New Roman"/>
              </w:rPr>
            </w:pPr>
            <w:r>
              <w:rPr>
                <w:rFonts w:eastAsia="Times New Roman" w:cs="Times New Roman"/>
                <w:lang w:val="pt-BR"/>
              </w:rPr>
              <w:t>89,2%</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0789DA68" w14:textId="77777777" w:rsidR="0031436F" w:rsidRPr="00967B62" w:rsidRDefault="00000000" w:rsidP="0031436F">
            <w:pPr>
              <w:jc w:val="center"/>
              <w:rPr>
                <w:rFonts w:eastAsia="Palatino Linotype" w:cs="Times New Roman"/>
              </w:rPr>
            </w:pPr>
            <w:r>
              <w:rPr>
                <w:rFonts w:eastAsia="Times New Roman" w:cs="Arial"/>
                <w:lang w:val="pt-BR"/>
              </w:rPr>
              <w:t>87,0%</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4E8C8BE4" w14:textId="77777777" w:rsidR="0031436F" w:rsidRPr="00967B62" w:rsidRDefault="00000000" w:rsidP="0031436F">
            <w:pPr>
              <w:jc w:val="center"/>
              <w:rPr>
                <w:rFonts w:eastAsia="Palatino Linotype" w:cs="Times New Roman"/>
              </w:rPr>
            </w:pPr>
            <w:r>
              <w:rPr>
                <w:rFonts w:eastAsia="Times New Roman" w:cs="Arial"/>
                <w:lang w:val="pt-BR"/>
              </w:rPr>
              <w:t>89,5%</w:t>
            </w:r>
          </w:p>
        </w:tc>
      </w:tr>
      <w:tr w:rsidR="00C566B2" w14:paraId="2184DB5B" w14:textId="77777777" w:rsidTr="00C566B2">
        <w:trPr>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1A6EE16D" w14:textId="77777777" w:rsidR="0031436F" w:rsidRPr="00967B62" w:rsidRDefault="00000000" w:rsidP="0031436F">
            <w:pPr>
              <w:rPr>
                <w:rFonts w:eastAsia="Palatino Linotype" w:cs="Times New Roman"/>
                <w:b/>
              </w:rPr>
            </w:pPr>
            <w:r>
              <w:rPr>
                <w:rFonts w:eastAsia="Times New Roman" w:cs="Times New Roman"/>
                <w:lang w:val="pt-BR"/>
              </w:rPr>
              <w:t>Estudantes</w:t>
            </w:r>
            <w:r>
              <w:rPr>
                <w:rFonts w:eastAsia="Times New Roman" w:cs="Times New Roman"/>
                <w:b/>
                <w:bCs/>
                <w:lang w:val="pt-BR"/>
              </w:rPr>
              <w:t xml:space="preserve"> </w:t>
            </w:r>
            <w:r>
              <w:rPr>
                <w:rFonts w:eastAsia="Times New Roman" w:cs="Times New Roman"/>
                <w:lang w:val="pt-BR"/>
              </w:rPr>
              <w:t>economicamente</w:t>
            </w:r>
            <w:r>
              <w:rPr>
                <w:rFonts w:eastAsia="Times New Roman" w:cs="Times New Roman"/>
                <w:b/>
                <w:bCs/>
                <w:lang w:val="pt-BR"/>
              </w:rPr>
              <w:t xml:space="preserve"> </w:t>
            </w:r>
            <w:r>
              <w:rPr>
                <w:rFonts w:eastAsia="Times New Roman" w:cs="Times New Roman"/>
                <w:lang w:val="pt-BR"/>
              </w:rPr>
              <w:t>desfavorecidos</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ACAC0E8" w14:textId="77777777" w:rsidR="0031436F" w:rsidRPr="00967B62" w:rsidRDefault="00000000" w:rsidP="0031436F">
            <w:pPr>
              <w:jc w:val="center"/>
              <w:rPr>
                <w:rFonts w:eastAsia="Palatino Linotype" w:cs="Times New Roman"/>
              </w:rPr>
            </w:pPr>
            <w:r>
              <w:rPr>
                <w:rFonts w:eastAsia="Times New Roman" w:cs="Times New Roman"/>
                <w:lang w:val="pt-BR"/>
              </w:rPr>
              <w:t>78,7%</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F574D00" w14:textId="77777777" w:rsidR="0031436F" w:rsidRPr="00967B62" w:rsidRDefault="00000000" w:rsidP="0031436F">
            <w:pPr>
              <w:jc w:val="center"/>
              <w:rPr>
                <w:rFonts w:eastAsia="Palatino Linotype" w:cs="Times New Roman"/>
              </w:rPr>
            </w:pPr>
            <w:r>
              <w:rPr>
                <w:rFonts w:eastAsia="Times New Roman" w:cs="Times New Roman"/>
                <w:lang w:val="pt-BR"/>
              </w:rPr>
              <w:t>82,8%</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331CA7D" w14:textId="77777777" w:rsidR="0031436F" w:rsidRPr="00967B62" w:rsidRDefault="00000000" w:rsidP="0031436F">
            <w:pPr>
              <w:jc w:val="center"/>
              <w:rPr>
                <w:rFonts w:eastAsia="Palatino Linotype" w:cs="Times New Roman"/>
              </w:rPr>
            </w:pPr>
            <w:r>
              <w:rPr>
                <w:rFonts w:eastAsia="Times New Roman" w:cs="Times New Roman"/>
                <w:lang w:val="pt-BR"/>
              </w:rPr>
              <w:t>81,2%</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831D228" w14:textId="77777777" w:rsidR="0031436F" w:rsidRPr="00967B62" w:rsidRDefault="00000000" w:rsidP="0031436F">
            <w:pPr>
              <w:jc w:val="center"/>
              <w:rPr>
                <w:rFonts w:eastAsia="Palatino Linotype" w:cs="Times New Roman"/>
              </w:rPr>
            </w:pPr>
            <w:r>
              <w:rPr>
                <w:rFonts w:eastAsia="Times New Roman" w:cs="Times New Roman"/>
                <w:lang w:val="pt-BR"/>
              </w:rPr>
              <w:t>84,9%</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A5843F1" w14:textId="77777777" w:rsidR="0031436F" w:rsidRPr="00967B62" w:rsidRDefault="00000000" w:rsidP="0031436F">
            <w:pPr>
              <w:jc w:val="center"/>
              <w:rPr>
                <w:rFonts w:eastAsia="Palatino Linotype" w:cs="Times New Roman"/>
              </w:rPr>
            </w:pPr>
            <w:r>
              <w:rPr>
                <w:rFonts w:eastAsia="Times New Roman" w:cs="Arial"/>
                <w:lang w:val="pt-BR"/>
              </w:rPr>
              <w:t>81,4%</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7332E53" w14:textId="77777777" w:rsidR="0031436F" w:rsidRPr="00967B62" w:rsidRDefault="00000000" w:rsidP="0031436F">
            <w:pPr>
              <w:jc w:val="center"/>
              <w:rPr>
                <w:rFonts w:eastAsia="Palatino Linotype" w:cs="Times New Roman"/>
              </w:rPr>
            </w:pPr>
            <w:r>
              <w:rPr>
                <w:rFonts w:eastAsia="Times New Roman" w:cs="Arial"/>
                <w:lang w:val="pt-BR"/>
              </w:rPr>
              <w:t>85,3%</w:t>
            </w:r>
          </w:p>
        </w:tc>
      </w:tr>
      <w:tr w:rsidR="00C566B2" w14:paraId="2DA06B59" w14:textId="77777777" w:rsidTr="00C566B2">
        <w:trPr>
          <w:cnfStyle w:val="000000100000" w:firstRow="0" w:lastRow="0" w:firstColumn="0" w:lastColumn="0" w:oddVBand="0" w:evenVBand="0" w:oddHBand="1" w:evenHBand="0" w:firstRowFirstColumn="0" w:firstRowLastColumn="0" w:lastRowFirstColumn="0" w:lastRowLastColumn="0"/>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00DFE431" w14:textId="77777777" w:rsidR="0031436F" w:rsidRPr="00967B62" w:rsidRDefault="00000000" w:rsidP="0031436F">
            <w:pPr>
              <w:rPr>
                <w:rFonts w:eastAsia="Palatino Linotype" w:cs="Times New Roman"/>
                <w:b/>
              </w:rPr>
            </w:pPr>
            <w:r>
              <w:rPr>
                <w:rFonts w:eastAsia="Times New Roman" w:cs="Times New Roman"/>
                <w:lang w:val="pt-BR"/>
              </w:rPr>
              <w:lastRenderedPageBreak/>
              <w:t>Estudantes</w:t>
            </w:r>
            <w:r>
              <w:rPr>
                <w:rFonts w:eastAsia="Times New Roman" w:cs="Times New Roman"/>
                <w:b/>
                <w:bCs/>
                <w:lang w:val="pt-BR"/>
              </w:rPr>
              <w:t xml:space="preserve"> </w:t>
            </w:r>
            <w:r>
              <w:rPr>
                <w:rFonts w:eastAsia="Times New Roman" w:cs="Times New Roman"/>
                <w:lang w:val="pt-BR"/>
              </w:rPr>
              <w:t>com</w:t>
            </w:r>
            <w:r>
              <w:rPr>
                <w:rFonts w:eastAsia="Times New Roman" w:cs="Times New Roman"/>
                <w:b/>
                <w:bCs/>
                <w:lang w:val="pt-BR"/>
              </w:rPr>
              <w:t xml:space="preserve"> </w:t>
            </w:r>
            <w:r>
              <w:rPr>
                <w:rFonts w:eastAsia="Times New Roman" w:cs="Times New Roman"/>
                <w:lang w:val="pt-BR"/>
              </w:rPr>
              <w:t>deficiências</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2841CCC5" w14:textId="77777777" w:rsidR="0031436F" w:rsidRPr="00967B62" w:rsidRDefault="00000000" w:rsidP="0031436F">
            <w:pPr>
              <w:jc w:val="center"/>
              <w:rPr>
                <w:rFonts w:eastAsia="Palatino Linotype" w:cs="Times New Roman"/>
              </w:rPr>
            </w:pPr>
            <w:r>
              <w:rPr>
                <w:rFonts w:eastAsia="Times New Roman" w:cs="Times New Roman"/>
                <w:lang w:val="pt-BR"/>
              </w:rPr>
              <w:t>48,5%</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7F597868" w14:textId="77777777" w:rsidR="0031436F" w:rsidRPr="00967B62" w:rsidRDefault="00000000" w:rsidP="0031436F">
            <w:pPr>
              <w:jc w:val="center"/>
              <w:rPr>
                <w:rFonts w:eastAsia="Palatino Linotype" w:cs="Times New Roman"/>
              </w:rPr>
            </w:pPr>
            <w:r>
              <w:rPr>
                <w:rFonts w:eastAsia="Times New Roman" w:cs="Times New Roman"/>
                <w:lang w:val="pt-BR"/>
              </w:rPr>
              <w:t>60,1%</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266D2721" w14:textId="77777777" w:rsidR="0031436F" w:rsidRPr="00967B62" w:rsidRDefault="00000000" w:rsidP="0031436F">
            <w:pPr>
              <w:jc w:val="center"/>
              <w:rPr>
                <w:rFonts w:eastAsia="Palatino Linotype" w:cs="Times New Roman"/>
              </w:rPr>
            </w:pPr>
            <w:r>
              <w:rPr>
                <w:rFonts w:eastAsia="Times New Roman" w:cs="Times New Roman"/>
                <w:lang w:val="pt-BR"/>
              </w:rPr>
              <w:t>51,4%</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4482EA17" w14:textId="77777777" w:rsidR="0031436F" w:rsidRPr="00967B62" w:rsidRDefault="00000000" w:rsidP="0031436F">
            <w:pPr>
              <w:jc w:val="center"/>
              <w:rPr>
                <w:rFonts w:eastAsia="Palatino Linotype" w:cs="Times New Roman"/>
              </w:rPr>
            </w:pPr>
            <w:r>
              <w:rPr>
                <w:rFonts w:eastAsia="Times New Roman" w:cs="Times New Roman"/>
                <w:lang w:val="pt-BR"/>
              </w:rPr>
              <w:t>62,6%</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6D5B4AAC" w14:textId="77777777" w:rsidR="0031436F" w:rsidRPr="00967B62" w:rsidRDefault="00000000" w:rsidP="0031436F">
            <w:pPr>
              <w:jc w:val="center"/>
              <w:rPr>
                <w:rFonts w:eastAsia="Palatino Linotype" w:cs="Times New Roman"/>
              </w:rPr>
            </w:pPr>
            <w:r>
              <w:rPr>
                <w:rFonts w:eastAsia="Times New Roman" w:cs="Arial"/>
                <w:lang w:val="pt-BR"/>
              </w:rPr>
              <w:t>51,8%</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624C8BEA" w14:textId="77777777" w:rsidR="0031436F" w:rsidRPr="00967B62" w:rsidRDefault="00000000" w:rsidP="0031436F">
            <w:pPr>
              <w:jc w:val="center"/>
              <w:rPr>
                <w:rFonts w:eastAsia="Palatino Linotype" w:cs="Times New Roman"/>
              </w:rPr>
            </w:pPr>
            <w:r>
              <w:rPr>
                <w:rFonts w:eastAsia="Times New Roman" w:cs="Arial"/>
                <w:lang w:val="pt-BR"/>
              </w:rPr>
              <w:t>63,1%</w:t>
            </w:r>
          </w:p>
        </w:tc>
      </w:tr>
      <w:tr w:rsidR="00C566B2" w14:paraId="2A9C0EA7" w14:textId="77777777" w:rsidTr="00C566B2">
        <w:trPr>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7E42F8EA" w14:textId="77777777" w:rsidR="0031436F" w:rsidRPr="00967B62" w:rsidRDefault="00000000" w:rsidP="0031436F">
            <w:pPr>
              <w:rPr>
                <w:rFonts w:eastAsia="Palatino Linotype" w:cs="Times New Roman"/>
                <w:b/>
              </w:rPr>
            </w:pPr>
            <w:r>
              <w:rPr>
                <w:rFonts w:eastAsia="Times New Roman" w:cs="Times New Roman"/>
                <w:lang w:val="pt-BR"/>
              </w:rPr>
              <w:t>Aprendizes</w:t>
            </w:r>
            <w:r>
              <w:rPr>
                <w:rFonts w:eastAsia="Times New Roman" w:cs="Times New Roman"/>
                <w:b/>
                <w:bCs/>
                <w:lang w:val="pt-BR"/>
              </w:rPr>
              <w:t xml:space="preserve"> </w:t>
            </w:r>
            <w:r>
              <w:rPr>
                <w:rFonts w:eastAsia="Times New Roman" w:cs="Times New Roman"/>
                <w:lang w:val="pt-BR"/>
              </w:rPr>
              <w:t>multilíngues</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A542310" w14:textId="77777777" w:rsidR="0031436F" w:rsidRPr="00967B62" w:rsidRDefault="00000000" w:rsidP="0031436F">
            <w:pPr>
              <w:jc w:val="center"/>
              <w:rPr>
                <w:rFonts w:eastAsia="Palatino Linotype" w:cs="Times New Roman"/>
              </w:rPr>
            </w:pPr>
            <w:r>
              <w:rPr>
                <w:rFonts w:eastAsia="Times New Roman" w:cs="Times New Roman"/>
                <w:lang w:val="pt-BR"/>
              </w:rPr>
              <w:t>70,3%</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8D218F8" w14:textId="77777777" w:rsidR="0031436F" w:rsidRPr="00967B62" w:rsidRDefault="00000000" w:rsidP="0031436F">
            <w:pPr>
              <w:jc w:val="center"/>
              <w:rPr>
                <w:rFonts w:eastAsia="Palatino Linotype" w:cs="Times New Roman"/>
              </w:rPr>
            </w:pPr>
            <w:r>
              <w:rPr>
                <w:rFonts w:eastAsia="Times New Roman" w:cs="Times New Roman"/>
                <w:lang w:val="pt-BR"/>
              </w:rPr>
              <w:t>76,5%</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F14BB1B" w14:textId="77777777" w:rsidR="0031436F" w:rsidRPr="00967B62" w:rsidRDefault="00000000" w:rsidP="0031436F">
            <w:pPr>
              <w:jc w:val="center"/>
              <w:rPr>
                <w:rFonts w:eastAsia="Palatino Linotype" w:cs="Times New Roman"/>
              </w:rPr>
            </w:pPr>
            <w:r>
              <w:rPr>
                <w:rFonts w:eastAsia="Times New Roman" w:cs="Times New Roman"/>
                <w:lang w:val="pt-BR"/>
              </w:rPr>
              <w:t>75,4%</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95AF2EC" w14:textId="77777777" w:rsidR="0031436F" w:rsidRPr="00967B62" w:rsidRDefault="00000000" w:rsidP="0031436F">
            <w:pPr>
              <w:jc w:val="center"/>
              <w:rPr>
                <w:rFonts w:eastAsia="Palatino Linotype" w:cs="Times New Roman"/>
              </w:rPr>
            </w:pPr>
            <w:r>
              <w:rPr>
                <w:rFonts w:eastAsia="Times New Roman" w:cs="Times New Roman"/>
                <w:lang w:val="pt-BR"/>
              </w:rPr>
              <w:t>80,6%</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12601CF" w14:textId="77777777" w:rsidR="0031436F" w:rsidRPr="00967B62" w:rsidRDefault="00000000" w:rsidP="0031436F">
            <w:pPr>
              <w:jc w:val="center"/>
              <w:rPr>
                <w:rFonts w:eastAsia="Palatino Linotype" w:cs="Times New Roman"/>
              </w:rPr>
            </w:pPr>
            <w:r>
              <w:rPr>
                <w:rFonts w:eastAsia="Times New Roman" w:cs="Arial"/>
                <w:lang w:val="pt-BR"/>
              </w:rPr>
              <w:t>75,7%</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A200CE9" w14:textId="77777777" w:rsidR="0031436F" w:rsidRPr="00967B62" w:rsidRDefault="00000000" w:rsidP="0031436F">
            <w:pPr>
              <w:jc w:val="center"/>
              <w:rPr>
                <w:rFonts w:eastAsia="Palatino Linotype" w:cs="Times New Roman"/>
              </w:rPr>
            </w:pPr>
            <w:r>
              <w:rPr>
                <w:rFonts w:eastAsia="Times New Roman" w:cs="Arial"/>
                <w:lang w:val="pt-BR"/>
              </w:rPr>
              <w:t>81,0%</w:t>
            </w:r>
          </w:p>
        </w:tc>
      </w:tr>
      <w:tr w:rsidR="00C566B2" w14:paraId="047B7FAE" w14:textId="77777777" w:rsidTr="00C566B2">
        <w:trPr>
          <w:cnfStyle w:val="000000100000" w:firstRow="0" w:lastRow="0" w:firstColumn="0" w:lastColumn="0" w:oddVBand="0" w:evenVBand="0" w:oddHBand="1" w:evenHBand="0" w:firstRowFirstColumn="0" w:firstRowLastColumn="0" w:lastRowFirstColumn="0" w:lastRowLastColumn="0"/>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3FEAF100" w14:textId="77777777" w:rsidR="0031436F" w:rsidRPr="00CC1CB4" w:rsidRDefault="00000000" w:rsidP="0031436F">
            <w:pPr>
              <w:rPr>
                <w:rFonts w:eastAsia="Palatino Linotype" w:cs="Times New Roman"/>
                <w:b/>
                <w:lang w:val="es-ES"/>
              </w:rPr>
            </w:pPr>
            <w:r>
              <w:rPr>
                <w:rFonts w:eastAsia="Times New Roman" w:cs="Times New Roman"/>
                <w:lang w:val="pt-BR"/>
              </w:rPr>
              <w:t>Indígena</w:t>
            </w:r>
            <w:r>
              <w:rPr>
                <w:rFonts w:eastAsia="Times New Roman" w:cs="Times New Roman"/>
                <w:b/>
                <w:bCs/>
                <w:lang w:val="pt-BR"/>
              </w:rPr>
              <w:t xml:space="preserve"> </w:t>
            </w:r>
            <w:r>
              <w:rPr>
                <w:rFonts w:eastAsia="Times New Roman" w:cs="Times New Roman"/>
                <w:lang w:val="pt-BR"/>
              </w:rPr>
              <w:t>americano</w:t>
            </w:r>
            <w:r>
              <w:rPr>
                <w:rFonts w:eastAsia="Times New Roman" w:cs="Times New Roman"/>
                <w:b/>
                <w:bCs/>
                <w:lang w:val="pt-BR"/>
              </w:rPr>
              <w:t xml:space="preserve"> </w:t>
            </w:r>
            <w:r>
              <w:rPr>
                <w:rFonts w:eastAsia="Times New Roman" w:cs="Times New Roman"/>
                <w:lang w:val="pt-BR"/>
              </w:rPr>
              <w:t>ou</w:t>
            </w:r>
            <w:r>
              <w:rPr>
                <w:rFonts w:eastAsia="Times New Roman" w:cs="Times New Roman"/>
                <w:b/>
                <w:bCs/>
                <w:lang w:val="pt-BR"/>
              </w:rPr>
              <w:t xml:space="preserve"> </w:t>
            </w:r>
            <w:r>
              <w:rPr>
                <w:rFonts w:eastAsia="Times New Roman" w:cs="Times New Roman"/>
                <w:lang w:val="pt-BR"/>
              </w:rPr>
              <w:t>nativo do</w:t>
            </w:r>
            <w:r>
              <w:rPr>
                <w:rFonts w:eastAsia="Times New Roman" w:cs="Times New Roman"/>
                <w:b/>
                <w:bCs/>
                <w:lang w:val="pt-BR"/>
              </w:rPr>
              <w:t xml:space="preserve"> </w:t>
            </w:r>
            <w:r>
              <w:rPr>
                <w:rFonts w:eastAsia="Times New Roman" w:cs="Times New Roman"/>
                <w:lang w:val="pt-BR"/>
              </w:rPr>
              <w:t>Alasca</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332C6468" w14:textId="77777777" w:rsidR="0031436F" w:rsidRPr="00967B62" w:rsidRDefault="00000000" w:rsidP="0031436F">
            <w:pPr>
              <w:jc w:val="center"/>
              <w:rPr>
                <w:rFonts w:eastAsia="Palatino Linotype" w:cs="Times New Roman"/>
              </w:rPr>
            </w:pPr>
            <w:r>
              <w:rPr>
                <w:rFonts w:eastAsia="Times New Roman" w:cs="Times New Roman"/>
                <w:lang w:val="pt-BR"/>
              </w:rPr>
              <w:t>84,8%</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4914AC05" w14:textId="77777777" w:rsidR="0031436F" w:rsidRPr="00967B62" w:rsidRDefault="00000000" w:rsidP="0031436F">
            <w:pPr>
              <w:jc w:val="center"/>
              <w:rPr>
                <w:rFonts w:eastAsia="Palatino Linotype" w:cs="Times New Roman"/>
              </w:rPr>
            </w:pPr>
            <w:r>
              <w:rPr>
                <w:rFonts w:eastAsia="Times New Roman" w:cs="Times New Roman"/>
                <w:lang w:val="pt-BR"/>
              </w:rPr>
              <w:t>87,4%</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3918052C" w14:textId="77777777" w:rsidR="0031436F" w:rsidRPr="00967B62" w:rsidRDefault="00000000" w:rsidP="0031436F">
            <w:pPr>
              <w:jc w:val="center"/>
              <w:rPr>
                <w:rFonts w:eastAsia="Palatino Linotype" w:cs="Times New Roman"/>
              </w:rPr>
            </w:pPr>
            <w:r>
              <w:rPr>
                <w:rFonts w:eastAsia="Times New Roman" w:cs="Times New Roman"/>
                <w:lang w:val="pt-BR"/>
              </w:rPr>
              <w:t>86,4%</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698B3C27" w14:textId="77777777" w:rsidR="0031436F" w:rsidRPr="00967B62" w:rsidRDefault="00000000" w:rsidP="0031436F">
            <w:pPr>
              <w:jc w:val="center"/>
              <w:rPr>
                <w:rFonts w:eastAsia="Palatino Linotype" w:cs="Times New Roman"/>
              </w:rPr>
            </w:pPr>
            <w:r>
              <w:rPr>
                <w:rFonts w:eastAsia="Times New Roman" w:cs="Times New Roman"/>
                <w:lang w:val="pt-BR"/>
              </w:rPr>
              <w:t>88,8%</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1D8F95D6" w14:textId="77777777" w:rsidR="0031436F" w:rsidRPr="00967B62" w:rsidRDefault="00000000" w:rsidP="0031436F">
            <w:pPr>
              <w:jc w:val="center"/>
              <w:rPr>
                <w:rFonts w:eastAsia="Palatino Linotype" w:cs="Times New Roman"/>
              </w:rPr>
            </w:pPr>
            <w:r>
              <w:rPr>
                <w:rFonts w:eastAsia="Times New Roman" w:cs="Arial"/>
                <w:lang w:val="pt-BR"/>
              </w:rPr>
              <w:t>86,4%</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2873FB46" w14:textId="77777777" w:rsidR="0031436F" w:rsidRPr="00967B62" w:rsidRDefault="00000000" w:rsidP="0031436F">
            <w:pPr>
              <w:jc w:val="center"/>
              <w:rPr>
                <w:rFonts w:eastAsia="Palatino Linotype" w:cs="Times New Roman"/>
              </w:rPr>
            </w:pPr>
            <w:r>
              <w:rPr>
                <w:rFonts w:eastAsia="Times New Roman" w:cs="Arial"/>
                <w:lang w:val="pt-BR"/>
              </w:rPr>
              <w:t>89,1%</w:t>
            </w:r>
          </w:p>
        </w:tc>
      </w:tr>
      <w:tr w:rsidR="00C566B2" w14:paraId="22126F9D" w14:textId="77777777" w:rsidTr="00C566B2">
        <w:trPr>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10DDE21F" w14:textId="77777777" w:rsidR="0031436F" w:rsidRPr="00CC1CB4" w:rsidRDefault="00000000" w:rsidP="0031436F">
            <w:pPr>
              <w:rPr>
                <w:b/>
                <w:lang w:val="es-ES"/>
              </w:rPr>
            </w:pPr>
            <w:r>
              <w:rPr>
                <w:rStyle w:val="normaltextrun"/>
                <w:rFonts w:eastAsia="Times New Roman" w:cs="Times New Roman"/>
                <w:lang w:val="pt-BR"/>
              </w:rPr>
              <w:t>Asiático,</w:t>
            </w:r>
            <w:r>
              <w:rPr>
                <w:rStyle w:val="normaltextrun"/>
                <w:rFonts w:eastAsia="Times New Roman" w:cs="Times New Roman"/>
                <w:b/>
                <w:bCs/>
                <w:lang w:val="pt-BR"/>
              </w:rPr>
              <w:t xml:space="preserve"> </w:t>
            </w:r>
            <w:r>
              <w:rPr>
                <w:rStyle w:val="normaltextrun"/>
                <w:rFonts w:eastAsia="Times New Roman" w:cs="Times New Roman"/>
                <w:lang w:val="pt-BR"/>
              </w:rPr>
              <w:t>havaiano nativo</w:t>
            </w:r>
            <w:r>
              <w:rPr>
                <w:rStyle w:val="normaltextrun"/>
                <w:rFonts w:eastAsia="Times New Roman" w:cs="Times New Roman"/>
                <w:b/>
                <w:bCs/>
                <w:lang w:val="pt-BR"/>
              </w:rPr>
              <w:t xml:space="preserve"> </w:t>
            </w:r>
            <w:r>
              <w:rPr>
                <w:rStyle w:val="normaltextrun"/>
                <w:rFonts w:eastAsia="Times New Roman" w:cs="Times New Roman"/>
                <w:lang w:val="pt-BR"/>
              </w:rPr>
              <w:t xml:space="preserve">ou </w:t>
            </w:r>
            <w:r>
              <w:rPr>
                <w:rStyle w:val="normaltextrun"/>
                <w:rFonts w:eastAsia="Times New Roman" w:cs="Times New Roman"/>
                <w:b/>
                <w:bCs/>
                <w:lang w:val="pt-BR"/>
              </w:rPr>
              <w:t xml:space="preserve"> </w:t>
            </w:r>
            <w:r>
              <w:rPr>
                <w:rStyle w:val="normaltextrun"/>
                <w:rFonts w:eastAsia="Times New Roman" w:cs="Times New Roman"/>
                <w:lang w:val="pt-BR"/>
              </w:rPr>
              <w:t>das ilhas do</w:t>
            </w:r>
            <w:r>
              <w:rPr>
                <w:rStyle w:val="normaltextrun"/>
                <w:rFonts w:eastAsia="Times New Roman" w:cs="Times New Roman"/>
                <w:b/>
                <w:bCs/>
                <w:lang w:val="pt-BR"/>
              </w:rPr>
              <w:t xml:space="preserve"> </w:t>
            </w:r>
            <w:r>
              <w:rPr>
                <w:rStyle w:val="normaltextrun"/>
                <w:rFonts w:eastAsia="Times New Roman" w:cs="Times New Roman"/>
                <w:lang w:val="pt-BR"/>
              </w:rPr>
              <w:t>Pacífico</w:t>
            </w:r>
            <w:r>
              <w:rPr>
                <w:rStyle w:val="normaltextrun"/>
                <w:rFonts w:eastAsia="Times New Roman" w:cs="Times New Roman"/>
                <w:b/>
                <w:bCs/>
                <w:lang w:val="pt-BR"/>
              </w:rPr>
              <w:t xml:space="preserve"> </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B3883AC" w14:textId="77777777" w:rsidR="0031436F" w:rsidRPr="00967B62" w:rsidRDefault="00000000" w:rsidP="0031436F">
            <w:pPr>
              <w:jc w:val="center"/>
              <w:rPr>
                <w:rFonts w:eastAsia="Palatino Linotype" w:cs="Times New Roman"/>
              </w:rPr>
            </w:pPr>
            <w:r>
              <w:rPr>
                <w:rFonts w:eastAsia="Times New Roman" w:cs="Times New Roman"/>
                <w:lang w:val="pt-BR"/>
              </w:rPr>
              <w:t>95,9%</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220311B" w14:textId="77777777" w:rsidR="0031436F" w:rsidRPr="00967B62" w:rsidRDefault="00000000" w:rsidP="0031436F">
            <w:pPr>
              <w:jc w:val="center"/>
              <w:rPr>
                <w:rFonts w:eastAsia="Palatino Linotype" w:cs="Times New Roman"/>
              </w:rPr>
            </w:pPr>
            <w:r>
              <w:rPr>
                <w:rFonts w:eastAsia="Times New Roman" w:cs="Times New Roman"/>
                <w:lang w:val="pt-BR"/>
              </w:rPr>
              <w:t>95%</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808A790" w14:textId="77777777" w:rsidR="0031436F" w:rsidRPr="00967B62" w:rsidRDefault="00000000" w:rsidP="0031436F">
            <w:pPr>
              <w:jc w:val="center"/>
              <w:rPr>
                <w:rFonts w:eastAsia="Palatino Linotype" w:cs="Times New Roman"/>
              </w:rPr>
            </w:pPr>
            <w:r>
              <w:rPr>
                <w:rFonts w:eastAsia="Times New Roman" w:cs="Times New Roman"/>
                <w:lang w:val="pt-BR"/>
              </w:rPr>
              <w:t>96,6%</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F10EF1E" w14:textId="77777777" w:rsidR="0031436F" w:rsidRPr="00967B62" w:rsidRDefault="00000000" w:rsidP="0031436F">
            <w:pPr>
              <w:jc w:val="center"/>
              <w:rPr>
                <w:rFonts w:eastAsia="Palatino Linotype" w:cs="Times New Roman"/>
              </w:rPr>
            </w:pPr>
            <w:r>
              <w:rPr>
                <w:rFonts w:eastAsia="Times New Roman" w:cs="Times New Roman"/>
                <w:lang w:val="pt-BR"/>
              </w:rPr>
              <w:t>96%</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7B22764" w14:textId="77777777" w:rsidR="0031436F" w:rsidRPr="00967B62" w:rsidRDefault="00000000" w:rsidP="0031436F">
            <w:pPr>
              <w:jc w:val="center"/>
              <w:rPr>
                <w:rFonts w:eastAsia="Palatino Linotype" w:cs="Times New Roman"/>
              </w:rPr>
            </w:pPr>
            <w:r>
              <w:rPr>
                <w:rFonts w:eastAsia="Times New Roman" w:cs="Arial"/>
                <w:lang w:val="pt-BR"/>
              </w:rPr>
              <w:t>96,6%</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89E0AD5" w14:textId="77777777" w:rsidR="0031436F" w:rsidRPr="00967B62" w:rsidRDefault="00000000" w:rsidP="0031436F">
            <w:pPr>
              <w:jc w:val="center"/>
              <w:rPr>
                <w:rFonts w:eastAsia="Palatino Linotype" w:cs="Times New Roman"/>
              </w:rPr>
            </w:pPr>
            <w:r>
              <w:rPr>
                <w:rFonts w:eastAsia="Times New Roman" w:cs="Arial"/>
                <w:lang w:val="pt-BR"/>
              </w:rPr>
              <w:t>96,7%</w:t>
            </w:r>
          </w:p>
        </w:tc>
      </w:tr>
      <w:tr w:rsidR="00C566B2" w14:paraId="3943F04C" w14:textId="77777777" w:rsidTr="00C566B2">
        <w:trPr>
          <w:cnfStyle w:val="000000100000" w:firstRow="0" w:lastRow="0" w:firstColumn="0" w:lastColumn="0" w:oddVBand="0" w:evenVBand="0" w:oddHBand="1" w:evenHBand="0" w:firstRowFirstColumn="0" w:firstRowLastColumn="0" w:lastRowFirstColumn="0" w:lastRowLastColumn="0"/>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38509288" w14:textId="77777777" w:rsidR="0031436F" w:rsidRPr="00967B62" w:rsidRDefault="00000000" w:rsidP="0031436F">
            <w:pPr>
              <w:rPr>
                <w:rFonts w:eastAsia="Palatino Linotype" w:cs="Times New Roman"/>
                <w:b/>
              </w:rPr>
            </w:pPr>
            <w:r>
              <w:rPr>
                <w:rFonts w:eastAsia="Times New Roman" w:cs="Times New Roman"/>
                <w:lang w:val="pt-BR"/>
              </w:rPr>
              <w:t>Negro</w:t>
            </w:r>
            <w:r>
              <w:rPr>
                <w:rFonts w:eastAsia="Times New Roman" w:cs="Times New Roman"/>
                <w:b/>
                <w:bCs/>
                <w:lang w:val="pt-BR"/>
              </w:rPr>
              <w:t xml:space="preserve"> </w:t>
            </w:r>
            <w:r>
              <w:rPr>
                <w:rFonts w:eastAsia="Times New Roman" w:cs="Times New Roman"/>
                <w:lang w:val="pt-BR"/>
              </w:rPr>
              <w:t>ou</w:t>
            </w:r>
            <w:r>
              <w:rPr>
                <w:rFonts w:eastAsia="Times New Roman" w:cs="Times New Roman"/>
                <w:b/>
                <w:bCs/>
                <w:lang w:val="pt-BR"/>
              </w:rPr>
              <w:t xml:space="preserve"> </w:t>
            </w:r>
            <w:r>
              <w:rPr>
                <w:rFonts w:eastAsia="Times New Roman" w:cs="Times New Roman"/>
                <w:lang w:val="pt-BR"/>
              </w:rPr>
              <w:t xml:space="preserve"> afro-americano</w:t>
            </w:r>
            <w:r>
              <w:rPr>
                <w:rFonts w:eastAsia="Times New Roman" w:cs="Times New Roman"/>
                <w:b/>
                <w:bCs/>
                <w:lang w:val="pt-BR"/>
              </w:rPr>
              <w:t xml:space="preserve"> </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0612439A" w14:textId="77777777" w:rsidR="0031436F" w:rsidRPr="00967B62" w:rsidRDefault="00000000" w:rsidP="0031436F">
            <w:pPr>
              <w:jc w:val="center"/>
              <w:rPr>
                <w:rFonts w:eastAsia="Palatino Linotype" w:cs="Times New Roman"/>
              </w:rPr>
            </w:pPr>
            <w:r>
              <w:rPr>
                <w:rFonts w:eastAsia="Times New Roman" w:cs="Times New Roman"/>
                <w:lang w:val="pt-BR"/>
              </w:rPr>
              <w:t>77,8%</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05B81668" w14:textId="77777777" w:rsidR="0031436F" w:rsidRPr="00967B62" w:rsidRDefault="00000000" w:rsidP="0031436F">
            <w:pPr>
              <w:jc w:val="center"/>
              <w:rPr>
                <w:rFonts w:eastAsia="Palatino Linotype" w:cs="Times New Roman"/>
              </w:rPr>
            </w:pPr>
            <w:r>
              <w:rPr>
                <w:rFonts w:eastAsia="Times New Roman" w:cs="Times New Roman"/>
                <w:lang w:val="pt-BR"/>
              </w:rPr>
              <w:t>82,1%</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024054C0" w14:textId="77777777" w:rsidR="0031436F" w:rsidRPr="00967B62" w:rsidRDefault="00000000" w:rsidP="0031436F">
            <w:pPr>
              <w:jc w:val="center"/>
              <w:rPr>
                <w:rFonts w:eastAsia="Palatino Linotype" w:cs="Times New Roman"/>
              </w:rPr>
            </w:pPr>
            <w:r>
              <w:rPr>
                <w:rFonts w:eastAsia="Times New Roman" w:cs="Times New Roman"/>
                <w:lang w:val="pt-BR"/>
              </w:rPr>
              <w:t>80,5%</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78FFE95E" w14:textId="77777777" w:rsidR="0031436F" w:rsidRPr="00967B62" w:rsidRDefault="00000000" w:rsidP="0031436F">
            <w:pPr>
              <w:jc w:val="center"/>
              <w:rPr>
                <w:rFonts w:eastAsia="Palatino Linotype" w:cs="Times New Roman"/>
              </w:rPr>
            </w:pPr>
            <w:r>
              <w:rPr>
                <w:rFonts w:eastAsia="Times New Roman" w:cs="Times New Roman"/>
                <w:lang w:val="pt-BR"/>
              </w:rPr>
              <w:t>84,4%</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0CA8AE05" w14:textId="77777777" w:rsidR="0031436F" w:rsidRPr="00967B62" w:rsidRDefault="00000000" w:rsidP="0031436F">
            <w:pPr>
              <w:jc w:val="center"/>
              <w:rPr>
                <w:rFonts w:eastAsia="Palatino Linotype" w:cs="Times New Roman"/>
              </w:rPr>
            </w:pPr>
            <w:r>
              <w:rPr>
                <w:rFonts w:eastAsia="Times New Roman" w:cs="Arial"/>
                <w:lang w:val="pt-BR"/>
              </w:rPr>
              <w:t>80,8%</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3E28AB64" w14:textId="77777777" w:rsidR="0031436F" w:rsidRPr="00967B62" w:rsidRDefault="00000000" w:rsidP="0031436F">
            <w:pPr>
              <w:jc w:val="center"/>
              <w:rPr>
                <w:rFonts w:eastAsia="Palatino Linotype" w:cs="Times New Roman"/>
              </w:rPr>
            </w:pPr>
            <w:r>
              <w:rPr>
                <w:rFonts w:eastAsia="Times New Roman" w:cs="Arial"/>
                <w:lang w:val="pt-BR"/>
              </w:rPr>
              <w:t>84,9%</w:t>
            </w:r>
          </w:p>
        </w:tc>
      </w:tr>
      <w:tr w:rsidR="00C566B2" w14:paraId="0A00E39D" w14:textId="77777777" w:rsidTr="00C566B2">
        <w:trPr>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7E666CB2" w14:textId="77777777" w:rsidR="0031436F" w:rsidRPr="00967B62" w:rsidRDefault="00000000" w:rsidP="0031436F">
            <w:pPr>
              <w:rPr>
                <w:rFonts w:eastAsia="Palatino Linotype" w:cs="Times New Roman"/>
                <w:b/>
              </w:rPr>
            </w:pPr>
            <w:r>
              <w:rPr>
                <w:rFonts w:eastAsia="Times New Roman" w:cs="Times New Roman"/>
                <w:lang w:val="pt-BR"/>
              </w:rPr>
              <w:t>Hispânico</w:t>
            </w:r>
            <w:r>
              <w:rPr>
                <w:rFonts w:eastAsia="Times New Roman" w:cs="Times New Roman"/>
                <w:b/>
                <w:bCs/>
                <w:lang w:val="pt-BR"/>
              </w:rPr>
              <w:t xml:space="preserve"> </w:t>
            </w:r>
            <w:r>
              <w:rPr>
                <w:rFonts w:eastAsia="Times New Roman" w:cs="Times New Roman"/>
                <w:lang w:val="pt-BR"/>
              </w:rPr>
              <w:t>ou</w:t>
            </w:r>
            <w:r>
              <w:rPr>
                <w:rFonts w:eastAsia="Times New Roman" w:cs="Times New Roman"/>
                <w:b/>
                <w:bCs/>
                <w:lang w:val="pt-BR"/>
              </w:rPr>
              <w:t xml:space="preserve"> </w:t>
            </w:r>
            <w:r>
              <w:rPr>
                <w:rFonts w:eastAsia="Times New Roman" w:cs="Times New Roman"/>
                <w:lang w:val="pt-BR"/>
              </w:rPr>
              <w:t>latino</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A64E7BE" w14:textId="77777777" w:rsidR="0031436F" w:rsidRPr="00967B62" w:rsidRDefault="00000000" w:rsidP="0031436F">
            <w:pPr>
              <w:jc w:val="center"/>
              <w:rPr>
                <w:rFonts w:eastAsia="Palatino Linotype" w:cs="Times New Roman"/>
              </w:rPr>
            </w:pPr>
            <w:r>
              <w:rPr>
                <w:rFonts w:eastAsia="Times New Roman" w:cs="Times New Roman"/>
                <w:lang w:val="pt-BR"/>
              </w:rPr>
              <w:t>79,3%</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C1B4042" w14:textId="77777777" w:rsidR="0031436F" w:rsidRPr="00967B62" w:rsidRDefault="00000000" w:rsidP="0031436F">
            <w:pPr>
              <w:jc w:val="center"/>
              <w:rPr>
                <w:rFonts w:eastAsia="Palatino Linotype" w:cs="Times New Roman"/>
              </w:rPr>
            </w:pPr>
            <w:r>
              <w:rPr>
                <w:rFonts w:eastAsia="Times New Roman" w:cs="Times New Roman"/>
                <w:lang w:val="pt-BR"/>
              </w:rPr>
              <w:t>83,2%</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C7D14D1" w14:textId="77777777" w:rsidR="0031436F" w:rsidRPr="00967B62" w:rsidRDefault="00000000" w:rsidP="0031436F">
            <w:pPr>
              <w:jc w:val="center"/>
              <w:rPr>
                <w:rFonts w:eastAsia="Palatino Linotype" w:cs="Times New Roman"/>
              </w:rPr>
            </w:pPr>
            <w:r>
              <w:rPr>
                <w:rFonts w:eastAsia="Times New Roman" w:cs="Times New Roman"/>
                <w:lang w:val="pt-BR"/>
              </w:rPr>
              <w:t>81,8%</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59484E4" w14:textId="77777777" w:rsidR="0031436F" w:rsidRPr="00967B62" w:rsidRDefault="00000000" w:rsidP="0031436F">
            <w:pPr>
              <w:jc w:val="center"/>
              <w:rPr>
                <w:rFonts w:eastAsia="Palatino Linotype" w:cs="Times New Roman"/>
              </w:rPr>
            </w:pPr>
            <w:r>
              <w:rPr>
                <w:rFonts w:eastAsia="Times New Roman" w:cs="Times New Roman"/>
                <w:lang w:val="pt-BR"/>
              </w:rPr>
              <w:t>85,4%</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DBB1F67" w14:textId="77777777" w:rsidR="0031436F" w:rsidRPr="00967B62" w:rsidRDefault="00000000" w:rsidP="0031436F">
            <w:pPr>
              <w:jc w:val="center"/>
              <w:rPr>
                <w:rFonts w:eastAsia="Palatino Linotype" w:cs="Times New Roman"/>
              </w:rPr>
            </w:pPr>
            <w:r>
              <w:rPr>
                <w:rFonts w:eastAsia="Times New Roman" w:cs="Arial"/>
                <w:lang w:val="pt-BR"/>
              </w:rPr>
              <w:t>82,1%</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EB0A6EE" w14:textId="77777777" w:rsidR="0031436F" w:rsidRPr="00967B62" w:rsidRDefault="00000000" w:rsidP="0031436F">
            <w:pPr>
              <w:jc w:val="center"/>
              <w:rPr>
                <w:rFonts w:eastAsia="Palatino Linotype" w:cs="Times New Roman"/>
              </w:rPr>
            </w:pPr>
            <w:r>
              <w:rPr>
                <w:rFonts w:eastAsia="Times New Roman" w:cs="Arial"/>
                <w:lang w:val="pt-BR"/>
              </w:rPr>
              <w:t>85,8%</w:t>
            </w:r>
          </w:p>
        </w:tc>
      </w:tr>
      <w:tr w:rsidR="00C566B2" w14:paraId="6BB7B3FE" w14:textId="77777777" w:rsidTr="00C566B2">
        <w:trPr>
          <w:cnfStyle w:val="000000100000" w:firstRow="0" w:lastRow="0" w:firstColumn="0" w:lastColumn="0" w:oddVBand="0" w:evenVBand="0" w:oddHBand="1" w:evenHBand="0" w:firstRowFirstColumn="0" w:firstRowLastColumn="0" w:lastRowFirstColumn="0" w:lastRowLastColumn="0"/>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5F28A7EB" w14:textId="77777777" w:rsidR="0031436F" w:rsidRPr="00967B62" w:rsidRDefault="00000000" w:rsidP="0031436F">
            <w:pPr>
              <w:rPr>
                <w:rFonts w:eastAsia="Palatino Linotype" w:cs="Times New Roman"/>
                <w:b/>
              </w:rPr>
            </w:pPr>
            <w:r>
              <w:rPr>
                <w:rFonts w:eastAsia="Times New Roman" w:cs="Times New Roman"/>
                <w:lang w:val="pt-BR"/>
              </w:rPr>
              <w:t>Branco</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35BED0D1" w14:textId="77777777" w:rsidR="0031436F" w:rsidRPr="00967B62" w:rsidRDefault="00000000" w:rsidP="0031436F">
            <w:pPr>
              <w:jc w:val="center"/>
              <w:rPr>
                <w:rFonts w:eastAsia="Palatino Linotype" w:cs="Times New Roman"/>
              </w:rPr>
            </w:pPr>
            <w:r>
              <w:rPr>
                <w:rFonts w:eastAsia="Times New Roman" w:cs="Times New Roman"/>
                <w:lang w:val="pt-BR"/>
              </w:rPr>
              <w:t>89,1%</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745DB1B9" w14:textId="77777777" w:rsidR="0031436F" w:rsidRPr="00967B62" w:rsidRDefault="00000000" w:rsidP="0031436F">
            <w:pPr>
              <w:jc w:val="center"/>
              <w:rPr>
                <w:rFonts w:eastAsia="Palatino Linotype" w:cs="Times New Roman"/>
              </w:rPr>
            </w:pPr>
            <w:r>
              <w:rPr>
                <w:rFonts w:eastAsia="Times New Roman" w:cs="Times New Roman"/>
                <w:lang w:val="pt-BR"/>
              </w:rPr>
              <w:t>90,6%</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4977F134" w14:textId="77777777" w:rsidR="0031436F" w:rsidRPr="00967B62" w:rsidRDefault="00000000" w:rsidP="0031436F">
            <w:pPr>
              <w:jc w:val="center"/>
              <w:rPr>
                <w:rFonts w:eastAsia="Palatino Linotype" w:cs="Times New Roman"/>
              </w:rPr>
            </w:pPr>
            <w:r>
              <w:rPr>
                <w:rFonts w:eastAsia="Times New Roman" w:cs="Times New Roman"/>
                <w:lang w:val="pt-BR"/>
              </w:rPr>
              <w:t>89,9%</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196D406B" w14:textId="77777777" w:rsidR="0031436F" w:rsidRPr="00967B62" w:rsidRDefault="00000000" w:rsidP="0031436F">
            <w:pPr>
              <w:jc w:val="center"/>
              <w:rPr>
                <w:rFonts w:eastAsia="Palatino Linotype" w:cs="Times New Roman"/>
              </w:rPr>
            </w:pPr>
            <w:r>
              <w:rPr>
                <w:rFonts w:eastAsia="Times New Roman" w:cs="Times New Roman"/>
                <w:lang w:val="pt-BR"/>
              </w:rPr>
              <w:t>91,4%</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0F4D0B43" w14:textId="77777777" w:rsidR="0031436F" w:rsidRPr="00967B62" w:rsidRDefault="00000000" w:rsidP="0031436F">
            <w:pPr>
              <w:jc w:val="center"/>
              <w:rPr>
                <w:rFonts w:eastAsia="Palatino Linotype" w:cs="Times New Roman"/>
              </w:rPr>
            </w:pPr>
            <w:r>
              <w:rPr>
                <w:rFonts w:eastAsia="Times New Roman" w:cs="Arial"/>
                <w:lang w:val="pt-BR"/>
              </w:rPr>
              <w:t>90,0%</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19B5BA45" w14:textId="77777777" w:rsidR="0031436F" w:rsidRPr="00967B62" w:rsidRDefault="00000000" w:rsidP="0031436F">
            <w:pPr>
              <w:jc w:val="center"/>
              <w:rPr>
                <w:rFonts w:eastAsia="Palatino Linotype" w:cs="Times New Roman"/>
              </w:rPr>
            </w:pPr>
            <w:r>
              <w:rPr>
                <w:rFonts w:eastAsia="Times New Roman" w:cs="Arial"/>
                <w:lang w:val="pt-BR"/>
              </w:rPr>
              <w:t>91,8%</w:t>
            </w:r>
          </w:p>
        </w:tc>
      </w:tr>
      <w:tr w:rsidR="00C566B2" w14:paraId="1B4F8E95" w14:textId="77777777" w:rsidTr="00C566B2">
        <w:trPr>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018109B1" w14:textId="77777777" w:rsidR="0031436F" w:rsidRPr="00967B62" w:rsidRDefault="00000000" w:rsidP="0031436F">
            <w:pPr>
              <w:rPr>
                <w:rFonts w:eastAsia="Palatino Linotype" w:cs="Times New Roman"/>
                <w:b/>
              </w:rPr>
            </w:pPr>
            <w:r>
              <w:rPr>
                <w:rFonts w:eastAsia="Times New Roman" w:cs="Times New Roman"/>
                <w:lang w:val="pt-BR"/>
              </w:rPr>
              <w:t>Duas</w:t>
            </w:r>
            <w:r>
              <w:rPr>
                <w:rFonts w:eastAsia="Times New Roman" w:cs="Times New Roman"/>
                <w:b/>
                <w:bCs/>
                <w:lang w:val="pt-BR"/>
              </w:rPr>
              <w:t xml:space="preserve"> </w:t>
            </w:r>
            <w:r>
              <w:rPr>
                <w:rFonts w:eastAsia="Times New Roman" w:cs="Times New Roman"/>
                <w:lang w:val="pt-BR"/>
              </w:rPr>
              <w:t>ou</w:t>
            </w:r>
            <w:r>
              <w:rPr>
                <w:rFonts w:eastAsia="Times New Roman" w:cs="Times New Roman"/>
                <w:b/>
                <w:bCs/>
                <w:lang w:val="pt-BR"/>
              </w:rPr>
              <w:t xml:space="preserve"> </w:t>
            </w:r>
            <w:r>
              <w:rPr>
                <w:rFonts w:eastAsia="Times New Roman" w:cs="Times New Roman"/>
                <w:lang w:val="pt-BR"/>
              </w:rPr>
              <w:t>mais</w:t>
            </w:r>
            <w:r>
              <w:rPr>
                <w:rFonts w:eastAsia="Times New Roman" w:cs="Times New Roman"/>
                <w:b/>
                <w:bCs/>
                <w:lang w:val="pt-BR"/>
              </w:rPr>
              <w:t xml:space="preserve"> </w:t>
            </w:r>
            <w:r>
              <w:rPr>
                <w:rFonts w:eastAsia="Times New Roman" w:cs="Times New Roman"/>
                <w:lang w:val="pt-BR"/>
              </w:rPr>
              <w:t>raças</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E5D8CDD" w14:textId="77777777" w:rsidR="0031436F" w:rsidRPr="00967B62" w:rsidRDefault="00000000" w:rsidP="0031436F">
            <w:pPr>
              <w:jc w:val="center"/>
              <w:rPr>
                <w:rFonts w:eastAsia="Palatino Linotype" w:cs="Times New Roman"/>
              </w:rPr>
            </w:pPr>
            <w:r>
              <w:rPr>
                <w:rFonts w:eastAsia="Times New Roman" w:cs="Times New Roman"/>
                <w:lang w:val="pt-BR"/>
              </w:rPr>
              <w:t>84,3%</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5F1D1A6" w14:textId="77777777" w:rsidR="0031436F" w:rsidRPr="00967B62" w:rsidRDefault="00000000" w:rsidP="0031436F">
            <w:pPr>
              <w:jc w:val="center"/>
              <w:rPr>
                <w:rFonts w:eastAsia="Palatino Linotype" w:cs="Times New Roman"/>
              </w:rPr>
            </w:pPr>
            <w:r>
              <w:rPr>
                <w:rFonts w:eastAsia="Times New Roman" w:cs="Times New Roman"/>
                <w:lang w:val="pt-BR"/>
              </w:rPr>
              <w:t>87,0%</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904D107" w14:textId="77777777" w:rsidR="0031436F" w:rsidRPr="00967B62" w:rsidRDefault="00000000" w:rsidP="0031436F">
            <w:pPr>
              <w:jc w:val="center"/>
              <w:rPr>
                <w:rFonts w:eastAsia="Palatino Linotype" w:cs="Times New Roman"/>
              </w:rPr>
            </w:pPr>
            <w:r>
              <w:rPr>
                <w:rFonts w:eastAsia="Times New Roman" w:cs="Times New Roman"/>
                <w:lang w:val="pt-BR"/>
              </w:rPr>
              <w:t>85,9%</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8D3DFF9" w14:textId="77777777" w:rsidR="0031436F" w:rsidRPr="00967B62" w:rsidRDefault="00000000" w:rsidP="0031436F">
            <w:pPr>
              <w:jc w:val="center"/>
              <w:rPr>
                <w:rFonts w:eastAsia="Palatino Linotype" w:cs="Times New Roman"/>
              </w:rPr>
            </w:pPr>
            <w:r>
              <w:rPr>
                <w:rFonts w:eastAsia="Times New Roman" w:cs="Times New Roman"/>
                <w:lang w:val="pt-BR"/>
              </w:rPr>
              <w:t>88,4%</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344128B" w14:textId="77777777" w:rsidR="0031436F" w:rsidRPr="00967B62" w:rsidRDefault="00000000" w:rsidP="0031436F">
            <w:pPr>
              <w:jc w:val="center"/>
              <w:rPr>
                <w:rFonts w:eastAsia="Palatino Linotype" w:cs="Times New Roman"/>
              </w:rPr>
            </w:pPr>
            <w:r>
              <w:rPr>
                <w:rFonts w:eastAsia="Times New Roman" w:cs="Arial"/>
                <w:lang w:val="pt-BR"/>
              </w:rPr>
              <w:t>86,2%</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5885C73" w14:textId="77777777" w:rsidR="0031436F" w:rsidRPr="00967B62" w:rsidRDefault="00000000" w:rsidP="0031436F">
            <w:pPr>
              <w:jc w:val="center"/>
              <w:rPr>
                <w:rFonts w:eastAsia="Palatino Linotype" w:cs="Times New Roman"/>
              </w:rPr>
            </w:pPr>
            <w:r>
              <w:rPr>
                <w:rFonts w:eastAsia="Times New Roman" w:cs="Arial"/>
                <w:lang w:val="pt-BR"/>
              </w:rPr>
              <w:t>88,9%</w:t>
            </w:r>
          </w:p>
        </w:tc>
      </w:tr>
    </w:tbl>
    <w:p w14:paraId="561DA5B2" w14:textId="77777777" w:rsidR="16C342CA" w:rsidRPr="006A1CD7" w:rsidRDefault="00000000" w:rsidP="006A1CD7">
      <w:pPr>
        <w:pStyle w:val="5"/>
        <w:spacing w:before="120"/>
      </w:pPr>
      <w:r>
        <w:rPr>
          <w:rFonts w:ascii="Cambria" w:eastAsia="Cambria" w:hAnsi="Cambria" w:cs="Times New Roman"/>
          <w:bCs/>
          <w:lang w:val="pt-BR"/>
        </w:rPr>
        <w:t>Medições do progresso provisório</w:t>
      </w:r>
    </w:p>
    <w:p w14:paraId="4A6A8703" w14:textId="77777777" w:rsidR="00974CBC" w:rsidRPr="00CC1CB4" w:rsidRDefault="00000000" w:rsidP="32B1D088">
      <w:pPr>
        <w:tabs>
          <w:tab w:val="left" w:pos="1260"/>
        </w:tabs>
        <w:rPr>
          <w:rFonts w:cs="Times New Roman"/>
          <w:lang w:val="es-ES"/>
        </w:rPr>
      </w:pPr>
      <w:r>
        <w:rPr>
          <w:rFonts w:eastAsia="Times New Roman" w:cs="Times New Roman"/>
          <w:lang w:val="pt-BR"/>
        </w:rPr>
        <w:t>As medições do progresso provisório, ou metas anuais, para cada escola e cada grupo de alunos, serão definidas com base no desempenho básico exclusivo de cada escola e cada grupo de alunos e na meta de longo prazo. As metas anuais para os anos um a cinco serão inicialmente determinadas com base na quantidade anual de progresso necessária para atingir a meta de longo prazo em seis anos, com o progresso igualmente distribuído ao longo dos seis anos. Essas metas anuais seriam calculadas usando a mesma metodologia para taxas de formação de quatro, cinco e seis anos.</w:t>
      </w:r>
    </w:p>
    <w:p w14:paraId="73CA66C3" w14:textId="77777777" w:rsidR="00974CBC" w:rsidRPr="00CC1CB4" w:rsidRDefault="00000000" w:rsidP="5987B921">
      <w:pPr>
        <w:tabs>
          <w:tab w:val="left" w:pos="1260"/>
        </w:tabs>
        <w:rPr>
          <w:rFonts w:cs="Times New Roman"/>
          <w:lang w:val="es-ES"/>
        </w:rPr>
      </w:pPr>
      <w:r>
        <w:rPr>
          <w:rFonts w:eastAsia="Times New Roman" w:cs="Times New Roman"/>
          <w:lang w:val="pt-BR"/>
        </w:rPr>
        <w:t>Por exemplo, o grupo de todos os alunos em todo o estado teve uma taxa de formação basal de quatro anos de 85,2% para o grupo de 2022. A meta de longo prazo da ESSA para o grupo de 2028 seria de 87,7%, representando uma redução de 25% na lacuna entre a taxa do grupo 2022 e a meta futura de 95%. As metas anuais para os anos um a cinco seriam baseadas em um aumento anual de 0,4%.</w:t>
      </w:r>
    </w:p>
    <w:p w14:paraId="36D53D87" w14:textId="77777777" w:rsidR="00974CBC" w:rsidRPr="00CC1CB4" w:rsidRDefault="00000000" w:rsidP="00974CBC">
      <w:pPr>
        <w:rPr>
          <w:rFonts w:cs="Times New Roman"/>
          <w:lang w:val="es-ES"/>
        </w:rPr>
      </w:pPr>
      <w:r>
        <w:rPr>
          <w:rFonts w:eastAsia="Times New Roman" w:cs="Times New Roman"/>
          <w:lang w:val="pt-BR"/>
        </w:rPr>
        <w:t>A cada ano, as metas anuais para os anos restantes serão analisadas. Se uma escola não atingiu sua meta anual para um determinado ano, as metas anuais restantes até o quinto ano serão ajustadas para refletir a quantidade anual de progresso necessária para atingir a meta de longo prazo nos anos restantes. Se as metas anuais forem atingidas, as metas anuais subsequentes permanecerão as mesmas. Isso resulta em metas mais realistas anualmente, mas mantém as mesmas metas ambiciosas de longo prazo.</w:t>
      </w:r>
    </w:p>
    <w:p w14:paraId="2DA63318" w14:textId="77777777" w:rsidR="00974CBC" w:rsidRPr="00CC1CB4" w:rsidRDefault="00000000" w:rsidP="00974CBC">
      <w:pPr>
        <w:rPr>
          <w:rFonts w:cs="Times New Roman"/>
          <w:lang w:val="es-ES"/>
        </w:rPr>
      </w:pPr>
      <w:r>
        <w:rPr>
          <w:rFonts w:eastAsia="Times New Roman" w:cs="Times New Roman"/>
          <w:lang w:val="pt-BR"/>
        </w:rPr>
        <w:t xml:space="preserve">Tanto as metas de longo prazo quanto as metas anuais serão definidas exclusivamente para cada escola e grupo de alunos com base nas taxas de formação basais individuais para o Grupo de 2022. Como os objetivos e metas são baseados em dados basais individuais, escolas e grupos de alunos com taxas de </w:t>
      </w:r>
      <w:r>
        <w:rPr>
          <w:rFonts w:eastAsia="Times New Roman" w:cs="Times New Roman"/>
          <w:lang w:val="pt-BR"/>
        </w:rPr>
        <w:lastRenderedPageBreak/>
        <w:t>formação basais mais baixas exigirão mais melhoria para atingir os objetivos de longo prazo do que aquelas escolas e grupos de alunos com taxas de formação basais mais altas. Como resultado, esses objetivos e metas consideram a melhoria necessária para fazer progresso no fechamento de lacunas estaduais nas taxas de formação.</w:t>
      </w:r>
    </w:p>
    <w:p w14:paraId="5C02EB65" w14:textId="77777777" w:rsidR="00974CBC" w:rsidRPr="00CC1CB4" w:rsidRDefault="00000000" w:rsidP="00974CBC">
      <w:pPr>
        <w:rPr>
          <w:rFonts w:cs="Times New Roman"/>
          <w:lang w:val="es-ES"/>
        </w:rPr>
      </w:pPr>
      <w:r>
        <w:rPr>
          <w:rFonts w:eastAsia="Times New Roman" w:cs="Times New Roman"/>
          <w:lang w:val="pt-BR"/>
        </w:rPr>
        <w:t>Como o NJDOE modificou o cálculo da taxa federal de formação de grupo ajustada em 2021 e devido a alterações nos requisitos de avaliação de formação do estado, os dados longitudinais não estão disponíveis com base no cálculo ajustado atual e nos novos requisitos de avaliação de formação. O NJDOE analisará os dados de formação nos próximos anos para garantir que as metas de longo prazo e metas anuais permaneçam ambiciosas e alcançáveis.</w:t>
      </w:r>
    </w:p>
    <w:p w14:paraId="770D6D10" w14:textId="77777777" w:rsidR="4F408AAE" w:rsidRPr="00CC1CB4" w:rsidRDefault="00000000" w:rsidP="4F408AAE">
      <w:pPr>
        <w:rPr>
          <w:rFonts w:cs="Times New Roman"/>
          <w:lang w:val="es-ES"/>
        </w:rPr>
      </w:pPr>
      <w:r>
        <w:rPr>
          <w:rFonts w:eastAsia="Times New Roman" w:cs="Times New Roman"/>
          <w:lang w:val="pt-BR"/>
        </w:rPr>
        <w:t xml:space="preserve">Consulte o Anexo A para ver gráficos mostrando as metas anuais iniciais em nível estadual para taxas de formação de quatro anos, cinco anos e seis anos. As metas anuais de cada escola, tanto para todos os alunos quanto para cada grupo de alunos, serão publicadas anualmente na </w:t>
      </w:r>
      <w:hyperlink r:id="rId31">
        <w:r w:rsidR="4F408AAE">
          <w:rPr>
            <w:rFonts w:eastAsia="Times New Roman" w:cs="Times New Roman"/>
            <w:color w:val="0000FF"/>
            <w:u w:val="single"/>
            <w:lang w:val="pt-BR"/>
          </w:rPr>
          <w:t>página da web de Responsabilidade do NJDOE</w:t>
        </w:r>
      </w:hyperlink>
      <w:r>
        <w:rPr>
          <w:rFonts w:eastAsia="Times New Roman" w:cs="Times New Roman"/>
          <w:lang w:val="pt-BR"/>
        </w:rPr>
        <w:t>. Conforme descrito acima, as metas anuais podem ser ajustadas anualmente com base no desempenho real durante o período de seis anos, mas as metas de longo prazo permanecerão as mesmas.</w:t>
      </w:r>
    </w:p>
    <w:p w14:paraId="591DE3D1" w14:textId="77777777" w:rsidR="0031596E" w:rsidRPr="00CC1CB4" w:rsidRDefault="00000000" w:rsidP="0032245B">
      <w:pPr>
        <w:rPr>
          <w:rStyle w:val="NJDOEResponse"/>
          <w:lang w:val="es-ES"/>
        </w:rPr>
      </w:pPr>
      <w:r>
        <w:rPr>
          <w:rStyle w:val="NJDOEResponse"/>
          <w:rFonts w:eastAsia="Times New Roman"/>
          <w:color w:val="365F91"/>
          <w:lang w:val="pt-BR"/>
        </w:rPr>
        <w:t>[finalizar resposta do NJDOE]</w:t>
      </w:r>
    </w:p>
    <w:p w14:paraId="6AB99D11" w14:textId="77777777" w:rsidR="001A4693" w:rsidRPr="00CC1CB4" w:rsidRDefault="00000000" w:rsidP="00396158">
      <w:pPr>
        <w:pStyle w:val="BeginUSED"/>
        <w:rPr>
          <w:rFonts w:cs="Times New Roman"/>
          <w:lang w:val="es-ES"/>
        </w:rPr>
      </w:pPr>
      <w:r>
        <w:rPr>
          <w:rFonts w:eastAsia="Times New Roman"/>
          <w:color w:val="FFFFFF"/>
          <w:szCs w:val="4"/>
          <w:lang w:val="pt-BR"/>
        </w:rPr>
        <w:t>[iniciar o texto do USED]</w:t>
      </w:r>
    </w:p>
    <w:p w14:paraId="6DCB94B4" w14:textId="77777777" w:rsidR="006415C4" w:rsidRPr="00CC1CB4" w:rsidRDefault="00000000" w:rsidP="00110EBC">
      <w:pPr>
        <w:pStyle w:val="4"/>
        <w:spacing w:before="0"/>
        <w:ind w:left="144"/>
        <w:rPr>
          <w:lang w:val="es-ES"/>
        </w:rPr>
      </w:pPr>
      <w:bookmarkStart w:id="78" w:name="_Toc199403696"/>
      <w:r>
        <w:rPr>
          <w:rFonts w:ascii="Cambria" w:eastAsia="Cambria" w:hAnsi="Cambria" w:cs="Arial"/>
          <w:b w:val="0"/>
          <w:bCs w:val="0"/>
          <w:szCs w:val="24"/>
          <w:lang w:val="pt-BR"/>
        </w:rPr>
        <w:t>c.</w:t>
      </w:r>
      <w:r>
        <w:rPr>
          <w:rFonts w:ascii="Cambria" w:eastAsia="Cambria" w:hAnsi="Cambria" w:cs="Arial"/>
          <w:szCs w:val="24"/>
          <w:lang w:val="pt-BR"/>
        </w:rPr>
        <w:t xml:space="preserve"> Proficiência em inglês (seção 1111(c)(4)(A)(ii) da ESEA)</w:t>
      </w:r>
      <w:bookmarkEnd w:id="78"/>
    </w:p>
    <w:p w14:paraId="36149D13" w14:textId="77777777" w:rsidR="006A1CD7" w:rsidRPr="00CC1CB4" w:rsidRDefault="00000000">
      <w:pPr>
        <w:pStyle w:val="blue"/>
        <w:numPr>
          <w:ilvl w:val="0"/>
          <w:numId w:val="174"/>
        </w:numPr>
        <w:spacing w:after="120"/>
        <w:rPr>
          <w:lang w:val="es-ES"/>
        </w:rPr>
      </w:pPr>
      <w:r>
        <w:rPr>
          <w:rFonts w:ascii="Cambria" w:eastAsia="Cambria" w:hAnsi="Cambria"/>
          <w:lang w:val="pt-BR"/>
        </w:rPr>
        <w:t>Descreva as metas de longo prazo para alunos de inglês para aumentos na porcentagem de alunos que progridem na obtenção de proficiência em inglês, conforme medido pela avaliação de proficiência em inglês em todo o estado, incluindo:</w:t>
      </w:r>
    </w:p>
    <w:p w14:paraId="4FDABA18" w14:textId="77777777" w:rsidR="006A1CD7" w:rsidRDefault="00000000">
      <w:pPr>
        <w:pStyle w:val="blue"/>
        <w:numPr>
          <w:ilvl w:val="1"/>
          <w:numId w:val="174"/>
        </w:numPr>
        <w:spacing w:after="120"/>
        <w:ind w:left="1656"/>
      </w:pPr>
      <w:r>
        <w:rPr>
          <w:rFonts w:ascii="Cambria" w:eastAsia="Cambria" w:hAnsi="Cambria"/>
          <w:lang w:val="pt-BR"/>
        </w:rPr>
        <w:t>dados basais;</w:t>
      </w:r>
    </w:p>
    <w:p w14:paraId="1521FC8B" w14:textId="77777777" w:rsidR="006A1CD7" w:rsidRPr="00CC1CB4" w:rsidRDefault="00000000">
      <w:pPr>
        <w:pStyle w:val="blue"/>
        <w:numPr>
          <w:ilvl w:val="1"/>
          <w:numId w:val="174"/>
        </w:numPr>
        <w:spacing w:after="120"/>
        <w:ind w:left="1656"/>
        <w:rPr>
          <w:lang w:val="es-ES"/>
        </w:rPr>
      </w:pPr>
      <w:r>
        <w:rPr>
          <w:rFonts w:ascii="Cambria" w:eastAsia="Cambria" w:hAnsi="Cambria"/>
          <w:lang w:val="pt-BR"/>
        </w:rPr>
        <w:t>o cronograma determinado pelo estado para que esses alunos atinjam proficiência em inglês;</w:t>
      </w:r>
    </w:p>
    <w:p w14:paraId="53E22175" w14:textId="77777777" w:rsidR="00060D05" w:rsidRPr="00CC1CB4" w:rsidRDefault="00000000">
      <w:pPr>
        <w:pStyle w:val="blue"/>
        <w:numPr>
          <w:ilvl w:val="1"/>
          <w:numId w:val="174"/>
        </w:numPr>
        <w:ind w:left="1656"/>
        <w:rPr>
          <w:lang w:val="es-ES"/>
        </w:rPr>
      </w:pPr>
      <w:r>
        <w:rPr>
          <w:rFonts w:ascii="Cambria" w:eastAsia="Cambria" w:hAnsi="Cambria"/>
          <w:lang w:val="pt-BR"/>
        </w:rPr>
        <w:t>como as metas de longo prazo são ambiciosas.</w:t>
      </w:r>
    </w:p>
    <w:p w14:paraId="252A71DA" w14:textId="77777777" w:rsidR="00E35693" w:rsidRPr="00CC1CB4" w:rsidRDefault="00000000">
      <w:pPr>
        <w:pStyle w:val="blue"/>
        <w:numPr>
          <w:ilvl w:val="0"/>
          <w:numId w:val="174"/>
        </w:numPr>
        <w:rPr>
          <w:lang w:val="es-ES"/>
        </w:rPr>
      </w:pPr>
      <w:r>
        <w:rPr>
          <w:rFonts w:ascii="Cambria" w:eastAsia="Cambria" w:hAnsi="Cambria"/>
          <w:lang w:val="pt-BR"/>
        </w:rPr>
        <w:t>Forneça as medições do progresso provisório em direção à meta de longo prazo para aumentos na porcentagem de alunos de inglês que progrediram para alcançar a proficiência em inglês no Anexo A.</w:t>
      </w:r>
    </w:p>
    <w:p w14:paraId="685E84B2" w14:textId="77777777" w:rsidR="00EA4318" w:rsidRPr="00CC1CB4" w:rsidRDefault="00000000" w:rsidP="00396158">
      <w:pPr>
        <w:pStyle w:val="EndUSED"/>
        <w:rPr>
          <w:lang w:val="es-ES"/>
        </w:rPr>
      </w:pPr>
      <w:r>
        <w:rPr>
          <w:rFonts w:eastAsia="Times New Roman"/>
          <w:color w:val="FFFFFF"/>
          <w:szCs w:val="4"/>
          <w:lang w:val="pt-BR"/>
        </w:rPr>
        <w:t>t[finalizar texto do USED]</w:t>
      </w:r>
    </w:p>
    <w:p w14:paraId="0D158BF7" w14:textId="77777777" w:rsidR="00D27F41" w:rsidRPr="00CC1CB4" w:rsidRDefault="00000000" w:rsidP="00B01CB2">
      <w:pPr>
        <w:spacing w:before="240"/>
        <w:rPr>
          <w:rFonts w:cs="Times New Roman"/>
          <w:color w:val="365F91" w:themeColor="accent1" w:themeShade="BF"/>
          <w:lang w:val="es-ES"/>
        </w:rPr>
      </w:pPr>
      <w:r>
        <w:rPr>
          <w:rStyle w:val="NJDOEResponse"/>
          <w:rFonts w:eastAsia="Times New Roman"/>
          <w:color w:val="365F91"/>
          <w:lang w:val="pt-BR"/>
        </w:rPr>
        <w:t>[iniciar a resposta do NJDOE]</w:t>
      </w:r>
    </w:p>
    <w:p w14:paraId="0EA73A68" w14:textId="77777777" w:rsidR="3CA74ACE" w:rsidRPr="00CC1CB4" w:rsidRDefault="00000000" w:rsidP="00146478">
      <w:pPr>
        <w:pStyle w:val="5"/>
        <w:rPr>
          <w:lang w:val="es-ES"/>
        </w:rPr>
      </w:pPr>
      <w:r>
        <w:rPr>
          <w:rFonts w:ascii="Cambria" w:eastAsia="Cambria" w:hAnsi="Cambria" w:cs="Times New Roman"/>
          <w:bCs/>
          <w:lang w:val="pt-BR"/>
        </w:rPr>
        <w:t>Metas basais e de longo prazo</w:t>
      </w:r>
    </w:p>
    <w:p w14:paraId="407859AF" w14:textId="77777777" w:rsidR="002E0C8E" w:rsidRPr="00CC1CB4" w:rsidRDefault="00000000" w:rsidP="002E0C8E">
      <w:pPr>
        <w:rPr>
          <w:rFonts w:cs="Times New Roman"/>
          <w:lang w:val="es-ES"/>
        </w:rPr>
      </w:pPr>
      <w:r>
        <w:rPr>
          <w:rFonts w:eastAsia="Times New Roman" w:cs="Times New Roman"/>
          <w:lang w:val="pt-BR"/>
        </w:rPr>
        <w:t>Nova Jersey definiu as seguintes metas de longo prazo da ESSA para o progresso em direção à proficiência no idioma inglês para o ano letivo de 2028-2029:</w:t>
      </w:r>
    </w:p>
    <w:p w14:paraId="6415675D" w14:textId="77777777" w:rsidR="00FA286B" w:rsidRPr="00CC1CB4" w:rsidRDefault="00000000">
      <w:pPr>
        <w:pStyle w:val="a6"/>
        <w:numPr>
          <w:ilvl w:val="0"/>
          <w:numId w:val="22"/>
        </w:numPr>
        <w:rPr>
          <w:rFonts w:cs="Times New Roman"/>
          <w:lang w:val="es-ES"/>
        </w:rPr>
      </w:pPr>
      <w:r>
        <w:rPr>
          <w:rFonts w:eastAsia="Times New Roman" w:cs="Times New Roman"/>
          <w:lang w:val="pt-BR"/>
        </w:rPr>
        <w:t>34,6% de todos os alunos multilíngues no estado farão progresso anual esperado em direção à proficiência em inglês;</w:t>
      </w:r>
    </w:p>
    <w:p w14:paraId="242B3DFE" w14:textId="77777777" w:rsidR="007D2883" w:rsidRPr="00CC1CB4" w:rsidRDefault="00000000">
      <w:pPr>
        <w:pStyle w:val="a6"/>
        <w:numPr>
          <w:ilvl w:val="0"/>
          <w:numId w:val="22"/>
        </w:numPr>
        <w:rPr>
          <w:rFonts w:cs="Times New Roman"/>
          <w:lang w:val="es-ES"/>
        </w:rPr>
      </w:pPr>
      <w:r>
        <w:rPr>
          <w:rFonts w:eastAsia="Times New Roman" w:cs="Times New Roman"/>
          <w:lang w:val="pt-BR"/>
        </w:rPr>
        <w:lastRenderedPageBreak/>
        <w:t>49% dos alunos multilíngues em cada escola que atende aos até e incluindo o 5º ano farão o progresso anual esperado em direção à proficiência em inglês;</w:t>
      </w:r>
    </w:p>
    <w:p w14:paraId="29F5FFA2" w14:textId="77777777" w:rsidR="00B85D25" w:rsidRPr="00CC1CB4" w:rsidRDefault="00000000">
      <w:pPr>
        <w:pStyle w:val="a6"/>
        <w:numPr>
          <w:ilvl w:val="0"/>
          <w:numId w:val="22"/>
        </w:numPr>
        <w:rPr>
          <w:rFonts w:cs="Times New Roman"/>
          <w:lang w:val="es-ES"/>
        </w:rPr>
      </w:pPr>
      <w:r>
        <w:rPr>
          <w:rFonts w:eastAsia="Times New Roman" w:cs="Times New Roman"/>
          <w:lang w:val="pt-BR"/>
        </w:rPr>
        <w:t>27,7% dos alunos multilíngues em cada escola que atende aos anos acima do 5º ano farão o progresso anual esperado para alcançar a proficiência em inglês.</w:t>
      </w:r>
    </w:p>
    <w:p w14:paraId="5D5CB2D5" w14:textId="77777777" w:rsidR="007150F1" w:rsidRPr="00CC1CB4" w:rsidRDefault="00000000" w:rsidP="00D1502B">
      <w:pPr>
        <w:rPr>
          <w:rFonts w:cs="Times New Roman"/>
          <w:lang w:val="es-ES"/>
        </w:rPr>
      </w:pPr>
      <w:r>
        <w:rPr>
          <w:rFonts w:eastAsia="Times New Roman" w:cs="Times New Roman"/>
          <w:lang w:val="pt-BR"/>
        </w:rPr>
        <w:t xml:space="preserve">O progresso anual em direção à proficiência em inglês é medido para todos os alunos multilíngues nos anos do jardim de infância ao 12º ano usando o desempenho na avaliação ACCESS for ELLs. O progresso de Nova Jersey em direção ao indicador de proficiência em inglês é a porcentagem de alunos multilíngues que fazem progresso anual esperado no ACCESS for ELLs. </w:t>
      </w:r>
    </w:p>
    <w:p w14:paraId="48456C12" w14:textId="77777777" w:rsidR="003B2323" w:rsidRPr="00CC1CB4" w:rsidRDefault="00000000" w:rsidP="00D1502B">
      <w:pPr>
        <w:rPr>
          <w:rFonts w:cs="Times New Roman"/>
          <w:lang w:val="es-ES"/>
        </w:rPr>
      </w:pPr>
      <w:r>
        <w:rPr>
          <w:rFonts w:eastAsia="Times New Roman" w:cs="Times New Roman"/>
          <w:lang w:val="pt-BR"/>
        </w:rPr>
        <w:t>O NJDOE estabeleceu metas separadas de longo prazo para escolas que atendem até e incluindo o 5º ano e escolas que atendem acima do 5º ano porque pesquisas mostram que estudantes mais jovens tendem a alcançar proficiência em inglês em taxas mais rápidas.</w:t>
      </w:r>
    </w:p>
    <w:p w14:paraId="2A4FCE73" w14:textId="77777777" w:rsidR="000C6408" w:rsidRPr="00CC1CB4" w:rsidRDefault="00000000" w:rsidP="004D2055">
      <w:pPr>
        <w:rPr>
          <w:rStyle w:val="normaltextrun"/>
          <w:rFonts w:eastAsia="Times New Roman" w:cs="Times New Roman"/>
          <w:shd w:val="clear" w:color="auto" w:fill="FFFFFF"/>
          <w:lang w:val="es-ES"/>
        </w:rPr>
      </w:pPr>
      <w:r>
        <w:rPr>
          <w:rStyle w:val="normaltextrun"/>
          <w:rFonts w:eastAsia="Times New Roman" w:cs="Times New Roman"/>
          <w:shd w:val="clear" w:color="auto" w:fill="FFFFFF"/>
          <w:lang w:val="pt-BR"/>
        </w:rPr>
        <w:t xml:space="preserve">Para determinar uma meta de longo prazo apropriada, o NJDOE analisou os dados históricos de avaliação de ACCESS for ELLs de 2016-2017 até o momento. Em 2016-2017, o NJDOE fez a transição para a avaliação ACCESS for ELLs 2.0 para medir a proficiência em inglês. O ano letivo de 2017-2018 foi o primeiro ano em que dois anos de dados estavam disponíveis com a nova avaliação, então foi o primeiro ano em que o progresso em direção à medida de proficiência em inglês foi calculado. No cálculo inicial para 2017-2018, os dados de desempenho de 2016-2017 foram usados como base para todos os alunos, uma vez que foi o primeiro ano da nova avaliação. </w:t>
      </w:r>
      <w:r>
        <w:rPr>
          <w:rStyle w:val="normaltextrun"/>
          <w:rFonts w:eastAsia="Times New Roman" w:cs="Times New Roman"/>
          <w:lang w:val="pt-BR"/>
        </w:rPr>
        <w:t>Para muitos dos alunos multilíngues que estão testando no ano letivo de 2016-2017, sua linha basal verdadeira, ou seja, o primeiro ano fazendo a avaliação ACCESS for ELLs, teria sido um ano antes de 2016-2017, então isso serviu como linha basal artificial e pode ter impactado os resultados para os anos letivos de 2017-2018 e 2018-2019.</w:t>
      </w:r>
    </w:p>
    <w:p w14:paraId="52AFD86F" w14:textId="77777777" w:rsidR="0038287E" w:rsidRPr="00CC1CB4" w:rsidRDefault="00000000" w:rsidP="00B05C7E">
      <w:pPr>
        <w:rPr>
          <w:rFonts w:cs="Times New Roman"/>
          <w:lang w:val="es-ES"/>
        </w:rPr>
      </w:pPr>
      <w:r>
        <w:rPr>
          <w:rFonts w:eastAsia="Times New Roman" w:cs="Times New Roman"/>
          <w:lang w:val="pt-BR"/>
        </w:rPr>
        <w:t>No ano letivo de 2019-2020, a avaliação ACCESS for ELLs foi cancelada em resposta à pandemia. No ano letivo de 2020-2021, muitos alunos ainda estavam aprendendo remotamente, mas a avaliação foi oferecida apenas pessoalmente, o que resultou em menores taxas de participação. Como resultado do cancelamento e da falta de opções de testes remotos, o progresso em direção à medida de proficiência em inglês não foi calculado para esses dois anos letivos.</w:t>
      </w:r>
    </w:p>
    <w:p w14:paraId="3F0EFF2E" w14:textId="77777777" w:rsidR="00B530C4" w:rsidRPr="00CC1CB4" w:rsidRDefault="00000000" w:rsidP="00B05C7E">
      <w:pPr>
        <w:rPr>
          <w:rFonts w:cs="Times New Roman"/>
          <w:lang w:val="es-ES"/>
        </w:rPr>
      </w:pPr>
      <w:r>
        <w:rPr>
          <w:rFonts w:eastAsia="Times New Roman" w:cs="Times New Roman"/>
          <w:lang w:val="pt-BR"/>
        </w:rPr>
        <w:t>O ano letivo de 2021-2022 foi o primeiro ano de participação na avaliação completa após a pandemia. A tabela a seguir mostra o desempenho no progresso em direção à medida de proficiência em inglês para o primeiro ano em que foi medido em 2017-2018 e os resultados para 2021-2022 e 2022-2023.</w:t>
      </w:r>
    </w:p>
    <w:p w14:paraId="3D604DEB" w14:textId="77777777" w:rsidR="007B6A27" w:rsidRPr="00C04CDD" w:rsidRDefault="00000000" w:rsidP="00F86F30">
      <w:pPr>
        <w:pStyle w:val="aff0"/>
        <w:rPr>
          <w:rFonts w:ascii="Times New Roman" w:hAnsi="Times New Roman"/>
          <w:lang w:val="it-CH"/>
        </w:rPr>
      </w:pPr>
      <w:r>
        <w:rPr>
          <w:rFonts w:eastAsia="Cambria"/>
          <w:lang w:val="pt-BR"/>
        </w:rPr>
        <w:t>Figura A.6: Progresso em direção à proficiência em inglês 2017-2023</w:t>
      </w:r>
    </w:p>
    <w:tbl>
      <w:tblPr>
        <w:tblStyle w:val="4-10"/>
        <w:tblW w:w="933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58" w:type="dxa"/>
          <w:left w:w="58" w:type="dxa"/>
          <w:bottom w:w="58" w:type="dxa"/>
          <w:right w:w="58" w:type="dxa"/>
        </w:tblCellMar>
        <w:tblLook w:val="0420" w:firstRow="1" w:lastRow="0" w:firstColumn="0" w:lastColumn="0" w:noHBand="0" w:noVBand="1"/>
      </w:tblPr>
      <w:tblGrid>
        <w:gridCol w:w="3420"/>
        <w:gridCol w:w="1885"/>
        <w:gridCol w:w="2016"/>
        <w:gridCol w:w="2016"/>
      </w:tblGrid>
      <w:tr w:rsidR="00C566B2" w14:paraId="597E8108" w14:textId="77777777" w:rsidTr="00C566B2">
        <w:trPr>
          <w:cnfStyle w:val="100000000000" w:firstRow="1" w:lastRow="0" w:firstColumn="0" w:lastColumn="0" w:oddVBand="0" w:evenVBand="0" w:oddHBand="0" w:evenHBand="0" w:firstRowFirstColumn="0" w:firstRowLastColumn="0" w:lastRowFirstColumn="0" w:lastRowLastColumn="0"/>
          <w:trHeight w:val="1045"/>
          <w:tblHeader/>
        </w:trPr>
        <w:tc>
          <w:tcPr>
            <w:tcW w:w="3420" w:type="dxa"/>
            <w:tcBorders>
              <w:bottom w:val="single" w:sz="4" w:space="0" w:color="0F243E" w:themeColor="text2" w:themeShade="80"/>
              <w:right w:val="single" w:sz="4" w:space="0" w:color="FFFFFF" w:themeColor="background1"/>
            </w:tcBorders>
            <w:shd w:val="clear" w:color="auto" w:fill="215868" w:themeFill="accent5" w:themeFillShade="80"/>
            <w:vAlign w:val="center"/>
          </w:tcPr>
          <w:p w14:paraId="329A11C7" w14:textId="77777777" w:rsidR="00045791" w:rsidRPr="00877316" w:rsidRDefault="00000000" w:rsidP="00D91B5A">
            <w:pPr>
              <w:rPr>
                <w:rFonts w:eastAsia="Palatino Linotype" w:cs="Times New Roman"/>
                <w:b w:val="0"/>
                <w:bCs w:val="0"/>
              </w:rPr>
            </w:pPr>
            <w:r>
              <w:rPr>
                <w:rFonts w:eastAsia="Times New Roman" w:cs="Times New Roman"/>
                <w:color w:val="FFFFFF"/>
                <w:lang w:val="pt-BR"/>
              </w:rPr>
              <w:t>Grupo/Dados demográficos</w:t>
            </w:r>
          </w:p>
        </w:tc>
        <w:tc>
          <w:tcPr>
            <w:tcW w:w="1885" w:type="dxa"/>
            <w:tcBorders>
              <w:left w:val="single" w:sz="4" w:space="0" w:color="FFFFFF" w:themeColor="background1"/>
              <w:bottom w:val="single" w:sz="4" w:space="0" w:color="0F243E" w:themeColor="text2" w:themeShade="80"/>
              <w:right w:val="single" w:sz="4" w:space="0" w:color="FFFFFF" w:themeColor="background1"/>
            </w:tcBorders>
            <w:shd w:val="clear" w:color="auto" w:fill="215868" w:themeFill="accent5" w:themeFillShade="80"/>
          </w:tcPr>
          <w:p w14:paraId="5BA8DE3A" w14:textId="77777777" w:rsidR="00045791" w:rsidRPr="00C04CDD" w:rsidRDefault="00000000">
            <w:pPr>
              <w:jc w:val="center"/>
              <w:rPr>
                <w:rFonts w:eastAsia="Palatino Linotype" w:cs="Times New Roman"/>
                <w:lang w:val="fr-FR"/>
              </w:rPr>
            </w:pPr>
            <w:r>
              <w:rPr>
                <w:rFonts w:eastAsia="Times New Roman" w:cs="Times New Roman"/>
                <w:color w:val="FFFFFF"/>
                <w:lang w:val="pt-BR"/>
              </w:rPr>
              <w:t>Porcentagem de alunos que progridem em direção à proficiência em inglês</w:t>
            </w:r>
          </w:p>
          <w:p w14:paraId="7862363A" w14:textId="77777777" w:rsidR="00045791" w:rsidRPr="00877316" w:rsidRDefault="00000000" w:rsidP="00E444F8">
            <w:pPr>
              <w:jc w:val="center"/>
              <w:rPr>
                <w:rFonts w:eastAsia="Palatino Linotype" w:cs="Times New Roman"/>
                <w:b w:val="0"/>
                <w:bCs w:val="0"/>
              </w:rPr>
            </w:pPr>
            <w:r>
              <w:rPr>
                <w:rFonts w:eastAsia="Times New Roman" w:cs="Times New Roman"/>
                <w:color w:val="FFFFFF"/>
                <w:lang w:val="pt-BR"/>
              </w:rPr>
              <w:t>2017-2018</w:t>
            </w:r>
          </w:p>
        </w:tc>
        <w:tc>
          <w:tcPr>
            <w:tcW w:w="2016" w:type="dxa"/>
            <w:tcBorders>
              <w:left w:val="single" w:sz="4" w:space="0" w:color="FFFFFF" w:themeColor="background1"/>
              <w:bottom w:val="single" w:sz="4" w:space="0" w:color="0F243E" w:themeColor="text2" w:themeShade="80"/>
              <w:right w:val="single" w:sz="4" w:space="0" w:color="FFFFFF" w:themeColor="background1"/>
            </w:tcBorders>
            <w:shd w:val="clear" w:color="auto" w:fill="215868" w:themeFill="accent5" w:themeFillShade="80"/>
          </w:tcPr>
          <w:p w14:paraId="6AC74322" w14:textId="77777777" w:rsidR="00045791" w:rsidRPr="00C04CDD" w:rsidRDefault="00000000">
            <w:pPr>
              <w:jc w:val="center"/>
              <w:rPr>
                <w:rFonts w:eastAsia="Palatino Linotype" w:cs="Times New Roman"/>
                <w:lang w:val="fr-FR"/>
              </w:rPr>
            </w:pPr>
            <w:r>
              <w:rPr>
                <w:rFonts w:eastAsia="Times New Roman" w:cs="Times New Roman"/>
                <w:color w:val="FFFFFF"/>
                <w:lang w:val="pt-BR"/>
              </w:rPr>
              <w:t>Porcentagem de alunos que progridem em direção à proficiência em inglês</w:t>
            </w:r>
          </w:p>
          <w:p w14:paraId="79675720" w14:textId="77777777" w:rsidR="00045791" w:rsidRPr="00877316" w:rsidRDefault="00000000" w:rsidP="00E444F8">
            <w:pPr>
              <w:jc w:val="center"/>
              <w:rPr>
                <w:rFonts w:eastAsia="Palatino Linotype" w:cs="Times New Roman"/>
                <w:b w:val="0"/>
                <w:bCs w:val="0"/>
              </w:rPr>
            </w:pPr>
            <w:r>
              <w:rPr>
                <w:rFonts w:eastAsia="Times New Roman" w:cs="Times New Roman"/>
                <w:color w:val="FFFFFF"/>
                <w:lang w:val="pt-BR"/>
              </w:rPr>
              <w:t>2021-2022</w:t>
            </w:r>
          </w:p>
        </w:tc>
        <w:tc>
          <w:tcPr>
            <w:tcW w:w="2016" w:type="dxa"/>
            <w:tcBorders>
              <w:left w:val="single" w:sz="4" w:space="0" w:color="FFFFFF" w:themeColor="background1"/>
              <w:bottom w:val="single" w:sz="4" w:space="0" w:color="0F243E" w:themeColor="text2" w:themeShade="80"/>
            </w:tcBorders>
            <w:shd w:val="clear" w:color="auto" w:fill="215868" w:themeFill="accent5" w:themeFillShade="80"/>
          </w:tcPr>
          <w:p w14:paraId="0C86567F" w14:textId="77777777" w:rsidR="00045791" w:rsidRPr="00C04CDD" w:rsidRDefault="00000000">
            <w:pPr>
              <w:jc w:val="center"/>
              <w:rPr>
                <w:rFonts w:eastAsia="Palatino Linotype" w:cs="Times New Roman"/>
                <w:lang w:val="fr-FR"/>
              </w:rPr>
            </w:pPr>
            <w:r>
              <w:rPr>
                <w:rFonts w:eastAsia="Times New Roman" w:cs="Times New Roman"/>
                <w:color w:val="FFFFFF"/>
                <w:lang w:val="pt-BR"/>
              </w:rPr>
              <w:t>Porcentagem de alunos que progridem em direção à proficiência em inglês</w:t>
            </w:r>
          </w:p>
          <w:p w14:paraId="18B100F5" w14:textId="77777777" w:rsidR="00045791" w:rsidRPr="00877316" w:rsidRDefault="00000000" w:rsidP="00E444F8">
            <w:pPr>
              <w:jc w:val="center"/>
              <w:rPr>
                <w:rFonts w:eastAsia="Palatino Linotype" w:cs="Times New Roman"/>
                <w:b w:val="0"/>
                <w:bCs w:val="0"/>
              </w:rPr>
            </w:pPr>
            <w:r>
              <w:rPr>
                <w:rFonts w:eastAsia="Times New Roman" w:cs="Times New Roman"/>
                <w:color w:val="FFFFFF"/>
                <w:lang w:val="pt-BR"/>
              </w:rPr>
              <w:t>2022-2023</w:t>
            </w:r>
          </w:p>
        </w:tc>
      </w:tr>
      <w:tr w:rsidR="00C566B2" w14:paraId="48706796" w14:textId="77777777" w:rsidTr="00C566B2">
        <w:trPr>
          <w:cnfStyle w:val="000000100000" w:firstRow="0" w:lastRow="0" w:firstColumn="0" w:lastColumn="0" w:oddVBand="0" w:evenVBand="0" w:oddHBand="1" w:evenHBand="0" w:firstRowFirstColumn="0" w:firstRowLastColumn="0" w:lastRowFirstColumn="0" w:lastRowLastColumn="0"/>
          <w:trHeight w:val="235"/>
        </w:trPr>
        <w:tc>
          <w:tcPr>
            <w:tcW w:w="342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Pr>
          <w:p w14:paraId="6528FB6D" w14:textId="77777777" w:rsidR="00045791" w:rsidRPr="00CC1CB4" w:rsidRDefault="00000000" w:rsidP="004D2055">
            <w:pPr>
              <w:rPr>
                <w:b/>
                <w:lang w:val="es-ES"/>
              </w:rPr>
            </w:pPr>
            <w:r>
              <w:rPr>
                <w:rStyle w:val="normaltextrun"/>
                <w:rFonts w:eastAsia="Times New Roman" w:cs="Arial"/>
                <w:lang w:val="pt-BR"/>
              </w:rPr>
              <w:t>Alunos</w:t>
            </w:r>
            <w:r>
              <w:rPr>
                <w:rStyle w:val="normaltextrun"/>
                <w:rFonts w:eastAsia="Times New Roman" w:cs="Arial"/>
                <w:b/>
                <w:bCs/>
                <w:lang w:val="pt-BR"/>
              </w:rPr>
              <w:t xml:space="preserve"> </w:t>
            </w:r>
            <w:r>
              <w:rPr>
                <w:rStyle w:val="normaltextrun"/>
                <w:rFonts w:eastAsia="Times New Roman" w:cs="Arial"/>
                <w:lang w:val="pt-BR"/>
              </w:rPr>
              <w:t>multilíngues</w:t>
            </w:r>
            <w:r>
              <w:rPr>
                <w:rStyle w:val="normaltextrun"/>
                <w:rFonts w:eastAsia="Times New Roman" w:cs="Arial"/>
                <w:b/>
                <w:bCs/>
                <w:lang w:val="pt-BR"/>
              </w:rPr>
              <w:t xml:space="preserve"> </w:t>
            </w:r>
            <w:r>
              <w:rPr>
                <w:rStyle w:val="normaltextrun"/>
                <w:rFonts w:eastAsia="Times New Roman" w:cs="Arial"/>
                <w:lang w:val="pt-BR"/>
              </w:rPr>
              <w:t>em todo o estado</w:t>
            </w:r>
            <w:r>
              <w:rPr>
                <w:rStyle w:val="normaltextrun"/>
                <w:rFonts w:eastAsia="Times New Roman" w:cs="Arial"/>
                <w:b/>
                <w:bCs/>
                <w:lang w:val="pt-BR"/>
              </w:rPr>
              <w:t xml:space="preserve"> </w:t>
            </w:r>
          </w:p>
        </w:tc>
        <w:tc>
          <w:tcPr>
            <w:tcW w:w="188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0427789" w14:textId="77777777" w:rsidR="00045791" w:rsidRPr="00877316" w:rsidRDefault="00000000" w:rsidP="00E444F8">
            <w:pPr>
              <w:jc w:val="center"/>
              <w:rPr>
                <w:rFonts w:eastAsia="Palatino Linotype" w:cs="Times New Roman"/>
              </w:rPr>
            </w:pPr>
            <w:r>
              <w:rPr>
                <w:rFonts w:eastAsia="Times New Roman" w:cs="Times New Roman"/>
                <w:lang w:val="pt-BR"/>
              </w:rPr>
              <w:t>50,5%</w:t>
            </w:r>
          </w:p>
        </w:tc>
        <w:tc>
          <w:tcPr>
            <w:tcW w:w="201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0F0B509" w14:textId="77777777" w:rsidR="00045791" w:rsidRPr="00877316" w:rsidRDefault="00000000" w:rsidP="00E444F8">
            <w:pPr>
              <w:jc w:val="center"/>
              <w:rPr>
                <w:rFonts w:eastAsia="Palatino Linotype" w:cs="Times New Roman"/>
              </w:rPr>
            </w:pPr>
            <w:r>
              <w:rPr>
                <w:rFonts w:eastAsia="Times New Roman" w:cs="Times New Roman"/>
                <w:lang w:val="pt-BR"/>
              </w:rPr>
              <w:t>26,6%</w:t>
            </w:r>
          </w:p>
        </w:tc>
        <w:tc>
          <w:tcPr>
            <w:tcW w:w="201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D5DF442" w14:textId="77777777" w:rsidR="00045791" w:rsidRPr="00877316" w:rsidRDefault="00000000" w:rsidP="00E444F8">
            <w:pPr>
              <w:jc w:val="center"/>
              <w:rPr>
                <w:rFonts w:eastAsia="Palatino Linotype" w:cs="Times New Roman"/>
              </w:rPr>
            </w:pPr>
            <w:r>
              <w:rPr>
                <w:rFonts w:eastAsia="Times New Roman" w:cs="Times New Roman"/>
                <w:lang w:val="pt-BR"/>
              </w:rPr>
              <w:t>28,6%</w:t>
            </w:r>
          </w:p>
        </w:tc>
      </w:tr>
      <w:tr w:rsidR="00C566B2" w14:paraId="490C1F4A" w14:textId="77777777" w:rsidTr="00C566B2">
        <w:trPr>
          <w:trHeight w:val="215"/>
        </w:trPr>
        <w:tc>
          <w:tcPr>
            <w:tcW w:w="342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Pr>
          <w:p w14:paraId="1B42B6A4" w14:textId="77777777" w:rsidR="00045791" w:rsidRPr="00CC1CB4" w:rsidRDefault="00000000" w:rsidP="004D2055">
            <w:pPr>
              <w:rPr>
                <w:b/>
                <w:lang w:val="es-ES"/>
              </w:rPr>
            </w:pPr>
            <w:r>
              <w:rPr>
                <w:rStyle w:val="normaltextrun"/>
                <w:rFonts w:eastAsia="Times New Roman" w:cs="Arial"/>
                <w:lang w:val="pt-BR"/>
              </w:rPr>
              <w:lastRenderedPageBreak/>
              <w:t>Escolas/LEAs</w:t>
            </w:r>
            <w:r>
              <w:rPr>
                <w:rStyle w:val="normaltextrun"/>
                <w:rFonts w:eastAsia="Times New Roman" w:cs="Arial"/>
                <w:b/>
                <w:bCs/>
                <w:lang w:val="pt-BR"/>
              </w:rPr>
              <w:t xml:space="preserve"> </w:t>
            </w:r>
            <w:r>
              <w:rPr>
                <w:rStyle w:val="normaltextrun"/>
                <w:rFonts w:eastAsia="Times New Roman" w:cs="Arial"/>
                <w:lang w:val="pt-BR"/>
              </w:rPr>
              <w:t>que atendem</w:t>
            </w:r>
            <w:r>
              <w:rPr>
                <w:rStyle w:val="normaltextrun"/>
                <w:rFonts w:eastAsia="Times New Roman" w:cs="Arial"/>
                <w:b/>
                <w:bCs/>
                <w:lang w:val="pt-BR"/>
              </w:rPr>
              <w:t xml:space="preserve"> </w:t>
            </w:r>
            <w:r>
              <w:rPr>
                <w:rStyle w:val="normaltextrun"/>
                <w:rFonts w:eastAsia="Times New Roman" w:cs="Arial"/>
                <w:lang w:val="pt-BR"/>
              </w:rPr>
              <w:t xml:space="preserve">até o </w:t>
            </w:r>
            <w:r>
              <w:rPr>
                <w:rStyle w:val="normaltextrun"/>
                <w:rFonts w:eastAsia="Times New Roman" w:cs="Arial"/>
                <w:b/>
                <w:bCs/>
                <w:lang w:val="pt-BR"/>
              </w:rPr>
              <w:t xml:space="preserve"> </w:t>
            </w:r>
            <w:r>
              <w:rPr>
                <w:rStyle w:val="normaltextrun"/>
                <w:rFonts w:eastAsia="Times New Roman" w:cs="Arial"/>
                <w:lang w:val="pt-BR"/>
              </w:rPr>
              <w:t>5º</w:t>
            </w:r>
            <w:r>
              <w:rPr>
                <w:rStyle w:val="normaltextrun"/>
                <w:rFonts w:eastAsia="Times New Roman" w:cs="Arial"/>
                <w:b/>
                <w:bCs/>
                <w:lang w:val="pt-BR"/>
              </w:rPr>
              <w:t xml:space="preserve"> </w:t>
            </w:r>
            <w:r>
              <w:rPr>
                <w:rStyle w:val="normaltextrun"/>
                <w:rFonts w:eastAsia="Times New Roman" w:cs="Arial"/>
                <w:lang w:val="pt-BR"/>
              </w:rPr>
              <w:t>ano</w:t>
            </w:r>
          </w:p>
        </w:tc>
        <w:tc>
          <w:tcPr>
            <w:tcW w:w="188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965808D" w14:textId="77777777" w:rsidR="00045791" w:rsidRPr="00877316" w:rsidRDefault="00000000" w:rsidP="00E444F8">
            <w:pPr>
              <w:jc w:val="center"/>
              <w:rPr>
                <w:rFonts w:eastAsia="Palatino Linotype" w:cs="Times New Roman"/>
              </w:rPr>
            </w:pPr>
            <w:r>
              <w:rPr>
                <w:rFonts w:eastAsia="Times New Roman" w:cs="Times New Roman"/>
                <w:lang w:val="pt-BR"/>
              </w:rPr>
              <w:t>60,7%</w:t>
            </w:r>
          </w:p>
        </w:tc>
        <w:tc>
          <w:tcPr>
            <w:tcW w:w="201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6018C4B" w14:textId="77777777" w:rsidR="00045791" w:rsidRPr="00877316" w:rsidRDefault="00000000" w:rsidP="00E444F8">
            <w:pPr>
              <w:jc w:val="center"/>
              <w:rPr>
                <w:rFonts w:eastAsia="Palatino Linotype" w:cs="Times New Roman"/>
              </w:rPr>
            </w:pPr>
            <w:r>
              <w:rPr>
                <w:rFonts w:eastAsia="Times New Roman" w:cs="Times New Roman"/>
                <w:lang w:val="pt-BR"/>
              </w:rPr>
              <w:t>41,4%</w:t>
            </w:r>
          </w:p>
        </w:tc>
        <w:tc>
          <w:tcPr>
            <w:tcW w:w="201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47008BE" w14:textId="77777777" w:rsidR="00045791" w:rsidRPr="00877316" w:rsidRDefault="00000000" w:rsidP="00E444F8">
            <w:pPr>
              <w:jc w:val="center"/>
              <w:rPr>
                <w:rFonts w:eastAsia="Palatino Linotype" w:cs="Times New Roman"/>
              </w:rPr>
            </w:pPr>
            <w:r>
              <w:rPr>
                <w:rFonts w:eastAsia="Times New Roman" w:cs="Times New Roman"/>
                <w:lang w:val="pt-BR"/>
              </w:rPr>
              <w:t>43,0%</w:t>
            </w:r>
          </w:p>
        </w:tc>
      </w:tr>
      <w:tr w:rsidR="00C566B2" w14:paraId="7367DBDE" w14:textId="77777777" w:rsidTr="00C566B2">
        <w:trPr>
          <w:cnfStyle w:val="000000100000" w:firstRow="0" w:lastRow="0" w:firstColumn="0" w:lastColumn="0" w:oddVBand="0" w:evenVBand="0" w:oddHBand="1" w:evenHBand="0" w:firstRowFirstColumn="0" w:firstRowLastColumn="0" w:lastRowFirstColumn="0" w:lastRowLastColumn="0"/>
          <w:trHeight w:val="235"/>
        </w:trPr>
        <w:tc>
          <w:tcPr>
            <w:tcW w:w="342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Pr>
          <w:p w14:paraId="7119318C" w14:textId="77777777" w:rsidR="00045791" w:rsidRPr="00CC1CB4" w:rsidRDefault="00000000" w:rsidP="004D2055">
            <w:pPr>
              <w:rPr>
                <w:b/>
                <w:lang w:val="es-ES"/>
              </w:rPr>
            </w:pPr>
            <w:r>
              <w:rPr>
                <w:rStyle w:val="normaltextrun"/>
                <w:rFonts w:eastAsia="Times New Roman" w:cs="Arial"/>
                <w:lang w:val="pt-BR"/>
              </w:rPr>
              <w:t>Escolas/LEAs</w:t>
            </w:r>
            <w:r>
              <w:rPr>
                <w:rStyle w:val="normaltextrun"/>
                <w:rFonts w:eastAsia="Times New Roman" w:cs="Arial"/>
                <w:b/>
                <w:bCs/>
                <w:lang w:val="pt-BR"/>
              </w:rPr>
              <w:t xml:space="preserve"> </w:t>
            </w:r>
            <w:r>
              <w:rPr>
                <w:rStyle w:val="normaltextrun"/>
                <w:rFonts w:eastAsia="Times New Roman" w:cs="Arial"/>
                <w:lang w:val="pt-BR"/>
              </w:rPr>
              <w:t>que atendem</w:t>
            </w:r>
            <w:r>
              <w:rPr>
                <w:rStyle w:val="normaltextrun"/>
                <w:rFonts w:eastAsia="Times New Roman" w:cs="Arial"/>
                <w:b/>
                <w:bCs/>
                <w:lang w:val="pt-BR"/>
              </w:rPr>
              <w:t xml:space="preserve"> </w:t>
            </w:r>
            <w:r>
              <w:rPr>
                <w:rStyle w:val="normaltextrun"/>
                <w:rFonts w:eastAsia="Times New Roman" w:cs="Arial"/>
                <w:lang w:val="pt-BR"/>
              </w:rPr>
              <w:t>acima do</w:t>
            </w:r>
            <w:r>
              <w:rPr>
                <w:rStyle w:val="normaltextrun"/>
                <w:rFonts w:eastAsia="Times New Roman" w:cs="Arial"/>
                <w:b/>
                <w:bCs/>
                <w:lang w:val="pt-BR"/>
              </w:rPr>
              <w:t xml:space="preserve"> </w:t>
            </w:r>
            <w:r>
              <w:rPr>
                <w:rStyle w:val="normaltextrun"/>
                <w:rFonts w:eastAsia="Times New Roman" w:cs="Arial"/>
                <w:lang w:val="pt-BR"/>
              </w:rPr>
              <w:t>5º</w:t>
            </w:r>
            <w:r>
              <w:rPr>
                <w:rStyle w:val="normaltextrun"/>
                <w:rFonts w:eastAsia="Times New Roman" w:cs="Arial"/>
                <w:b/>
                <w:bCs/>
                <w:lang w:val="pt-BR"/>
              </w:rPr>
              <w:t xml:space="preserve"> </w:t>
            </w:r>
            <w:r>
              <w:rPr>
                <w:rStyle w:val="normaltextrun"/>
                <w:rFonts w:eastAsia="Times New Roman" w:cs="Arial"/>
                <w:lang w:val="pt-BR"/>
              </w:rPr>
              <w:t>ano</w:t>
            </w:r>
          </w:p>
        </w:tc>
        <w:tc>
          <w:tcPr>
            <w:tcW w:w="188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E8EB5A0" w14:textId="77777777" w:rsidR="00045791" w:rsidRPr="00877316" w:rsidRDefault="00000000" w:rsidP="00E444F8">
            <w:pPr>
              <w:jc w:val="center"/>
              <w:rPr>
                <w:rFonts w:eastAsia="Palatino Linotype" w:cs="Times New Roman"/>
              </w:rPr>
            </w:pPr>
            <w:r>
              <w:rPr>
                <w:rFonts w:eastAsia="Times New Roman" w:cs="Times New Roman"/>
                <w:lang w:val="pt-BR"/>
              </w:rPr>
              <w:t>46,8%</w:t>
            </w:r>
          </w:p>
        </w:tc>
        <w:tc>
          <w:tcPr>
            <w:tcW w:w="201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3DABF5F" w14:textId="77777777" w:rsidR="00045791" w:rsidRPr="00877316" w:rsidRDefault="00000000" w:rsidP="00E444F8">
            <w:pPr>
              <w:jc w:val="center"/>
              <w:rPr>
                <w:rFonts w:eastAsia="Palatino Linotype" w:cs="Times New Roman"/>
              </w:rPr>
            </w:pPr>
            <w:r>
              <w:rPr>
                <w:rFonts w:eastAsia="Times New Roman" w:cs="Times New Roman"/>
                <w:lang w:val="pt-BR"/>
              </w:rPr>
              <w:t>22,5%</w:t>
            </w:r>
          </w:p>
        </w:tc>
        <w:tc>
          <w:tcPr>
            <w:tcW w:w="201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9EC9048" w14:textId="77777777" w:rsidR="00045791" w:rsidRPr="00877316" w:rsidRDefault="00000000" w:rsidP="00E444F8">
            <w:pPr>
              <w:jc w:val="center"/>
              <w:rPr>
                <w:rFonts w:eastAsia="Palatino Linotype" w:cs="Times New Roman"/>
              </w:rPr>
            </w:pPr>
            <w:r>
              <w:rPr>
                <w:rFonts w:eastAsia="Times New Roman" w:cs="Times New Roman"/>
                <w:lang w:val="pt-BR"/>
              </w:rPr>
              <w:t>21,7%</w:t>
            </w:r>
          </w:p>
        </w:tc>
      </w:tr>
    </w:tbl>
    <w:p w14:paraId="726AB8F3" w14:textId="77777777" w:rsidR="000C6408" w:rsidRPr="00CC1CB4" w:rsidRDefault="00000000" w:rsidP="00146478">
      <w:pPr>
        <w:spacing w:before="240"/>
        <w:rPr>
          <w:rFonts w:cs="Times New Roman"/>
          <w:lang w:val="es-ES"/>
        </w:rPr>
      </w:pPr>
      <w:r>
        <w:rPr>
          <w:rFonts w:eastAsia="Times New Roman" w:cs="Times New Roman"/>
          <w:lang w:val="pt-BR"/>
        </w:rPr>
        <w:t>Devido às linhas basais artificiais estabelecidas inicialmente em 2016-2017 e para abordar as alterações nos resultados, o NJDOE usará os resultados de 2022-2023 como uma nova linha de base para definir novas metas de longo prazo da ESSA para o ano letivo de 2028-2029. Isso resultará em metas de longo prazo que são mais alcançáveis, mas ainda ambiciosas para escolas e alunos.</w:t>
      </w:r>
    </w:p>
    <w:p w14:paraId="0346324D" w14:textId="77777777" w:rsidR="003C632E" w:rsidRPr="00CC1CB4" w:rsidRDefault="00000000" w:rsidP="007A5A63">
      <w:pPr>
        <w:rPr>
          <w:rFonts w:cs="Times New Roman"/>
          <w:lang w:val="es-ES"/>
        </w:rPr>
      </w:pPr>
      <w:r>
        <w:rPr>
          <w:rFonts w:eastAsia="Times New Roman" w:cs="Times New Roman"/>
          <w:lang w:val="pt-BR"/>
        </w:rPr>
        <w:t>O NJDOE usou a mesma metodologia que foi inicialmente usada em 2017, baseada em um aumento de um ponto percentual a cada ano para cada grupo estratificado, para definir as novas metas de longo prazo. Isso resulta em um aumento de 6 pontos percentuais para as metas de longo prazo de 2028-2019. Cada escola dentro dos dois grupos estratificados, escolas que atendem até o 5º ano e escolas que atendem anos acima do 5º terão as mesmas metas de longo prazo.</w:t>
      </w:r>
    </w:p>
    <w:p w14:paraId="3704565E" w14:textId="77777777" w:rsidR="00C30507" w:rsidRPr="00CC1CB4" w:rsidRDefault="00000000" w:rsidP="00F86F30">
      <w:pPr>
        <w:pStyle w:val="aff0"/>
        <w:rPr>
          <w:rFonts w:ascii="Times New Roman" w:hAnsi="Times New Roman"/>
          <w:lang w:val="es-ES"/>
        </w:rPr>
      </w:pPr>
      <w:r>
        <w:rPr>
          <w:rFonts w:eastAsia="Cambria"/>
          <w:lang w:val="pt-BR"/>
        </w:rPr>
        <w:t xml:space="preserve">Figura A.7: Progresso esperado em direção à proficiência em inglês </w:t>
      </w:r>
    </w:p>
    <w:tbl>
      <w:tblPr>
        <w:tblStyle w:val="4-10"/>
        <w:tblW w:w="931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58" w:type="dxa"/>
          <w:left w:w="58" w:type="dxa"/>
          <w:bottom w:w="58" w:type="dxa"/>
          <w:right w:w="58" w:type="dxa"/>
        </w:tblCellMar>
        <w:tblLook w:val="0420" w:firstRow="1" w:lastRow="0" w:firstColumn="0" w:lastColumn="0" w:noHBand="0" w:noVBand="1"/>
      </w:tblPr>
      <w:tblGrid>
        <w:gridCol w:w="3325"/>
        <w:gridCol w:w="2995"/>
        <w:gridCol w:w="2995"/>
      </w:tblGrid>
      <w:tr w:rsidR="00C566B2" w14:paraId="44BB1F6F" w14:textId="77777777" w:rsidTr="00C566B2">
        <w:trPr>
          <w:cnfStyle w:val="100000000000" w:firstRow="1" w:lastRow="0" w:firstColumn="0" w:lastColumn="0" w:oddVBand="0" w:evenVBand="0" w:oddHBand="0" w:evenHBand="0" w:firstRowFirstColumn="0" w:firstRowLastColumn="0" w:lastRowFirstColumn="0" w:lastRowLastColumn="0"/>
          <w:trHeight w:val="295"/>
          <w:tblHeader/>
        </w:trPr>
        <w:tc>
          <w:tcPr>
            <w:tcW w:w="3325" w:type="dxa"/>
            <w:tcBorders>
              <w:bottom w:val="single" w:sz="4" w:space="0" w:color="0F243E" w:themeColor="text2" w:themeShade="80"/>
              <w:right w:val="single" w:sz="4" w:space="0" w:color="FFFFFF" w:themeColor="background1"/>
            </w:tcBorders>
            <w:shd w:val="clear" w:color="auto" w:fill="215868" w:themeFill="accent5" w:themeFillShade="80"/>
          </w:tcPr>
          <w:p w14:paraId="3C7215F0" w14:textId="77777777" w:rsidR="007A5A63" w:rsidRPr="00877316" w:rsidRDefault="00000000" w:rsidP="00527D34">
            <w:pPr>
              <w:rPr>
                <w:rFonts w:eastAsia="Palatino Linotype" w:cs="Times New Roman"/>
                <w:b w:val="0"/>
                <w:bCs w:val="0"/>
              </w:rPr>
            </w:pPr>
            <w:r>
              <w:rPr>
                <w:rFonts w:eastAsia="Times New Roman" w:cs="Times New Roman"/>
                <w:color w:val="FFFFFF"/>
                <w:lang w:val="pt-BR"/>
              </w:rPr>
              <w:t>Grupo/Dados demográficos</w:t>
            </w:r>
          </w:p>
        </w:tc>
        <w:tc>
          <w:tcPr>
            <w:tcW w:w="2995" w:type="dxa"/>
            <w:tcBorders>
              <w:left w:val="single" w:sz="4" w:space="0" w:color="FFFFFF" w:themeColor="background1"/>
              <w:bottom w:val="single" w:sz="4" w:space="0" w:color="0F243E" w:themeColor="text2" w:themeShade="80"/>
              <w:right w:val="single" w:sz="4" w:space="0" w:color="FFFFFF" w:themeColor="background1"/>
            </w:tcBorders>
            <w:shd w:val="clear" w:color="auto" w:fill="215868" w:themeFill="accent5" w:themeFillShade="80"/>
          </w:tcPr>
          <w:p w14:paraId="7FC07518" w14:textId="77777777" w:rsidR="003458B8" w:rsidRPr="00CC1CB4" w:rsidRDefault="00000000">
            <w:pPr>
              <w:jc w:val="center"/>
              <w:rPr>
                <w:rFonts w:eastAsia="Palatino Linotype" w:cs="Times New Roman"/>
                <w:lang w:val="es-ES"/>
              </w:rPr>
            </w:pPr>
            <w:r>
              <w:rPr>
                <w:rFonts w:eastAsia="Times New Roman" w:cs="Times New Roman"/>
                <w:color w:val="FFFFFF"/>
                <w:lang w:val="pt-BR"/>
              </w:rPr>
              <w:t xml:space="preserve">Porcentagem basal de alunos que progridem em direção à proficiência no idioma inglês: </w:t>
            </w:r>
          </w:p>
          <w:p w14:paraId="155922EA" w14:textId="77777777" w:rsidR="007A5A63" w:rsidRPr="00877316" w:rsidRDefault="00000000" w:rsidP="00E444F8">
            <w:pPr>
              <w:jc w:val="center"/>
              <w:rPr>
                <w:rFonts w:eastAsia="Palatino Linotype" w:cs="Times New Roman"/>
                <w:b w:val="0"/>
                <w:bCs w:val="0"/>
              </w:rPr>
            </w:pPr>
            <w:r>
              <w:rPr>
                <w:rFonts w:eastAsia="Times New Roman" w:cs="Times New Roman"/>
                <w:color w:val="FFFFFF"/>
                <w:lang w:val="pt-BR"/>
              </w:rPr>
              <w:t>2022-2023</w:t>
            </w:r>
          </w:p>
        </w:tc>
        <w:tc>
          <w:tcPr>
            <w:tcW w:w="2995" w:type="dxa"/>
            <w:tcBorders>
              <w:left w:val="single" w:sz="4" w:space="0" w:color="FFFFFF" w:themeColor="background1"/>
              <w:bottom w:val="single" w:sz="4" w:space="0" w:color="0F243E" w:themeColor="text2" w:themeShade="80"/>
            </w:tcBorders>
            <w:shd w:val="clear" w:color="auto" w:fill="215868" w:themeFill="accent5" w:themeFillShade="80"/>
          </w:tcPr>
          <w:p w14:paraId="179D34F7" w14:textId="77777777" w:rsidR="003458B8" w:rsidRPr="00CC1CB4" w:rsidRDefault="00000000">
            <w:pPr>
              <w:jc w:val="center"/>
              <w:rPr>
                <w:rFonts w:eastAsia="Palatino Linotype" w:cs="Times New Roman"/>
                <w:lang w:val="es-ES"/>
              </w:rPr>
            </w:pPr>
            <w:r>
              <w:rPr>
                <w:rFonts w:eastAsia="Times New Roman" w:cs="Times New Roman"/>
                <w:color w:val="FFFFFF"/>
                <w:lang w:val="pt-BR"/>
              </w:rPr>
              <w:t xml:space="preserve">Porcentagem da meta de longo prazo de alunos que fazem progresso esperado em direção à proficiência em inglês: </w:t>
            </w:r>
          </w:p>
          <w:p w14:paraId="0505A5ED" w14:textId="77777777" w:rsidR="007A5A63" w:rsidRPr="00877316" w:rsidRDefault="00000000" w:rsidP="00E444F8">
            <w:pPr>
              <w:jc w:val="center"/>
              <w:rPr>
                <w:rFonts w:eastAsia="Palatino Linotype" w:cs="Times New Roman"/>
                <w:b w:val="0"/>
                <w:bCs w:val="0"/>
              </w:rPr>
            </w:pPr>
            <w:r>
              <w:rPr>
                <w:rFonts w:eastAsia="Times New Roman" w:cs="Times New Roman"/>
                <w:color w:val="FFFFFF"/>
                <w:lang w:val="pt-BR"/>
              </w:rPr>
              <w:t>2028-2029</w:t>
            </w:r>
          </w:p>
        </w:tc>
      </w:tr>
      <w:tr w:rsidR="00C566B2" w14:paraId="05ACF0B2" w14:textId="77777777" w:rsidTr="00C566B2">
        <w:trPr>
          <w:cnfStyle w:val="000000100000" w:firstRow="0" w:lastRow="0" w:firstColumn="0" w:lastColumn="0" w:oddVBand="0" w:evenVBand="0" w:oddHBand="1" w:evenHBand="0" w:firstRowFirstColumn="0" w:firstRowLastColumn="0" w:lastRowFirstColumn="0" w:lastRowLastColumn="0"/>
          <w:trHeight w:val="295"/>
        </w:trPr>
        <w:tc>
          <w:tcPr>
            <w:tcW w:w="332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59B1B0DA" w14:textId="77777777" w:rsidR="007A5A63" w:rsidRPr="00CC1CB4" w:rsidRDefault="00000000" w:rsidP="004D2055">
            <w:pPr>
              <w:rPr>
                <w:b/>
                <w:lang w:val="es-ES"/>
              </w:rPr>
            </w:pPr>
            <w:r>
              <w:rPr>
                <w:rStyle w:val="normaltextrun"/>
                <w:rFonts w:eastAsia="Times New Roman" w:cs="Times New Roman"/>
                <w:lang w:val="pt-BR"/>
              </w:rPr>
              <w:t>Alunos</w:t>
            </w:r>
            <w:r>
              <w:rPr>
                <w:rStyle w:val="normaltextrun"/>
                <w:rFonts w:eastAsia="Times New Roman" w:cs="Times New Roman"/>
                <w:b/>
                <w:bCs/>
                <w:lang w:val="pt-BR"/>
              </w:rPr>
              <w:t xml:space="preserve"> </w:t>
            </w:r>
            <w:r>
              <w:rPr>
                <w:rStyle w:val="normaltextrun"/>
                <w:rFonts w:eastAsia="Times New Roman" w:cs="Times New Roman"/>
                <w:lang w:val="pt-BR"/>
              </w:rPr>
              <w:t>multilíngues</w:t>
            </w:r>
            <w:r>
              <w:rPr>
                <w:rStyle w:val="normaltextrun"/>
                <w:rFonts w:eastAsia="Times New Roman" w:cs="Times New Roman"/>
                <w:b/>
                <w:bCs/>
                <w:lang w:val="pt-BR"/>
              </w:rPr>
              <w:t xml:space="preserve"> </w:t>
            </w:r>
            <w:r>
              <w:rPr>
                <w:rStyle w:val="normaltextrun"/>
                <w:rFonts w:eastAsia="Times New Roman" w:cs="Times New Roman"/>
                <w:lang w:val="pt-BR"/>
              </w:rPr>
              <w:t>em todo o estado</w:t>
            </w:r>
            <w:r>
              <w:rPr>
                <w:rStyle w:val="normaltextrun"/>
                <w:rFonts w:eastAsia="Times New Roman" w:cs="Times New Roman"/>
                <w:b/>
                <w:bCs/>
                <w:lang w:val="pt-BR"/>
              </w:rPr>
              <w:t xml:space="preserve"> </w:t>
            </w:r>
          </w:p>
        </w:tc>
        <w:tc>
          <w:tcPr>
            <w:tcW w:w="299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10DA78A2" w14:textId="77777777" w:rsidR="007A5A63" w:rsidRPr="00877316" w:rsidRDefault="00000000" w:rsidP="00E444F8">
            <w:pPr>
              <w:jc w:val="center"/>
              <w:rPr>
                <w:rFonts w:eastAsia="Palatino Linotype" w:cs="Times New Roman"/>
              </w:rPr>
            </w:pPr>
            <w:r>
              <w:rPr>
                <w:rFonts w:eastAsia="Times New Roman" w:cs="Times New Roman"/>
                <w:lang w:val="pt-BR"/>
              </w:rPr>
              <w:t>28,6%</w:t>
            </w:r>
          </w:p>
        </w:tc>
        <w:tc>
          <w:tcPr>
            <w:tcW w:w="299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2852A5BC" w14:textId="77777777" w:rsidR="007A5A63" w:rsidRPr="00877316" w:rsidRDefault="00000000" w:rsidP="00E444F8">
            <w:pPr>
              <w:jc w:val="center"/>
              <w:rPr>
                <w:rFonts w:eastAsia="Palatino Linotype" w:cs="Times New Roman"/>
              </w:rPr>
            </w:pPr>
            <w:r>
              <w:rPr>
                <w:rFonts w:eastAsia="Times New Roman" w:cs="Times New Roman"/>
                <w:lang w:val="pt-BR"/>
              </w:rPr>
              <w:t>34,6%</w:t>
            </w:r>
          </w:p>
        </w:tc>
      </w:tr>
      <w:tr w:rsidR="00C566B2" w14:paraId="5DD0CD89" w14:textId="77777777" w:rsidTr="00C566B2">
        <w:trPr>
          <w:trHeight w:val="295"/>
        </w:trPr>
        <w:tc>
          <w:tcPr>
            <w:tcW w:w="332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569A9682" w14:textId="77777777" w:rsidR="007A5A63" w:rsidRPr="00CC1CB4" w:rsidRDefault="00000000" w:rsidP="004D2055">
            <w:pPr>
              <w:rPr>
                <w:b/>
                <w:lang w:val="es-ES"/>
              </w:rPr>
            </w:pPr>
            <w:r>
              <w:rPr>
                <w:rStyle w:val="normaltextrun"/>
                <w:rFonts w:eastAsia="Times New Roman" w:cs="Times New Roman"/>
                <w:lang w:val="pt-BR"/>
              </w:rPr>
              <w:t>Escolas/L</w:t>
            </w:r>
            <w:r>
              <w:rPr>
                <w:rStyle w:val="normaltextrun"/>
                <w:rFonts w:eastAsia="Times New Roman" w:cs="Arial"/>
                <w:lang w:val="pt-BR"/>
              </w:rPr>
              <w:t>EA</w:t>
            </w:r>
            <w:r>
              <w:rPr>
                <w:rStyle w:val="normaltextrun"/>
                <w:rFonts w:eastAsia="Times New Roman" w:cs="Times New Roman"/>
                <w:lang w:val="pt-BR"/>
              </w:rPr>
              <w:t>s que</w:t>
            </w:r>
            <w:r>
              <w:rPr>
                <w:rStyle w:val="normaltextrun"/>
                <w:rFonts w:eastAsia="Times New Roman" w:cs="Times New Roman"/>
                <w:b/>
                <w:bCs/>
                <w:lang w:val="pt-BR"/>
              </w:rPr>
              <w:t xml:space="preserve"> </w:t>
            </w:r>
            <w:r>
              <w:rPr>
                <w:rStyle w:val="normaltextrun"/>
                <w:rFonts w:eastAsia="Times New Roman" w:cs="Times New Roman"/>
                <w:lang w:val="pt-BR"/>
              </w:rPr>
              <w:t>atendem</w:t>
            </w:r>
            <w:r>
              <w:rPr>
                <w:rStyle w:val="normaltextrun"/>
                <w:rFonts w:eastAsia="Times New Roman" w:cs="Times New Roman"/>
                <w:b/>
                <w:bCs/>
                <w:lang w:val="pt-BR"/>
              </w:rPr>
              <w:t xml:space="preserve"> </w:t>
            </w:r>
            <w:r>
              <w:rPr>
                <w:rStyle w:val="normaltextrun"/>
                <w:rFonts w:eastAsia="Times New Roman" w:cs="Times New Roman"/>
                <w:lang w:val="pt-BR"/>
              </w:rPr>
              <w:t>até o</w:t>
            </w:r>
            <w:r>
              <w:rPr>
                <w:rStyle w:val="normaltextrun"/>
                <w:rFonts w:eastAsia="Times New Roman" w:cs="Times New Roman"/>
                <w:b/>
                <w:bCs/>
                <w:lang w:val="pt-BR"/>
              </w:rPr>
              <w:t xml:space="preserve"> </w:t>
            </w:r>
            <w:r>
              <w:rPr>
                <w:rStyle w:val="normaltextrun"/>
                <w:rFonts w:eastAsia="Times New Roman" w:cs="Times New Roman"/>
                <w:lang w:val="pt-BR"/>
              </w:rPr>
              <w:t>5º</w:t>
            </w:r>
            <w:r>
              <w:rPr>
                <w:rStyle w:val="normaltextrun"/>
                <w:rFonts w:eastAsia="Times New Roman" w:cs="Times New Roman"/>
                <w:b/>
                <w:bCs/>
                <w:lang w:val="pt-BR"/>
              </w:rPr>
              <w:t xml:space="preserve"> </w:t>
            </w:r>
            <w:r>
              <w:rPr>
                <w:rStyle w:val="normaltextrun"/>
                <w:rFonts w:eastAsia="Times New Roman" w:cs="Times New Roman"/>
                <w:lang w:val="pt-BR"/>
              </w:rPr>
              <w:t>ano</w:t>
            </w:r>
          </w:p>
        </w:tc>
        <w:tc>
          <w:tcPr>
            <w:tcW w:w="299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38CDBC3" w14:textId="77777777" w:rsidR="007A5A63" w:rsidRPr="00877316" w:rsidRDefault="00000000" w:rsidP="00E444F8">
            <w:pPr>
              <w:jc w:val="center"/>
              <w:rPr>
                <w:rFonts w:eastAsia="Palatino Linotype" w:cs="Times New Roman"/>
              </w:rPr>
            </w:pPr>
            <w:r>
              <w:rPr>
                <w:rFonts w:eastAsia="Times New Roman" w:cs="Times New Roman"/>
                <w:lang w:val="pt-BR"/>
              </w:rPr>
              <w:t>43,0%</w:t>
            </w:r>
          </w:p>
        </w:tc>
        <w:tc>
          <w:tcPr>
            <w:tcW w:w="299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DD775D8" w14:textId="77777777" w:rsidR="007A5A63" w:rsidRPr="00877316" w:rsidRDefault="00000000" w:rsidP="00E444F8">
            <w:pPr>
              <w:jc w:val="center"/>
              <w:rPr>
                <w:rFonts w:eastAsia="Palatino Linotype" w:cs="Times New Roman"/>
              </w:rPr>
            </w:pPr>
            <w:r>
              <w:rPr>
                <w:rFonts w:eastAsia="Times New Roman" w:cs="Times New Roman"/>
                <w:lang w:val="pt-BR"/>
              </w:rPr>
              <w:t>49,0%</w:t>
            </w:r>
          </w:p>
        </w:tc>
      </w:tr>
      <w:tr w:rsidR="00C566B2" w14:paraId="694D86D2" w14:textId="77777777" w:rsidTr="00C566B2">
        <w:trPr>
          <w:cnfStyle w:val="000000100000" w:firstRow="0" w:lastRow="0" w:firstColumn="0" w:lastColumn="0" w:oddVBand="0" w:evenVBand="0" w:oddHBand="1" w:evenHBand="0" w:firstRowFirstColumn="0" w:firstRowLastColumn="0" w:lastRowFirstColumn="0" w:lastRowLastColumn="0"/>
          <w:trHeight w:val="295"/>
        </w:trPr>
        <w:tc>
          <w:tcPr>
            <w:tcW w:w="332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2E69FA74" w14:textId="77777777" w:rsidR="007A5A63" w:rsidRPr="00CC1CB4" w:rsidRDefault="00000000" w:rsidP="004D2055">
            <w:pPr>
              <w:rPr>
                <w:b/>
                <w:lang w:val="es-ES"/>
              </w:rPr>
            </w:pPr>
            <w:r>
              <w:rPr>
                <w:rStyle w:val="normaltextrun"/>
                <w:rFonts w:eastAsia="Times New Roman" w:cs="Times New Roman"/>
                <w:lang w:val="pt-BR"/>
              </w:rPr>
              <w:t>Escolas/L</w:t>
            </w:r>
            <w:r>
              <w:rPr>
                <w:rStyle w:val="normaltextrun"/>
                <w:rFonts w:eastAsia="Times New Roman" w:cs="Arial"/>
                <w:lang w:val="pt-BR"/>
              </w:rPr>
              <w:t>EA</w:t>
            </w:r>
            <w:r>
              <w:rPr>
                <w:rStyle w:val="normaltextrun"/>
                <w:rFonts w:eastAsia="Times New Roman" w:cs="Times New Roman"/>
                <w:lang w:val="pt-BR"/>
              </w:rPr>
              <w:t>s</w:t>
            </w:r>
            <w:r>
              <w:rPr>
                <w:rStyle w:val="normaltextrun"/>
                <w:rFonts w:eastAsia="Times New Roman" w:cs="Times New Roman"/>
                <w:b/>
                <w:bCs/>
                <w:lang w:val="pt-BR"/>
              </w:rPr>
              <w:t xml:space="preserve"> </w:t>
            </w:r>
            <w:r>
              <w:rPr>
                <w:rStyle w:val="normaltextrun"/>
                <w:rFonts w:eastAsia="Times New Roman" w:cs="Times New Roman"/>
                <w:lang w:val="pt-BR"/>
              </w:rPr>
              <w:t>que atendem</w:t>
            </w:r>
            <w:r>
              <w:rPr>
                <w:rStyle w:val="normaltextrun"/>
                <w:rFonts w:eastAsia="Times New Roman" w:cs="Times New Roman"/>
                <w:b/>
                <w:bCs/>
                <w:lang w:val="pt-BR"/>
              </w:rPr>
              <w:t xml:space="preserve"> </w:t>
            </w:r>
            <w:r>
              <w:rPr>
                <w:rStyle w:val="normaltextrun"/>
                <w:rFonts w:eastAsia="Times New Roman" w:cs="Times New Roman"/>
                <w:lang w:val="pt-BR"/>
              </w:rPr>
              <w:t>acima do</w:t>
            </w:r>
            <w:r>
              <w:rPr>
                <w:rStyle w:val="normaltextrun"/>
                <w:rFonts w:eastAsia="Times New Roman" w:cs="Times New Roman"/>
                <w:b/>
                <w:bCs/>
                <w:lang w:val="pt-BR"/>
              </w:rPr>
              <w:t xml:space="preserve"> </w:t>
            </w:r>
            <w:r>
              <w:rPr>
                <w:rStyle w:val="normaltextrun"/>
                <w:rFonts w:eastAsia="Times New Roman" w:cs="Times New Roman"/>
                <w:lang w:val="pt-BR"/>
              </w:rPr>
              <w:t>5º</w:t>
            </w:r>
            <w:r>
              <w:rPr>
                <w:rStyle w:val="normaltextrun"/>
                <w:rFonts w:eastAsia="Times New Roman" w:cs="Times New Roman"/>
                <w:b/>
                <w:bCs/>
                <w:lang w:val="pt-BR"/>
              </w:rPr>
              <w:t xml:space="preserve"> </w:t>
            </w:r>
            <w:r>
              <w:rPr>
                <w:rStyle w:val="normaltextrun"/>
                <w:rFonts w:eastAsia="Times New Roman" w:cs="Times New Roman"/>
                <w:lang w:val="pt-BR"/>
              </w:rPr>
              <w:t>ano</w:t>
            </w:r>
          </w:p>
        </w:tc>
        <w:tc>
          <w:tcPr>
            <w:tcW w:w="299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32BA0D62" w14:textId="77777777" w:rsidR="007A5A63" w:rsidRPr="00877316" w:rsidRDefault="00000000" w:rsidP="00E444F8">
            <w:pPr>
              <w:jc w:val="center"/>
              <w:rPr>
                <w:rFonts w:eastAsia="Palatino Linotype" w:cs="Times New Roman"/>
              </w:rPr>
            </w:pPr>
            <w:r>
              <w:rPr>
                <w:rFonts w:eastAsia="Times New Roman" w:cs="Times New Roman"/>
                <w:lang w:val="pt-BR"/>
              </w:rPr>
              <w:t>21,7%</w:t>
            </w:r>
          </w:p>
        </w:tc>
        <w:tc>
          <w:tcPr>
            <w:tcW w:w="299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26A028E4" w14:textId="77777777" w:rsidR="007A5A63" w:rsidRPr="00877316" w:rsidRDefault="00000000" w:rsidP="00E444F8">
            <w:pPr>
              <w:jc w:val="center"/>
              <w:rPr>
                <w:rFonts w:eastAsia="Palatino Linotype" w:cs="Times New Roman"/>
              </w:rPr>
            </w:pPr>
            <w:r>
              <w:rPr>
                <w:rFonts w:eastAsia="Times New Roman" w:cs="Times New Roman"/>
                <w:lang w:val="pt-BR"/>
              </w:rPr>
              <w:t>27,7%</w:t>
            </w:r>
          </w:p>
        </w:tc>
      </w:tr>
    </w:tbl>
    <w:p w14:paraId="5E3A17E1" w14:textId="77777777" w:rsidR="007A5A63" w:rsidRPr="00146478" w:rsidRDefault="00000000" w:rsidP="00146478">
      <w:pPr>
        <w:pStyle w:val="5"/>
        <w:spacing w:before="240"/>
      </w:pPr>
      <w:r>
        <w:rPr>
          <w:rFonts w:ascii="Cambria" w:eastAsia="Cambria" w:hAnsi="Cambria" w:cs="Times New Roman"/>
          <w:bCs/>
          <w:lang w:val="pt-BR"/>
        </w:rPr>
        <w:t>Medições do progresso provisório</w:t>
      </w:r>
    </w:p>
    <w:p w14:paraId="75B2FAA9" w14:textId="77777777" w:rsidR="00084FD1" w:rsidRPr="00CC1CB4" w:rsidRDefault="00000000" w:rsidP="004D2055">
      <w:pPr>
        <w:rPr>
          <w:rStyle w:val="normaltextrun"/>
          <w:rFonts w:eastAsia="Times New Roman" w:cs="Times New Roman"/>
          <w:shd w:val="clear" w:color="auto" w:fill="FFFFFF"/>
          <w:lang w:val="es-ES"/>
        </w:rPr>
      </w:pPr>
      <w:r>
        <w:rPr>
          <w:rStyle w:val="normaltextrun"/>
          <w:rFonts w:eastAsia="Times New Roman" w:cs="Times New Roman"/>
          <w:shd w:val="clear" w:color="auto" w:fill="FFFFFF"/>
          <w:lang w:val="pt-BR"/>
        </w:rPr>
        <w:t>As medições do progresso parcial, ou metas anuais, para cada grupo representarão um aumento anual de 1 ponto percentual em relação à linha basal, que é a quantidade de progresso anual necessária para atingir a meta de longo prazo em seis anos. Cada escola dentro dos dois grupos estratificados terá as mesmas metas anuais.</w:t>
      </w:r>
    </w:p>
    <w:p w14:paraId="6E47231F" w14:textId="77777777" w:rsidR="003F4DE6" w:rsidRPr="00CC1CB4" w:rsidRDefault="00000000" w:rsidP="00302B2F">
      <w:pPr>
        <w:rPr>
          <w:rFonts w:cs="Times New Roman"/>
          <w:lang w:val="es-ES"/>
        </w:rPr>
      </w:pPr>
      <w:r>
        <w:rPr>
          <w:rFonts w:eastAsia="Times New Roman" w:cs="Times New Roman"/>
          <w:lang w:val="pt-BR"/>
        </w:rPr>
        <w:t>Consulte o Anexo A para obter um gráfico mostrando as metas anuais para o progresso em direção à proficiência em inglês para os grupos de escolas em nível estadual e os dois grupos estratificados.</w:t>
      </w:r>
    </w:p>
    <w:p w14:paraId="3A1B54AC" w14:textId="77777777" w:rsidR="00084FD1" w:rsidRPr="00CC1CB4" w:rsidRDefault="00000000" w:rsidP="00146478">
      <w:pPr>
        <w:pStyle w:val="5"/>
        <w:rPr>
          <w:lang w:val="es-ES"/>
        </w:rPr>
      </w:pPr>
      <w:r>
        <w:rPr>
          <w:rFonts w:ascii="Cambria" w:eastAsia="Cambria" w:hAnsi="Cambria" w:cs="Times New Roman"/>
          <w:bCs/>
          <w:lang w:val="pt-BR"/>
        </w:rPr>
        <w:lastRenderedPageBreak/>
        <w:t>Melhoria contínua e mudanças futuras</w:t>
      </w:r>
    </w:p>
    <w:p w14:paraId="458C206D" w14:textId="77777777" w:rsidR="00084FD1" w:rsidRPr="00CC1CB4" w:rsidRDefault="00000000" w:rsidP="00084FD1">
      <w:pPr>
        <w:rPr>
          <w:rFonts w:cs="Times New Roman"/>
          <w:lang w:val="es-ES"/>
        </w:rPr>
      </w:pPr>
      <w:r>
        <w:rPr>
          <w:rFonts w:eastAsia="Times New Roman" w:cs="Arial"/>
          <w:lang w:val="pt-BR"/>
        </w:rPr>
        <w:t>O NJDOE, juntamente com as partes interessadas, continuará a avaliar o desempenho dos alunos, trajetórias de crescimento, alterações demográficas e outros fatores, para determinar se é necessário fazer ajustes adicionais nesse indicador. As trajetórias de crescimento pós-pandemia podem diferir daquelas observadas pré-pandemia (pelo menos inicialmente), como algumas pesquisas sugerem (consulte</w:t>
      </w:r>
      <w:bookmarkStart w:id="79" w:name="_Hlk171333927"/>
      <w:r>
        <w:rPr>
          <w:rFonts w:eastAsia="Times New Roman" w:cs="Arial"/>
          <w:lang w:val="pt-BR"/>
        </w:rPr>
        <w:t xml:space="preserve"> </w:t>
      </w:r>
      <w:hyperlink r:id="rId32" w:tgtFrame="_blank" w:history="1">
        <w:r w:rsidR="00084FD1">
          <w:rPr>
            <w:rFonts w:eastAsia="Times New Roman" w:cs="Times New Roman"/>
            <w:color w:val="0000FF"/>
            <w:u w:val="single"/>
            <w:shd w:val="clear" w:color="auto" w:fill="FFFFFF"/>
            <w:lang w:val="pt-BR"/>
          </w:rPr>
          <w:t>Examinando o teste, a proficiência e o crescimento do aluno de inglês: antes, durante e “após” a pandemia de COVID-19</w:t>
        </w:r>
      </w:hyperlink>
      <w:bookmarkEnd w:id="79"/>
      <w:r>
        <w:rPr>
          <w:rFonts w:eastAsia="Times New Roman" w:cs="Arial"/>
          <w:lang w:val="pt-BR"/>
        </w:rPr>
        <w:t xml:space="preserve">). Portanto, Nova Jersey avaliará continuamente as tendências de crescimento para garantir que as metas sejam ambiciosas e alcançáveis. De acordo com o estudo Bienal Título III de 2013, </w:t>
      </w:r>
      <w:r>
        <w:rPr>
          <w:rFonts w:eastAsia="Times New Roman" w:cs="Times New Roman"/>
          <w:lang w:val="pt-BR"/>
        </w:rPr>
        <w:t>Nova Jersey teve o quarto maior número de estudantes imigrantes recentes nos Estados Unidos. Nos últimos anos, uma grande porcentagem de crescimento na população de alunos multilíngues em Nova Jersey veio de alunos multilíngues nos últimos anos. É amplamente aceito que os alunos que entram nos Estados Unidos no ensino médio tendem a levar mais tempo para concluir a aquisição do idioma inglês do que aqueles que entram em anos anteriores. Se essa tendência continuar ou mudar, o NJDOE considerará ajustar as metas para garantir que sejam ambiciosas e alcançáveis para a população específica de alunos.</w:t>
      </w:r>
    </w:p>
    <w:p w14:paraId="2BC4DC8D" w14:textId="77777777" w:rsidR="00031B5E" w:rsidRPr="00CC1CB4" w:rsidRDefault="00000000">
      <w:pPr>
        <w:rPr>
          <w:rFonts w:cs="Times New Roman"/>
          <w:color w:val="365F91" w:themeColor="accent1" w:themeShade="BF"/>
          <w:lang w:val="es-ES"/>
        </w:rPr>
      </w:pPr>
      <w:r>
        <w:rPr>
          <w:rStyle w:val="NJDOEResponse"/>
          <w:rFonts w:eastAsia="Times New Roman"/>
          <w:color w:val="365F91"/>
          <w:lang w:val="pt-BR"/>
        </w:rPr>
        <w:t>[finalizar resposta do NJDOE]</w:t>
      </w:r>
    </w:p>
    <w:p w14:paraId="3A4DD6BA" w14:textId="77777777" w:rsidR="00396158" w:rsidRPr="00CC1CB4" w:rsidRDefault="00000000" w:rsidP="00396158">
      <w:pPr>
        <w:pStyle w:val="BeginUSED"/>
        <w:rPr>
          <w:color w:val="244061" w:themeColor="accent1" w:themeShade="80"/>
          <w:sz w:val="28"/>
          <w:lang w:val="es-ES"/>
        </w:rPr>
      </w:pPr>
      <w:bookmarkStart w:id="80" w:name="_Toc122423551"/>
      <w:r>
        <w:rPr>
          <w:rFonts w:eastAsia="Times New Roman"/>
          <w:color w:val="FFFFFF"/>
          <w:szCs w:val="4"/>
          <w:lang w:val="pt-BR"/>
        </w:rPr>
        <w:t>[iniciar o texto do USED]</w:t>
      </w:r>
    </w:p>
    <w:p w14:paraId="57337EAD" w14:textId="77777777" w:rsidR="009545A6" w:rsidRPr="00CC1CB4" w:rsidRDefault="00000000" w:rsidP="00C23BD5">
      <w:pPr>
        <w:pStyle w:val="3"/>
        <w:spacing w:before="0"/>
        <w:rPr>
          <w:lang w:val="es-ES"/>
        </w:rPr>
      </w:pPr>
      <w:bookmarkStart w:id="81" w:name="_Toc211004641"/>
      <w:r>
        <w:rPr>
          <w:rFonts w:ascii="Cambria" w:eastAsia="Cambria" w:hAnsi="Cambria" w:cs="Times New Roman"/>
          <w:szCs w:val="28"/>
          <w:lang w:val="pt-BR"/>
        </w:rPr>
        <w:t>iv. Indicadores do sistema de responsabilidade (Seção 1111(c)(4)(B) da ESEA)</w:t>
      </w:r>
      <w:bookmarkEnd w:id="81"/>
    </w:p>
    <w:p w14:paraId="6D8F9C45" w14:textId="77777777" w:rsidR="0001349F" w:rsidRPr="00CC1CB4" w:rsidRDefault="00000000" w:rsidP="00396158">
      <w:pPr>
        <w:pStyle w:val="EndUSED"/>
        <w:rPr>
          <w:rStyle w:val="af9"/>
          <w:lang w:val="es-ES"/>
        </w:rPr>
      </w:pPr>
      <w:r>
        <w:rPr>
          <w:rFonts w:eastAsia="Times New Roman"/>
          <w:color w:val="FFFFFF"/>
          <w:szCs w:val="4"/>
          <w:lang w:val="pt-BR"/>
        </w:rPr>
        <w:t>[finalizar texto do USED]</w:t>
      </w:r>
    </w:p>
    <w:bookmarkEnd w:id="80"/>
    <w:p w14:paraId="396AF2B6" w14:textId="77777777" w:rsidR="00804CAD" w:rsidRPr="00CC1CB4" w:rsidRDefault="00000000" w:rsidP="00B5485C">
      <w:pPr>
        <w:spacing w:before="240"/>
        <w:rPr>
          <w:rStyle w:val="af9"/>
          <w:rFonts w:cs="Times New Roman"/>
          <w:b w:val="0"/>
          <w:bCs w:val="0"/>
          <w:color w:val="365F91" w:themeColor="accent1" w:themeShade="BF"/>
          <w:sz w:val="22"/>
          <w:lang w:val="es-ES"/>
        </w:rPr>
      </w:pPr>
      <w:r>
        <w:rPr>
          <w:rStyle w:val="NJDOEResponse"/>
          <w:rFonts w:eastAsia="Times New Roman"/>
          <w:color w:val="365F91"/>
          <w:lang w:val="pt-BR"/>
        </w:rPr>
        <w:t>[iniciar a resposta do NJDOE]</w:t>
      </w:r>
    </w:p>
    <w:p w14:paraId="56EDFC78" w14:textId="77777777" w:rsidR="00BE28DD" w:rsidRPr="00CC1CB4" w:rsidRDefault="00000000" w:rsidP="006A5FE5">
      <w:pPr>
        <w:pStyle w:val="4"/>
        <w:rPr>
          <w:lang w:val="es-ES"/>
        </w:rPr>
      </w:pPr>
      <w:bookmarkStart w:id="82" w:name="_Toc199403698"/>
      <w:r>
        <w:rPr>
          <w:rFonts w:ascii="Cambria" w:eastAsia="Cambria" w:hAnsi="Cambria" w:cs="Arial"/>
          <w:szCs w:val="24"/>
          <w:lang w:val="pt-BR"/>
        </w:rPr>
        <w:t>Introdução aos indicadores</w:t>
      </w:r>
      <w:bookmarkEnd w:id="82"/>
      <w:r>
        <w:rPr>
          <w:rFonts w:ascii="Cambria" w:eastAsia="Cambria" w:hAnsi="Cambria" w:cs="Arial"/>
          <w:szCs w:val="24"/>
          <w:lang w:val="pt-BR"/>
        </w:rPr>
        <w:t xml:space="preserve"> </w:t>
      </w:r>
    </w:p>
    <w:p w14:paraId="02FB64F5" w14:textId="77777777" w:rsidR="006415C4" w:rsidRPr="00CC1CB4" w:rsidRDefault="00000000" w:rsidP="006A5FE5">
      <w:pPr>
        <w:rPr>
          <w:lang w:val="es-ES"/>
        </w:rPr>
      </w:pPr>
      <w:r>
        <w:rPr>
          <w:rFonts w:eastAsia="Times New Roman" w:cs="Arial"/>
          <w:lang w:val="pt-BR"/>
        </w:rPr>
        <w:t xml:space="preserve">O sistema de responsabilidade federal exigido pela ESSA é composto por uma série de indicadores que, quando combinados, ajudam os estados a diferenciar significativamente o desempenho das escolas e identificar escolas que precisam de apoio e melhoria. Abaixo está um gráfico resumindo os indicadores propostos pelo NJDOE, cada um dos quais será descrito em detalhes mais adiante nesta seção. Exemplos e informações adicionais sobre cada indicador podem ser encontrados no Guia anual do Acompanhante do Perfil de Responsabilidade da ESSA do NJDOE e outros documentos de orientação, que são publicados na </w:t>
      </w:r>
      <w:hyperlink r:id="rId33">
        <w:r w:rsidR="006415C4">
          <w:rPr>
            <w:rFonts w:eastAsia="Times New Roman" w:cs="Arial"/>
            <w:color w:val="0000FF"/>
            <w:u w:val="single"/>
            <w:lang w:val="pt-BR"/>
          </w:rPr>
          <w:t>página da web de Responsabilidade do NJDOE</w:t>
        </w:r>
      </w:hyperlink>
      <w:r>
        <w:rPr>
          <w:rFonts w:eastAsia="Times New Roman" w:cs="Arial"/>
          <w:lang w:val="pt-BR"/>
        </w:rPr>
        <w:t>.</w:t>
      </w:r>
    </w:p>
    <w:p w14:paraId="015CCAEC" w14:textId="77777777" w:rsidR="00877C1F" w:rsidRPr="00CC1CB4" w:rsidRDefault="00000000" w:rsidP="00F86F30">
      <w:pPr>
        <w:pStyle w:val="aff0"/>
        <w:rPr>
          <w:lang w:val="es-ES"/>
        </w:rPr>
      </w:pPr>
      <w:r>
        <w:rPr>
          <w:rFonts w:eastAsia="Cambria"/>
          <w:lang w:val="pt-BR"/>
        </w:rPr>
        <w:t>Figura A.8: Visão geral dos indicadores da ESSA e principais alterações de 2017 a 2024</w:t>
      </w:r>
    </w:p>
    <w:tbl>
      <w:tblPr>
        <w:tblStyle w:val="6-1"/>
        <w:tblW w:w="94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8" w:type="dxa"/>
          <w:bottom w:w="58" w:type="dxa"/>
        </w:tblCellMar>
        <w:tblLook w:val="0420" w:firstRow="1" w:lastRow="0" w:firstColumn="0" w:lastColumn="0" w:noHBand="0" w:noVBand="1"/>
      </w:tblPr>
      <w:tblGrid>
        <w:gridCol w:w="1431"/>
        <w:gridCol w:w="1604"/>
        <w:gridCol w:w="2374"/>
        <w:gridCol w:w="1392"/>
        <w:gridCol w:w="2644"/>
      </w:tblGrid>
      <w:tr w:rsidR="00C566B2" w14:paraId="033F26A9" w14:textId="77777777" w:rsidTr="00C566B2">
        <w:trPr>
          <w:cnfStyle w:val="100000000000" w:firstRow="1" w:lastRow="0" w:firstColumn="0" w:lastColumn="0" w:oddVBand="0" w:evenVBand="0" w:oddHBand="0" w:evenHBand="0" w:firstRowFirstColumn="0" w:firstRowLastColumn="0" w:lastRowFirstColumn="0" w:lastRowLastColumn="0"/>
          <w:tblHeader/>
        </w:trPr>
        <w:tc>
          <w:tcPr>
            <w:tcW w:w="1433" w:type="dxa"/>
            <w:tcBorders>
              <w:right w:val="single" w:sz="4" w:space="0" w:color="FFFFFF" w:themeColor="background1"/>
            </w:tcBorders>
            <w:shd w:val="clear" w:color="auto" w:fill="215868" w:themeFill="accent5" w:themeFillShade="80"/>
          </w:tcPr>
          <w:p w14:paraId="5FE170E3" w14:textId="77777777" w:rsidR="00712B45" w:rsidRPr="00877316" w:rsidRDefault="00000000">
            <w:pPr>
              <w:pStyle w:val="TableText"/>
              <w:rPr>
                <w:b w:val="0"/>
                <w:bCs w:val="0"/>
                <w:color w:val="FFFFFF" w:themeColor="background1"/>
                <w:sz w:val="22"/>
                <w:szCs w:val="22"/>
              </w:rPr>
            </w:pPr>
            <w:r>
              <w:rPr>
                <w:rFonts w:eastAsia="Times New Roman"/>
                <w:color w:val="FFFFFF"/>
                <w:sz w:val="22"/>
                <w:szCs w:val="22"/>
                <w:lang w:val="pt-BR"/>
              </w:rPr>
              <w:t>Indicador necessário</w:t>
            </w:r>
          </w:p>
        </w:tc>
        <w:tc>
          <w:tcPr>
            <w:tcW w:w="1610" w:type="dxa"/>
            <w:tcBorders>
              <w:left w:val="single" w:sz="4" w:space="0" w:color="FFFFFF" w:themeColor="background1"/>
              <w:right w:val="single" w:sz="4" w:space="0" w:color="FFFFFF" w:themeColor="background1"/>
            </w:tcBorders>
            <w:shd w:val="clear" w:color="auto" w:fill="215868" w:themeFill="accent5" w:themeFillShade="80"/>
          </w:tcPr>
          <w:p w14:paraId="66B4AB4B" w14:textId="77777777" w:rsidR="00712B45" w:rsidRPr="00CC1CB4" w:rsidRDefault="00000000" w:rsidP="004B3A32">
            <w:pPr>
              <w:pStyle w:val="TableText"/>
              <w:jc w:val="center"/>
              <w:rPr>
                <w:b w:val="0"/>
                <w:bCs w:val="0"/>
                <w:color w:val="FFFFFF" w:themeColor="background1"/>
                <w:sz w:val="22"/>
                <w:szCs w:val="22"/>
                <w:lang w:val="es-ES"/>
              </w:rPr>
            </w:pPr>
            <w:r>
              <w:rPr>
                <w:rFonts w:eastAsia="Times New Roman"/>
                <w:color w:val="FFFFFF"/>
                <w:sz w:val="22"/>
                <w:szCs w:val="22"/>
                <w:lang w:val="pt-BR"/>
              </w:rPr>
              <w:t>Medida(s) de Nova Jersey</w:t>
            </w:r>
          </w:p>
        </w:tc>
        <w:tc>
          <w:tcPr>
            <w:tcW w:w="2397" w:type="dxa"/>
            <w:tcBorders>
              <w:left w:val="single" w:sz="4" w:space="0" w:color="FFFFFF" w:themeColor="background1"/>
              <w:right w:val="single" w:sz="4" w:space="0" w:color="FFFFFF" w:themeColor="background1"/>
            </w:tcBorders>
            <w:shd w:val="clear" w:color="auto" w:fill="215868" w:themeFill="accent5" w:themeFillShade="80"/>
          </w:tcPr>
          <w:p w14:paraId="3C1C4C7D" w14:textId="77777777" w:rsidR="00712B45" w:rsidRPr="00877316" w:rsidRDefault="00000000" w:rsidP="004B3A32">
            <w:pPr>
              <w:pStyle w:val="TableText"/>
              <w:jc w:val="center"/>
              <w:rPr>
                <w:b w:val="0"/>
                <w:bCs w:val="0"/>
                <w:color w:val="FFFFFF" w:themeColor="background1"/>
                <w:sz w:val="22"/>
                <w:szCs w:val="22"/>
              </w:rPr>
            </w:pPr>
            <w:r>
              <w:rPr>
                <w:rFonts w:eastAsia="Times New Roman"/>
                <w:color w:val="FFFFFF"/>
                <w:sz w:val="22"/>
                <w:szCs w:val="22"/>
                <w:lang w:val="pt-BR"/>
              </w:rPr>
              <w:t>Descrição</w:t>
            </w:r>
          </w:p>
        </w:tc>
        <w:tc>
          <w:tcPr>
            <w:tcW w:w="1343" w:type="dxa"/>
            <w:tcBorders>
              <w:left w:val="single" w:sz="4" w:space="0" w:color="FFFFFF" w:themeColor="background1"/>
              <w:right w:val="single" w:sz="4" w:space="0" w:color="FFFFFF" w:themeColor="background1"/>
            </w:tcBorders>
            <w:shd w:val="clear" w:color="auto" w:fill="215868" w:themeFill="accent5" w:themeFillShade="80"/>
          </w:tcPr>
          <w:p w14:paraId="24AF34FF" w14:textId="77777777" w:rsidR="00712B45" w:rsidRPr="00877316" w:rsidRDefault="00000000" w:rsidP="004B3A32">
            <w:pPr>
              <w:pStyle w:val="TableText"/>
              <w:jc w:val="center"/>
              <w:rPr>
                <w:b w:val="0"/>
                <w:bCs w:val="0"/>
                <w:color w:val="FFFFFF" w:themeColor="background1"/>
                <w:sz w:val="22"/>
                <w:szCs w:val="22"/>
              </w:rPr>
            </w:pPr>
            <w:r>
              <w:rPr>
                <w:rFonts w:eastAsia="Times New Roman"/>
                <w:color w:val="FFFFFF"/>
                <w:sz w:val="22"/>
                <w:szCs w:val="22"/>
                <w:lang w:val="pt-BR"/>
              </w:rPr>
              <w:t>Ponderação</w:t>
            </w:r>
          </w:p>
        </w:tc>
        <w:tc>
          <w:tcPr>
            <w:tcW w:w="2662" w:type="dxa"/>
            <w:tcBorders>
              <w:left w:val="single" w:sz="4" w:space="0" w:color="FFFFFF" w:themeColor="background1"/>
            </w:tcBorders>
            <w:shd w:val="clear" w:color="auto" w:fill="215868" w:themeFill="accent5" w:themeFillShade="80"/>
          </w:tcPr>
          <w:p w14:paraId="7090EF74" w14:textId="77777777" w:rsidR="00712B45" w:rsidRPr="00877316" w:rsidRDefault="00000000" w:rsidP="004B3A32">
            <w:pPr>
              <w:pStyle w:val="TableText"/>
              <w:jc w:val="center"/>
              <w:rPr>
                <w:b w:val="0"/>
                <w:bCs w:val="0"/>
                <w:color w:val="FFFFFF" w:themeColor="background1"/>
                <w:sz w:val="22"/>
                <w:szCs w:val="22"/>
              </w:rPr>
            </w:pPr>
            <w:r>
              <w:rPr>
                <w:rFonts w:eastAsia="Times New Roman"/>
                <w:color w:val="FFFFFF"/>
                <w:sz w:val="22"/>
                <w:szCs w:val="22"/>
                <w:lang w:val="pt-BR"/>
              </w:rPr>
              <w:t>Alterações em relação a 2017</w:t>
            </w:r>
          </w:p>
        </w:tc>
      </w:tr>
      <w:tr w:rsidR="00C566B2" w:rsidRPr="00C04CDD" w14:paraId="598C5722" w14:textId="77777777" w:rsidTr="00C566B2">
        <w:trPr>
          <w:cnfStyle w:val="000000100000" w:firstRow="0" w:lastRow="0" w:firstColumn="0" w:lastColumn="0" w:oddVBand="0" w:evenVBand="0" w:oddHBand="1" w:evenHBand="0" w:firstRowFirstColumn="0" w:firstRowLastColumn="0" w:lastRowFirstColumn="0" w:lastRowLastColumn="0"/>
        </w:trPr>
        <w:tc>
          <w:tcPr>
            <w:tcW w:w="1433" w:type="dxa"/>
          </w:tcPr>
          <w:p w14:paraId="28BADC11" w14:textId="77777777" w:rsidR="00712B45" w:rsidRPr="00877316" w:rsidRDefault="00000000">
            <w:pPr>
              <w:pStyle w:val="TableText"/>
              <w:rPr>
                <w:color w:val="000000" w:themeColor="text1"/>
                <w:sz w:val="22"/>
                <w:szCs w:val="22"/>
              </w:rPr>
            </w:pPr>
            <w:r>
              <w:rPr>
                <w:rFonts w:eastAsia="Times New Roman"/>
                <w:color w:val="000000"/>
                <w:sz w:val="22"/>
                <w:szCs w:val="22"/>
                <w:lang w:val="pt-BR"/>
              </w:rPr>
              <w:t>Realização acadêmica</w:t>
            </w:r>
          </w:p>
        </w:tc>
        <w:tc>
          <w:tcPr>
            <w:tcW w:w="1610" w:type="dxa"/>
          </w:tcPr>
          <w:p w14:paraId="23993446" w14:textId="77777777" w:rsidR="00712B45" w:rsidRPr="00CC1CB4" w:rsidRDefault="00000000">
            <w:pPr>
              <w:pStyle w:val="TableText"/>
              <w:rPr>
                <w:color w:val="000000" w:themeColor="text1"/>
                <w:sz w:val="22"/>
                <w:szCs w:val="22"/>
                <w:lang w:val="es-ES"/>
              </w:rPr>
            </w:pPr>
            <w:r>
              <w:rPr>
                <w:rFonts w:eastAsia="Times New Roman"/>
                <w:color w:val="000000"/>
                <w:sz w:val="22"/>
                <w:szCs w:val="22"/>
                <w:lang w:val="pt-BR"/>
              </w:rPr>
              <w:t>Taxas de proficiência em ELA e matemática em avaliações anuais em todo o estado</w:t>
            </w:r>
          </w:p>
        </w:tc>
        <w:tc>
          <w:tcPr>
            <w:tcW w:w="2397" w:type="dxa"/>
          </w:tcPr>
          <w:p w14:paraId="47771F78" w14:textId="77777777" w:rsidR="00712B45" w:rsidRPr="00CC1CB4" w:rsidRDefault="00000000">
            <w:pPr>
              <w:pStyle w:val="TableText"/>
              <w:rPr>
                <w:color w:val="000000" w:themeColor="text1"/>
                <w:sz w:val="22"/>
                <w:szCs w:val="22"/>
                <w:lang w:val="es-ES"/>
              </w:rPr>
            </w:pPr>
            <w:r>
              <w:rPr>
                <w:rFonts w:eastAsia="Times New Roman"/>
                <w:color w:val="000000"/>
                <w:sz w:val="22"/>
                <w:szCs w:val="22"/>
                <w:lang w:val="pt-BR"/>
              </w:rPr>
              <w:t xml:space="preserve">Porcentagem de alunos que atendem aos padrões de nível de ano na avaliação anual estadual em </w:t>
            </w:r>
            <w:r>
              <w:rPr>
                <w:rFonts w:eastAsia="Times New Roman"/>
                <w:color w:val="auto"/>
                <w:sz w:val="22"/>
                <w:szCs w:val="22"/>
                <w:lang w:val="pt-BR"/>
              </w:rPr>
              <w:t xml:space="preserve">ELA e matemática (inclui </w:t>
            </w:r>
            <w:r>
              <w:rPr>
                <w:rFonts w:eastAsia="Times New Roman"/>
                <w:color w:val="auto"/>
                <w:sz w:val="22"/>
                <w:szCs w:val="22"/>
                <w:lang w:val="pt-BR"/>
              </w:rPr>
              <w:lastRenderedPageBreak/>
              <w:t>alunos no 3º a 8º ano e ensino médio).</w:t>
            </w:r>
          </w:p>
        </w:tc>
        <w:tc>
          <w:tcPr>
            <w:tcW w:w="1343" w:type="dxa"/>
          </w:tcPr>
          <w:p w14:paraId="3FFF27B8" w14:textId="77777777" w:rsidR="00712B45" w:rsidRPr="00877316" w:rsidRDefault="00000000" w:rsidP="00712B45">
            <w:pPr>
              <w:pStyle w:val="TableText"/>
              <w:ind w:left="76"/>
              <w:jc w:val="center"/>
              <w:rPr>
                <w:b/>
                <w:bCs/>
                <w:color w:val="000000" w:themeColor="text1"/>
                <w:sz w:val="22"/>
                <w:szCs w:val="22"/>
              </w:rPr>
            </w:pPr>
            <w:r>
              <w:rPr>
                <w:rFonts w:eastAsia="Times New Roman"/>
                <w:b/>
                <w:bCs/>
                <w:color w:val="000000"/>
                <w:sz w:val="22"/>
                <w:szCs w:val="22"/>
                <w:lang w:val="pt-BR"/>
              </w:rPr>
              <w:lastRenderedPageBreak/>
              <w:t>30%</w:t>
            </w:r>
          </w:p>
        </w:tc>
        <w:tc>
          <w:tcPr>
            <w:tcW w:w="2662" w:type="dxa"/>
          </w:tcPr>
          <w:p w14:paraId="3AA3919D" w14:textId="77777777" w:rsidR="006415C4" w:rsidRPr="00CC1CB4" w:rsidRDefault="00000000" w:rsidP="006B63D7">
            <w:pPr>
              <w:pStyle w:val="TableText"/>
              <w:ind w:left="46"/>
              <w:rPr>
                <w:rStyle w:val="af9"/>
                <w:b w:val="0"/>
                <w:bCs w:val="0"/>
                <w:sz w:val="22"/>
                <w:szCs w:val="22"/>
                <w:lang w:val="es-ES"/>
              </w:rPr>
            </w:pPr>
            <w:r>
              <w:rPr>
                <w:rStyle w:val="af9"/>
                <w:rFonts w:eastAsia="Times New Roman"/>
                <w:b w:val="0"/>
                <w:bCs w:val="0"/>
                <w:color w:val="000000"/>
                <w:sz w:val="22"/>
                <w:szCs w:val="22"/>
                <w:lang w:val="pt-BR"/>
              </w:rPr>
              <w:t>Nenhuma alteração.</w:t>
            </w:r>
          </w:p>
          <w:p w14:paraId="301610B9" w14:textId="77777777" w:rsidR="00712B45" w:rsidRPr="00CC1CB4" w:rsidRDefault="00000000" w:rsidP="00F05F80">
            <w:pPr>
              <w:pStyle w:val="TableText"/>
              <w:ind w:left="46"/>
              <w:rPr>
                <w:b/>
                <w:bCs/>
                <w:color w:val="000000" w:themeColor="text1"/>
                <w:sz w:val="22"/>
                <w:szCs w:val="22"/>
                <w:lang w:val="es-ES"/>
              </w:rPr>
            </w:pPr>
            <w:r>
              <w:rPr>
                <w:rStyle w:val="af9"/>
                <w:rFonts w:eastAsia="Times New Roman"/>
                <w:b w:val="0"/>
                <w:bCs w:val="0"/>
                <w:color w:val="000000"/>
                <w:sz w:val="22"/>
                <w:szCs w:val="22"/>
                <w:lang w:val="pt-BR"/>
              </w:rPr>
              <w:t xml:space="preserve">O NJDOE explorará medidas de proficiência baseadas em índice durante o ano letivo de 2024-2025 para inclusão futura no sistema de </w:t>
            </w:r>
            <w:r>
              <w:rPr>
                <w:rStyle w:val="af9"/>
                <w:rFonts w:eastAsia="Times New Roman"/>
                <w:b w:val="0"/>
                <w:bCs w:val="0"/>
                <w:color w:val="000000"/>
                <w:sz w:val="22"/>
                <w:szCs w:val="22"/>
                <w:lang w:val="pt-BR"/>
              </w:rPr>
              <w:lastRenderedPageBreak/>
              <w:t>responsabilização. O NJDOE tem como objetivo avaliar a métrica e, em seguida, reportar publicamente a nova métrica por pelo menos um ano antes de adicioná-la ao</w:t>
            </w:r>
            <w:r>
              <w:rPr>
                <w:rStyle w:val="af9"/>
                <w:rFonts w:eastAsia="Times New Roman"/>
                <w:color w:val="000000"/>
                <w:sz w:val="22"/>
                <w:szCs w:val="22"/>
                <w:lang w:val="pt-BR"/>
              </w:rPr>
              <w:t xml:space="preserve"> </w:t>
            </w:r>
            <w:r>
              <w:rPr>
                <w:rStyle w:val="af9"/>
                <w:rFonts w:eastAsia="Times New Roman"/>
                <w:b w:val="0"/>
                <w:bCs w:val="0"/>
                <w:color w:val="000000"/>
                <w:sz w:val="22"/>
                <w:szCs w:val="22"/>
                <w:lang w:val="pt-BR"/>
              </w:rPr>
              <w:t xml:space="preserve">sistema de responsabilização. Uma medida baseada em índice pode diferenciar melhor as escolas com os alunos mais distantes do nível do ano e, portanto, na maioria das necessidades de apoio. </w:t>
            </w:r>
          </w:p>
        </w:tc>
      </w:tr>
      <w:tr w:rsidR="00C566B2" w14:paraId="033A2629" w14:textId="77777777" w:rsidTr="00C566B2">
        <w:trPr>
          <w:cantSplit/>
        </w:trPr>
        <w:tc>
          <w:tcPr>
            <w:tcW w:w="1433" w:type="dxa"/>
          </w:tcPr>
          <w:p w14:paraId="77F78997" w14:textId="77777777" w:rsidR="00712B45" w:rsidRPr="00CC1CB4" w:rsidRDefault="00000000">
            <w:pPr>
              <w:pStyle w:val="TableText"/>
              <w:rPr>
                <w:color w:val="000000" w:themeColor="text1"/>
                <w:sz w:val="22"/>
                <w:szCs w:val="22"/>
                <w:lang w:val="es-ES"/>
              </w:rPr>
            </w:pPr>
            <w:r>
              <w:rPr>
                <w:rFonts w:eastAsia="Times New Roman"/>
                <w:color w:val="000000"/>
                <w:sz w:val="22"/>
                <w:szCs w:val="22"/>
                <w:lang w:val="pt-BR"/>
              </w:rPr>
              <w:lastRenderedPageBreak/>
              <w:t>Progresso acadêmico (aplicável às escolas de ensino fundamental e médio)</w:t>
            </w:r>
          </w:p>
        </w:tc>
        <w:tc>
          <w:tcPr>
            <w:tcW w:w="1610" w:type="dxa"/>
          </w:tcPr>
          <w:p w14:paraId="6E6668AE" w14:textId="77777777" w:rsidR="00712B45" w:rsidRPr="00CC1CB4" w:rsidRDefault="00000000">
            <w:pPr>
              <w:pStyle w:val="TableText"/>
              <w:rPr>
                <w:color w:val="000000" w:themeColor="text1"/>
                <w:sz w:val="22"/>
                <w:szCs w:val="22"/>
                <w:lang w:val="es-ES"/>
              </w:rPr>
            </w:pPr>
            <w:r>
              <w:rPr>
                <w:rFonts w:eastAsia="Times New Roman"/>
                <w:color w:val="000000"/>
                <w:sz w:val="22"/>
                <w:szCs w:val="22"/>
                <w:lang w:val="pt-BR"/>
              </w:rPr>
              <w:t>ELA e percentis medianos de crescimento estudantil em matemática (mSGP)</w:t>
            </w:r>
          </w:p>
        </w:tc>
        <w:tc>
          <w:tcPr>
            <w:tcW w:w="2397" w:type="dxa"/>
          </w:tcPr>
          <w:p w14:paraId="69CABABE" w14:textId="77777777" w:rsidR="00712B45" w:rsidRPr="00CC1CB4" w:rsidRDefault="00000000">
            <w:pPr>
              <w:pStyle w:val="TableText"/>
              <w:rPr>
                <w:color w:val="000000" w:themeColor="text1"/>
                <w:sz w:val="22"/>
                <w:szCs w:val="22"/>
                <w:lang w:val="es-ES"/>
              </w:rPr>
            </w:pPr>
            <w:r>
              <w:rPr>
                <w:rFonts w:eastAsia="Times New Roman"/>
                <w:color w:val="000000"/>
                <w:sz w:val="22"/>
                <w:szCs w:val="22"/>
                <w:lang w:val="pt-BR"/>
              </w:rPr>
              <w:t>Percentis medianos de crescimento estudantil (mSGP) para ELA e matemática, que medem o crescimento estudantil de um ano para o próximo em comparação com seus pares acadêmicos (inclui alunos nos anos 4 a 8 para ELA e nos anos 4 a 7 para matemática).</w:t>
            </w:r>
          </w:p>
        </w:tc>
        <w:tc>
          <w:tcPr>
            <w:tcW w:w="1343" w:type="dxa"/>
          </w:tcPr>
          <w:p w14:paraId="216AFBA5" w14:textId="77777777" w:rsidR="00712B45" w:rsidRPr="00CC1CB4" w:rsidRDefault="00000000" w:rsidP="00712B45">
            <w:pPr>
              <w:pStyle w:val="TableText"/>
              <w:ind w:left="76"/>
              <w:jc w:val="center"/>
              <w:rPr>
                <w:color w:val="000000" w:themeColor="text1"/>
                <w:sz w:val="22"/>
                <w:szCs w:val="22"/>
                <w:lang w:val="es-ES"/>
              </w:rPr>
            </w:pPr>
            <w:r>
              <w:rPr>
                <w:rFonts w:eastAsia="Times New Roman"/>
                <w:b/>
                <w:bCs/>
                <w:color w:val="000000"/>
                <w:sz w:val="22"/>
                <w:szCs w:val="22"/>
                <w:lang w:val="pt-BR"/>
              </w:rPr>
              <w:t>40%</w:t>
            </w:r>
            <w:r>
              <w:rPr>
                <w:rFonts w:eastAsia="Times New Roman"/>
                <w:color w:val="000000"/>
                <w:sz w:val="22"/>
                <w:szCs w:val="22"/>
                <w:lang w:val="pt-BR"/>
              </w:rPr>
              <w:br/>
              <w:t>(apenas escolas de ensino fundamental e médio)</w:t>
            </w:r>
          </w:p>
        </w:tc>
        <w:tc>
          <w:tcPr>
            <w:tcW w:w="2662" w:type="dxa"/>
          </w:tcPr>
          <w:p w14:paraId="20449CA5" w14:textId="77777777" w:rsidR="00712B45" w:rsidRPr="00877316" w:rsidRDefault="00000000" w:rsidP="00325321">
            <w:pPr>
              <w:pStyle w:val="TableText"/>
              <w:ind w:left="46"/>
              <w:rPr>
                <w:color w:val="000000" w:themeColor="text1"/>
                <w:sz w:val="22"/>
                <w:szCs w:val="22"/>
              </w:rPr>
            </w:pPr>
            <w:r>
              <w:rPr>
                <w:rFonts w:eastAsia="Times New Roman"/>
                <w:color w:val="000000"/>
                <w:sz w:val="22"/>
                <w:szCs w:val="22"/>
                <w:lang w:val="pt-BR"/>
              </w:rPr>
              <w:t>Nenhuma alteração</w:t>
            </w:r>
          </w:p>
        </w:tc>
      </w:tr>
      <w:tr w:rsidR="00C566B2" w:rsidRPr="00C04CDD" w14:paraId="5A093C47" w14:textId="77777777" w:rsidTr="00C566B2">
        <w:trPr>
          <w:cnfStyle w:val="000000100000" w:firstRow="0" w:lastRow="0" w:firstColumn="0" w:lastColumn="0" w:oddVBand="0" w:evenVBand="0" w:oddHBand="1" w:evenHBand="0" w:firstRowFirstColumn="0" w:firstRowLastColumn="0" w:lastRowFirstColumn="0" w:lastRowLastColumn="0"/>
          <w:cantSplit/>
        </w:trPr>
        <w:tc>
          <w:tcPr>
            <w:tcW w:w="1433" w:type="dxa"/>
          </w:tcPr>
          <w:p w14:paraId="68D6998E" w14:textId="77777777" w:rsidR="001D7D73" w:rsidRPr="00CC1CB4" w:rsidRDefault="00000000" w:rsidP="001D7D73">
            <w:pPr>
              <w:pStyle w:val="TableText"/>
              <w:rPr>
                <w:color w:val="000000" w:themeColor="text1"/>
                <w:sz w:val="22"/>
                <w:szCs w:val="22"/>
                <w:lang w:val="es-ES"/>
              </w:rPr>
            </w:pPr>
            <w:r>
              <w:rPr>
                <w:rFonts w:eastAsia="Times New Roman"/>
                <w:color w:val="000000"/>
                <w:sz w:val="22"/>
                <w:szCs w:val="22"/>
                <w:lang w:val="pt-BR"/>
              </w:rPr>
              <w:lastRenderedPageBreak/>
              <w:t>Taxa de formação (aplicável às escolas de ensino médio)</w:t>
            </w:r>
          </w:p>
        </w:tc>
        <w:tc>
          <w:tcPr>
            <w:tcW w:w="1610" w:type="dxa"/>
          </w:tcPr>
          <w:p w14:paraId="0BCDD24E" w14:textId="77777777" w:rsidR="001D7D73" w:rsidRPr="00CC1CB4" w:rsidRDefault="00000000" w:rsidP="001D7D73">
            <w:pPr>
              <w:pStyle w:val="TableText"/>
              <w:rPr>
                <w:color w:val="000000" w:themeColor="text1"/>
                <w:sz w:val="22"/>
                <w:szCs w:val="22"/>
                <w:lang w:val="es-ES"/>
              </w:rPr>
            </w:pPr>
            <w:r>
              <w:rPr>
                <w:rFonts w:eastAsia="Times New Roman"/>
                <w:color w:val="000000"/>
                <w:sz w:val="22"/>
                <w:szCs w:val="22"/>
                <w:lang w:val="pt-BR"/>
              </w:rPr>
              <w:t>Taxas de formação de 4 anos, 5 anos e 6 anos</w:t>
            </w:r>
          </w:p>
        </w:tc>
        <w:tc>
          <w:tcPr>
            <w:tcW w:w="2397" w:type="dxa"/>
          </w:tcPr>
          <w:p w14:paraId="7209AC29" w14:textId="77777777" w:rsidR="001D7D73" w:rsidRPr="00CC1CB4" w:rsidRDefault="00000000" w:rsidP="00B37063">
            <w:pPr>
              <w:pStyle w:val="TableText"/>
              <w:rPr>
                <w:color w:val="000000" w:themeColor="text1"/>
                <w:sz w:val="22"/>
                <w:szCs w:val="22"/>
                <w:lang w:val="es-ES"/>
              </w:rPr>
            </w:pPr>
            <w:r>
              <w:rPr>
                <w:rFonts w:eastAsia="Times New Roman"/>
                <w:color w:val="000000"/>
                <w:sz w:val="22"/>
                <w:szCs w:val="22"/>
                <w:lang w:val="pt-BR"/>
              </w:rPr>
              <w:t>Usando a metodologia de grupo ajustado, a porcentagem de alunos que se formaram dentro de 4, 5 ou 6 anos após entrar no nono ano.</w:t>
            </w:r>
          </w:p>
        </w:tc>
        <w:tc>
          <w:tcPr>
            <w:tcW w:w="1343" w:type="dxa"/>
          </w:tcPr>
          <w:p w14:paraId="781E9914" w14:textId="77777777" w:rsidR="001D7D73" w:rsidRPr="00CC1CB4" w:rsidRDefault="00000000" w:rsidP="001D7D73">
            <w:pPr>
              <w:pStyle w:val="TableText"/>
              <w:ind w:left="76"/>
              <w:jc w:val="center"/>
              <w:rPr>
                <w:color w:val="000000" w:themeColor="text1"/>
                <w:sz w:val="22"/>
                <w:szCs w:val="22"/>
                <w:lang w:val="es-ES"/>
              </w:rPr>
            </w:pPr>
            <w:r>
              <w:rPr>
                <w:rFonts w:eastAsia="Times New Roman"/>
                <w:b/>
                <w:bCs/>
                <w:color w:val="000000"/>
                <w:sz w:val="22"/>
                <w:szCs w:val="22"/>
                <w:lang w:val="pt-BR"/>
              </w:rPr>
              <w:t>40%</w:t>
            </w:r>
            <w:r>
              <w:rPr>
                <w:rFonts w:eastAsia="Times New Roman"/>
                <w:color w:val="000000"/>
                <w:sz w:val="22"/>
                <w:szCs w:val="22"/>
                <w:lang w:val="pt-BR"/>
              </w:rPr>
              <w:br/>
              <w:t>(apenas escolas de ensino médio)</w:t>
            </w:r>
          </w:p>
        </w:tc>
        <w:tc>
          <w:tcPr>
            <w:tcW w:w="2662" w:type="dxa"/>
          </w:tcPr>
          <w:p w14:paraId="48E37B97" w14:textId="77777777" w:rsidR="001D7D73" w:rsidRPr="00CC1CB4" w:rsidRDefault="00000000" w:rsidP="00D272AB">
            <w:pPr>
              <w:pStyle w:val="TableText"/>
              <w:rPr>
                <w:color w:val="000000" w:themeColor="text1"/>
                <w:sz w:val="22"/>
                <w:szCs w:val="22"/>
                <w:lang w:val="es-ES"/>
              </w:rPr>
            </w:pPr>
            <w:r>
              <w:rPr>
                <w:rStyle w:val="af9"/>
                <w:rFonts w:eastAsia="Times New Roman"/>
                <w:b w:val="0"/>
                <w:bCs w:val="0"/>
                <w:color w:val="000000"/>
                <w:sz w:val="22"/>
                <w:szCs w:val="22"/>
                <w:lang w:val="pt-BR"/>
              </w:rPr>
              <w:t xml:space="preserve">Adição da taxa de formação de grupo ajustado de 6 anos como parte do cálculo geral da taxa de formação, começando com o ano letivo de 2023-2024. Permite que o NJDOE recompense melhor as escolas por continuarem a apoiar a matrícula para alunos que precisam de mais tempo para a conclusão. A taxa de 4 anos continuaria a ser responsável por 50% do indicador, e as taxas de 5 e 6 anos seriam responsáveis por 25% cada. </w:t>
            </w:r>
          </w:p>
        </w:tc>
      </w:tr>
      <w:tr w:rsidR="00C566B2" w14:paraId="262CE116" w14:textId="77777777" w:rsidTr="00C566B2">
        <w:tc>
          <w:tcPr>
            <w:tcW w:w="1433" w:type="dxa"/>
          </w:tcPr>
          <w:p w14:paraId="2F5A4344" w14:textId="77777777" w:rsidR="001D7D73" w:rsidRPr="00CC1CB4" w:rsidRDefault="00000000" w:rsidP="001D7D73">
            <w:pPr>
              <w:pStyle w:val="TableText"/>
              <w:rPr>
                <w:color w:val="000000" w:themeColor="text1"/>
                <w:sz w:val="22"/>
                <w:szCs w:val="22"/>
                <w:lang w:val="es-ES"/>
              </w:rPr>
            </w:pPr>
            <w:r>
              <w:rPr>
                <w:rFonts w:eastAsia="Times New Roman"/>
                <w:color w:val="000000"/>
                <w:sz w:val="22"/>
                <w:szCs w:val="22"/>
                <w:lang w:val="pt-BR"/>
              </w:rPr>
              <w:t>Progresso em direção à obtenção da proficiência em inglês</w:t>
            </w:r>
          </w:p>
        </w:tc>
        <w:tc>
          <w:tcPr>
            <w:tcW w:w="1610" w:type="dxa"/>
          </w:tcPr>
          <w:p w14:paraId="34D34884" w14:textId="77777777" w:rsidR="001D7D73" w:rsidRPr="00C04CDD" w:rsidRDefault="00000000" w:rsidP="001D7D73">
            <w:pPr>
              <w:pStyle w:val="TableText"/>
              <w:rPr>
                <w:color w:val="000000" w:themeColor="text1"/>
                <w:sz w:val="22"/>
                <w:szCs w:val="22"/>
                <w:lang w:val="it-CH"/>
              </w:rPr>
            </w:pPr>
            <w:r>
              <w:rPr>
                <w:rFonts w:eastAsia="Times New Roman"/>
                <w:color w:val="000000"/>
                <w:sz w:val="22"/>
                <w:szCs w:val="22"/>
                <w:lang w:val="pt-BR"/>
              </w:rPr>
              <w:t>Progresso em direção à proficiência em inglês</w:t>
            </w:r>
          </w:p>
        </w:tc>
        <w:tc>
          <w:tcPr>
            <w:tcW w:w="2397" w:type="dxa"/>
          </w:tcPr>
          <w:p w14:paraId="2891CE5D" w14:textId="77777777" w:rsidR="001D7D73" w:rsidRPr="00CC1CB4" w:rsidRDefault="00000000" w:rsidP="00380620">
            <w:pPr>
              <w:pStyle w:val="TableText"/>
              <w:rPr>
                <w:color w:val="000000" w:themeColor="text1"/>
                <w:sz w:val="22"/>
                <w:szCs w:val="22"/>
                <w:lang w:val="es-ES"/>
              </w:rPr>
            </w:pPr>
            <w:r>
              <w:rPr>
                <w:rFonts w:eastAsia="Times New Roman"/>
                <w:color w:val="000000"/>
                <w:sz w:val="22"/>
                <w:szCs w:val="22"/>
                <w:lang w:val="pt-BR"/>
              </w:rPr>
              <w:t>Porcentagem de alunos multilíngues fazendo progresso esperado de um ano para o próximo na avaliação sumativa do ACCESS for ELLs (da pré-escola ao 12º ano).</w:t>
            </w:r>
          </w:p>
        </w:tc>
        <w:tc>
          <w:tcPr>
            <w:tcW w:w="1343" w:type="dxa"/>
          </w:tcPr>
          <w:p w14:paraId="7CA69A87" w14:textId="77777777" w:rsidR="001D7D73" w:rsidRPr="00877316" w:rsidRDefault="00000000" w:rsidP="001D7D73">
            <w:pPr>
              <w:pStyle w:val="TableText"/>
              <w:ind w:left="76"/>
              <w:jc w:val="center"/>
              <w:rPr>
                <w:b/>
                <w:bCs/>
                <w:color w:val="000000" w:themeColor="text1"/>
                <w:sz w:val="22"/>
                <w:szCs w:val="22"/>
              </w:rPr>
            </w:pPr>
            <w:r>
              <w:rPr>
                <w:rFonts w:eastAsia="Times New Roman"/>
                <w:b/>
                <w:bCs/>
                <w:color w:val="000000"/>
                <w:sz w:val="22"/>
                <w:szCs w:val="22"/>
                <w:lang w:val="pt-BR"/>
              </w:rPr>
              <w:t>20%</w:t>
            </w:r>
          </w:p>
        </w:tc>
        <w:tc>
          <w:tcPr>
            <w:tcW w:w="2662" w:type="dxa"/>
          </w:tcPr>
          <w:p w14:paraId="1E831798" w14:textId="77777777" w:rsidR="001D7D73" w:rsidRPr="00877316" w:rsidRDefault="00000000" w:rsidP="001D7D73">
            <w:pPr>
              <w:pStyle w:val="TableText"/>
              <w:ind w:left="46"/>
              <w:rPr>
                <w:color w:val="000000" w:themeColor="text1"/>
                <w:sz w:val="22"/>
                <w:szCs w:val="22"/>
              </w:rPr>
            </w:pPr>
            <w:r>
              <w:rPr>
                <w:rFonts w:eastAsia="Times New Roman"/>
                <w:color w:val="000000"/>
                <w:sz w:val="22"/>
                <w:szCs w:val="22"/>
                <w:lang w:val="pt-BR"/>
              </w:rPr>
              <w:t>Nenhuma alteração</w:t>
            </w:r>
          </w:p>
        </w:tc>
      </w:tr>
      <w:tr w:rsidR="00C566B2" w14:paraId="45A09E1B" w14:textId="77777777" w:rsidTr="00C566B2">
        <w:trPr>
          <w:cnfStyle w:val="000000100000" w:firstRow="0" w:lastRow="0" w:firstColumn="0" w:lastColumn="0" w:oddVBand="0" w:evenVBand="0" w:oddHBand="1" w:evenHBand="0" w:firstRowFirstColumn="0" w:firstRowLastColumn="0" w:lastRowFirstColumn="0" w:lastRowLastColumn="0"/>
        </w:trPr>
        <w:tc>
          <w:tcPr>
            <w:tcW w:w="1433" w:type="dxa"/>
          </w:tcPr>
          <w:p w14:paraId="22C3CBAE" w14:textId="77777777" w:rsidR="001D7D73" w:rsidRPr="00CC1CB4" w:rsidRDefault="00000000" w:rsidP="001D7D73">
            <w:pPr>
              <w:pStyle w:val="TableText"/>
              <w:rPr>
                <w:color w:val="000000" w:themeColor="text1"/>
                <w:sz w:val="22"/>
                <w:szCs w:val="22"/>
                <w:lang w:val="es-ES"/>
              </w:rPr>
            </w:pPr>
            <w:r>
              <w:rPr>
                <w:rFonts w:eastAsia="Times New Roman"/>
                <w:color w:val="000000"/>
                <w:sz w:val="22"/>
                <w:szCs w:val="22"/>
                <w:lang w:val="pt-BR"/>
              </w:rPr>
              <w:t xml:space="preserve">Qualidade escolar ou sucesso do aluno </w:t>
            </w:r>
          </w:p>
        </w:tc>
        <w:tc>
          <w:tcPr>
            <w:tcW w:w="1610" w:type="dxa"/>
          </w:tcPr>
          <w:p w14:paraId="4C699F03" w14:textId="77777777" w:rsidR="001D7D73" w:rsidRPr="00877316" w:rsidRDefault="00000000" w:rsidP="001D7D73">
            <w:pPr>
              <w:pStyle w:val="TableText"/>
              <w:rPr>
                <w:color w:val="000000" w:themeColor="text1"/>
                <w:sz w:val="22"/>
                <w:szCs w:val="22"/>
              </w:rPr>
            </w:pPr>
            <w:r>
              <w:rPr>
                <w:rFonts w:eastAsia="Times New Roman"/>
                <w:color w:val="000000"/>
                <w:sz w:val="22"/>
                <w:szCs w:val="22"/>
                <w:lang w:val="pt-BR"/>
              </w:rPr>
              <w:t>Absenteísmo crônico</w:t>
            </w:r>
          </w:p>
        </w:tc>
        <w:tc>
          <w:tcPr>
            <w:tcW w:w="2397" w:type="dxa"/>
          </w:tcPr>
          <w:p w14:paraId="0B0616E7" w14:textId="77777777" w:rsidR="001D7D73" w:rsidRPr="00CC1CB4" w:rsidRDefault="00000000" w:rsidP="004B3A32">
            <w:pPr>
              <w:pStyle w:val="TableText"/>
              <w:rPr>
                <w:color w:val="auto"/>
                <w:sz w:val="22"/>
                <w:szCs w:val="22"/>
                <w:lang w:val="es-ES"/>
              </w:rPr>
            </w:pPr>
            <w:r>
              <w:rPr>
                <w:rFonts w:eastAsia="Times New Roman"/>
                <w:color w:val="auto"/>
                <w:sz w:val="22"/>
                <w:szCs w:val="22"/>
                <w:lang w:val="pt-BR"/>
              </w:rPr>
              <w:t>Porcentagem de alunos dos ensinos fundamental e médio que estão cronicamente ausentes, o que significa que não estavam presentes por 10% ou mais dos dias de afiliação.</w:t>
            </w:r>
          </w:p>
        </w:tc>
        <w:tc>
          <w:tcPr>
            <w:tcW w:w="1343" w:type="dxa"/>
          </w:tcPr>
          <w:p w14:paraId="03A9431C" w14:textId="77777777" w:rsidR="001D7D73" w:rsidRPr="00877316" w:rsidRDefault="00000000" w:rsidP="001D7D73">
            <w:pPr>
              <w:pStyle w:val="TableText"/>
              <w:ind w:left="76"/>
              <w:jc w:val="center"/>
              <w:rPr>
                <w:b/>
                <w:color w:val="auto"/>
                <w:sz w:val="22"/>
                <w:szCs w:val="22"/>
              </w:rPr>
            </w:pPr>
            <w:r>
              <w:rPr>
                <w:rFonts w:eastAsia="Times New Roman"/>
                <w:b/>
                <w:bCs/>
                <w:color w:val="auto"/>
                <w:sz w:val="22"/>
                <w:szCs w:val="22"/>
                <w:lang w:val="pt-BR"/>
              </w:rPr>
              <w:t>10%</w:t>
            </w:r>
          </w:p>
        </w:tc>
        <w:tc>
          <w:tcPr>
            <w:tcW w:w="2662" w:type="dxa"/>
          </w:tcPr>
          <w:p w14:paraId="0F803C93" w14:textId="77777777" w:rsidR="001D7D73" w:rsidRPr="00877316" w:rsidRDefault="00000000" w:rsidP="001D7D73">
            <w:pPr>
              <w:pStyle w:val="TableText"/>
              <w:ind w:left="46"/>
              <w:rPr>
                <w:color w:val="auto"/>
                <w:sz w:val="22"/>
                <w:szCs w:val="22"/>
              </w:rPr>
            </w:pPr>
            <w:r>
              <w:rPr>
                <w:rFonts w:eastAsia="Times New Roman"/>
                <w:color w:val="auto"/>
                <w:sz w:val="22"/>
                <w:szCs w:val="22"/>
                <w:lang w:val="pt-BR"/>
              </w:rPr>
              <w:t>Nenhuma alteração</w:t>
            </w:r>
          </w:p>
        </w:tc>
      </w:tr>
      <w:tr w:rsidR="00C566B2" w:rsidRPr="00C04CDD" w14:paraId="78361306" w14:textId="77777777" w:rsidTr="00C566B2">
        <w:trPr>
          <w:trHeight w:val="2319"/>
        </w:trPr>
        <w:tc>
          <w:tcPr>
            <w:tcW w:w="1433" w:type="dxa"/>
          </w:tcPr>
          <w:p w14:paraId="3DDE4F52" w14:textId="77777777" w:rsidR="00F707BD" w:rsidRPr="00CC1CB4" w:rsidRDefault="00000000" w:rsidP="001D7D73">
            <w:pPr>
              <w:pStyle w:val="TableText"/>
              <w:rPr>
                <w:color w:val="000000" w:themeColor="text1"/>
                <w:sz w:val="22"/>
                <w:szCs w:val="22"/>
                <w:lang w:val="es-ES"/>
              </w:rPr>
            </w:pPr>
            <w:r>
              <w:rPr>
                <w:rFonts w:eastAsia="Times New Roman"/>
                <w:color w:val="000000"/>
                <w:sz w:val="22"/>
                <w:szCs w:val="22"/>
                <w:lang w:val="pt-BR"/>
              </w:rPr>
              <w:lastRenderedPageBreak/>
              <w:t>Qualidade escolar ou sucesso do aluno (aplicável às escolas de ensino médio)</w:t>
            </w:r>
          </w:p>
        </w:tc>
        <w:tc>
          <w:tcPr>
            <w:tcW w:w="1610" w:type="dxa"/>
          </w:tcPr>
          <w:p w14:paraId="1495CAA4" w14:textId="77777777" w:rsidR="0006039E" w:rsidRPr="00877316" w:rsidRDefault="00000000" w:rsidP="001D7D73">
            <w:pPr>
              <w:pStyle w:val="TableText"/>
              <w:rPr>
                <w:color w:val="000000" w:themeColor="text1"/>
                <w:sz w:val="22"/>
                <w:szCs w:val="22"/>
              </w:rPr>
            </w:pPr>
            <w:r>
              <w:rPr>
                <w:rFonts w:eastAsia="Times New Roman"/>
                <w:color w:val="000000"/>
                <w:sz w:val="22"/>
                <w:szCs w:val="22"/>
                <w:lang w:val="pt-BR"/>
              </w:rPr>
              <w:t>Persistência no ensino médio</w:t>
            </w:r>
          </w:p>
        </w:tc>
        <w:tc>
          <w:tcPr>
            <w:tcW w:w="2397" w:type="dxa"/>
          </w:tcPr>
          <w:p w14:paraId="518BC4DA" w14:textId="77777777" w:rsidR="0006039E" w:rsidRPr="00CC1CB4" w:rsidRDefault="00000000" w:rsidP="004B3A32">
            <w:pPr>
              <w:pStyle w:val="TableText"/>
              <w:rPr>
                <w:color w:val="auto"/>
                <w:sz w:val="22"/>
                <w:szCs w:val="22"/>
                <w:lang w:val="es-ES"/>
              </w:rPr>
            </w:pPr>
            <w:r>
              <w:rPr>
                <w:rFonts w:eastAsia="Times New Roman"/>
                <w:color w:val="auto"/>
                <w:sz w:val="22"/>
                <w:szCs w:val="22"/>
                <w:lang w:val="pt-BR"/>
              </w:rPr>
              <w:t>Porcentagem de alunos no grupo ajustado de 6 anos que se formaram com diploma endossado pelo estado dentro de 6 anos após entrar no ensino médio ou permanecem ativamente matriculados até o final do 6º ano.</w:t>
            </w:r>
          </w:p>
        </w:tc>
        <w:tc>
          <w:tcPr>
            <w:tcW w:w="1343" w:type="dxa"/>
          </w:tcPr>
          <w:p w14:paraId="7A0BBFC6" w14:textId="77777777" w:rsidR="0006039E" w:rsidRPr="00CC1CB4" w:rsidRDefault="00000000" w:rsidP="001D7D73">
            <w:pPr>
              <w:pStyle w:val="TableText"/>
              <w:ind w:left="76"/>
              <w:jc w:val="center"/>
              <w:rPr>
                <w:b/>
                <w:color w:val="auto"/>
                <w:sz w:val="22"/>
                <w:szCs w:val="22"/>
                <w:lang w:val="es-ES"/>
              </w:rPr>
            </w:pPr>
            <w:r>
              <w:rPr>
                <w:rFonts w:eastAsia="Times New Roman"/>
                <w:b/>
                <w:bCs/>
                <w:color w:val="auto"/>
                <w:sz w:val="22"/>
                <w:szCs w:val="22"/>
                <w:lang w:val="pt-BR"/>
              </w:rPr>
              <w:t>0%</w:t>
            </w:r>
          </w:p>
          <w:p w14:paraId="2FC9144E" w14:textId="77777777" w:rsidR="00836B1B" w:rsidRPr="00CC1CB4" w:rsidRDefault="00000000" w:rsidP="001D7D73">
            <w:pPr>
              <w:pStyle w:val="TableText"/>
              <w:ind w:left="76"/>
              <w:jc w:val="center"/>
              <w:rPr>
                <w:b/>
                <w:color w:val="auto"/>
                <w:sz w:val="22"/>
                <w:szCs w:val="22"/>
                <w:lang w:val="es-ES"/>
              </w:rPr>
            </w:pPr>
            <w:r>
              <w:rPr>
                <w:rFonts w:eastAsia="Times New Roman"/>
                <w:color w:val="auto"/>
                <w:sz w:val="22"/>
                <w:szCs w:val="22"/>
                <w:lang w:val="pt-BR"/>
              </w:rPr>
              <w:t>(apenas escolas de ensino médio)</w:t>
            </w:r>
          </w:p>
        </w:tc>
        <w:tc>
          <w:tcPr>
            <w:tcW w:w="2662" w:type="dxa"/>
          </w:tcPr>
          <w:p w14:paraId="501CB419" w14:textId="77777777" w:rsidR="0006039E" w:rsidRPr="00CC1CB4" w:rsidRDefault="00000000" w:rsidP="00194058">
            <w:pPr>
              <w:pStyle w:val="TableText"/>
              <w:ind w:left="46"/>
              <w:rPr>
                <w:color w:val="auto"/>
                <w:sz w:val="22"/>
                <w:szCs w:val="22"/>
                <w:lang w:val="es-ES"/>
              </w:rPr>
            </w:pPr>
            <w:r>
              <w:rPr>
                <w:rFonts w:eastAsia="Times New Roman"/>
                <w:color w:val="auto"/>
                <w:sz w:val="22"/>
                <w:szCs w:val="22"/>
                <w:lang w:val="pt-BR"/>
              </w:rPr>
              <w:t>Adicionar uma nova medida de persistência do ensino médio a partir de 2024-2025. O indicador terá inicialmente 0% de peso no sistema. O NJDOE passará os próximos anos analisando dados e trabalhando com as partes interessadas para determinar o peso futuro para este indicador.</w:t>
            </w:r>
          </w:p>
        </w:tc>
      </w:tr>
    </w:tbl>
    <w:p w14:paraId="4D84B541" w14:textId="77777777" w:rsidR="001507AA" w:rsidRPr="00CC1CB4" w:rsidRDefault="00000000" w:rsidP="00AB358C">
      <w:pPr>
        <w:spacing w:before="240"/>
        <w:rPr>
          <w:rFonts w:eastAsia="Aptos" w:cs="Times New Roman"/>
          <w:color w:val="365F91" w:themeColor="accent1" w:themeShade="BF"/>
          <w:lang w:val="es-ES"/>
        </w:rPr>
      </w:pPr>
      <w:r>
        <w:rPr>
          <w:rStyle w:val="NJDOEResponse"/>
          <w:rFonts w:eastAsia="Times New Roman"/>
          <w:color w:val="365F91"/>
          <w:lang w:val="pt-BR"/>
        </w:rPr>
        <w:t>[finalizar resposta do NJDOE]</w:t>
      </w:r>
    </w:p>
    <w:p w14:paraId="772A63FD" w14:textId="77777777" w:rsidR="00396158" w:rsidRPr="00CC1CB4" w:rsidRDefault="00000000" w:rsidP="00396158">
      <w:pPr>
        <w:pStyle w:val="BeginUSED"/>
        <w:rPr>
          <w:i/>
          <w:color w:val="244061" w:themeColor="accent1" w:themeShade="80"/>
          <w:sz w:val="28"/>
          <w:lang w:val="es-ES"/>
        </w:rPr>
      </w:pPr>
      <w:r>
        <w:rPr>
          <w:rFonts w:eastAsia="Times New Roman"/>
          <w:color w:val="FFFFFF"/>
          <w:szCs w:val="4"/>
          <w:lang w:val="pt-BR"/>
        </w:rPr>
        <w:t>[iniciar o texto do USED]</w:t>
      </w:r>
    </w:p>
    <w:p w14:paraId="304AD7E6" w14:textId="77777777" w:rsidR="00AB358C" w:rsidRPr="00CC1CB4" w:rsidRDefault="00000000" w:rsidP="00E35D10">
      <w:pPr>
        <w:pStyle w:val="5"/>
        <w:spacing w:before="0"/>
        <w:ind w:left="288"/>
        <w:rPr>
          <w:lang w:val="es-ES"/>
        </w:rPr>
      </w:pPr>
      <w:r>
        <w:rPr>
          <w:rFonts w:ascii="Cambria" w:eastAsia="Cambria" w:hAnsi="Cambria" w:cs="Times New Roman"/>
          <w:bCs/>
          <w:lang w:val="pt-BR"/>
        </w:rPr>
        <w:t>a. Indicador de realização acadêmica</w:t>
      </w:r>
    </w:p>
    <w:p w14:paraId="4249571D" w14:textId="77777777" w:rsidR="005E2EB3" w:rsidRPr="00CC1CB4" w:rsidRDefault="00000000" w:rsidP="00AB358C">
      <w:pPr>
        <w:pStyle w:val="blue"/>
        <w:spacing w:after="120"/>
        <w:ind w:left="288"/>
        <w:rPr>
          <w:lang w:val="es-ES"/>
        </w:rPr>
      </w:pPr>
      <w:r>
        <w:rPr>
          <w:rFonts w:ascii="Cambria" w:eastAsia="Cambria" w:hAnsi="Cambria"/>
          <w:lang w:val="pt-BR"/>
        </w:rPr>
        <w:t>Descrever o indicador de realização acadêmica, incluindo uma descrição de como o indicador</w:t>
      </w:r>
    </w:p>
    <w:p w14:paraId="129FD518" w14:textId="77777777" w:rsidR="00AB358C" w:rsidRPr="00CC1CB4" w:rsidRDefault="00000000">
      <w:pPr>
        <w:pStyle w:val="blue"/>
        <w:numPr>
          <w:ilvl w:val="0"/>
          <w:numId w:val="175"/>
        </w:numPr>
        <w:spacing w:after="120"/>
        <w:rPr>
          <w:lang w:val="es-ES"/>
        </w:rPr>
      </w:pPr>
      <w:r>
        <w:rPr>
          <w:rFonts w:ascii="Cambria" w:eastAsia="Cambria" w:hAnsi="Cambria"/>
          <w:lang w:val="pt-BR"/>
        </w:rPr>
        <w:t>é baseado nas metas de longo prazo;</w:t>
      </w:r>
    </w:p>
    <w:p w14:paraId="18BEC03B" w14:textId="77777777" w:rsidR="00AB358C" w:rsidRPr="00CC1CB4" w:rsidRDefault="00000000">
      <w:pPr>
        <w:pStyle w:val="blue"/>
        <w:numPr>
          <w:ilvl w:val="0"/>
          <w:numId w:val="175"/>
        </w:numPr>
        <w:spacing w:after="120"/>
        <w:rPr>
          <w:lang w:val="es-ES"/>
        </w:rPr>
      </w:pPr>
      <w:r>
        <w:rPr>
          <w:rFonts w:ascii="Cambria" w:eastAsia="Cambria" w:hAnsi="Cambria"/>
          <w:lang w:val="pt-BR"/>
        </w:rPr>
        <w:t xml:space="preserve"> é medido pela proficiência nas avaliações anuais de leitura/linguagem e matemática em todo o estado; </w:t>
      </w:r>
    </w:p>
    <w:p w14:paraId="68E147FC" w14:textId="77777777" w:rsidR="00AB358C" w:rsidRPr="00CC1CB4" w:rsidRDefault="00000000">
      <w:pPr>
        <w:pStyle w:val="blue"/>
        <w:numPr>
          <w:ilvl w:val="0"/>
          <w:numId w:val="175"/>
        </w:numPr>
        <w:spacing w:after="120"/>
        <w:rPr>
          <w:lang w:val="es-ES"/>
        </w:rPr>
      </w:pPr>
      <w:r>
        <w:rPr>
          <w:rFonts w:ascii="Cambria" w:eastAsia="Cambria" w:hAnsi="Cambria"/>
          <w:lang w:val="pt-BR"/>
        </w:rPr>
        <w:t>mede anualmente a realização acadêmica de todos os alunos e separadamente para cada subgrupo de alunos;</w:t>
      </w:r>
    </w:p>
    <w:p w14:paraId="2593835D" w14:textId="77777777" w:rsidR="00A66BF0" w:rsidRPr="00CC1CB4" w:rsidRDefault="00000000">
      <w:pPr>
        <w:pStyle w:val="blue"/>
        <w:numPr>
          <w:ilvl w:val="0"/>
          <w:numId w:val="175"/>
        </w:numPr>
        <w:rPr>
          <w:lang w:val="es-ES"/>
        </w:rPr>
      </w:pPr>
      <w:r>
        <w:rPr>
          <w:rFonts w:ascii="Cambria" w:eastAsia="Cambria" w:hAnsi="Cambria"/>
          <w:lang w:val="pt-BR"/>
        </w:rPr>
        <w:t xml:space="preserve">a critério do estado, para cada ensino médio público no estado, inclui uma medida do crescimento dos alunos, conforme medido pelas avaliações anuais de leitura/linguagem e matemática em todo o estado. </w:t>
      </w:r>
    </w:p>
    <w:p w14:paraId="27234115" w14:textId="77777777" w:rsidR="00396158" w:rsidRPr="00CC1CB4" w:rsidRDefault="00000000" w:rsidP="005122E4">
      <w:pPr>
        <w:pStyle w:val="EndUSED"/>
        <w:rPr>
          <w:rStyle w:val="NJDOEResponse"/>
          <w:lang w:val="es-ES"/>
        </w:rPr>
      </w:pPr>
      <w:r>
        <w:rPr>
          <w:rFonts w:eastAsia="Times New Roman"/>
          <w:color w:val="FFFFFF"/>
          <w:szCs w:val="4"/>
          <w:lang w:val="pt-BR"/>
        </w:rPr>
        <w:t>[finalizar texto do USED]</w:t>
      </w:r>
    </w:p>
    <w:p w14:paraId="0E84823F" w14:textId="77777777" w:rsidR="0059297C" w:rsidRPr="00CC1CB4" w:rsidRDefault="00000000" w:rsidP="00194614">
      <w:pPr>
        <w:spacing w:before="240"/>
        <w:rPr>
          <w:rFonts w:cs="Times New Roman"/>
          <w:color w:val="365F91" w:themeColor="accent1" w:themeShade="BF"/>
          <w:lang w:val="es-ES"/>
        </w:rPr>
      </w:pPr>
      <w:r>
        <w:rPr>
          <w:rStyle w:val="NJDOEResponse"/>
          <w:rFonts w:eastAsia="Times New Roman"/>
          <w:color w:val="365F91"/>
          <w:lang w:val="pt-BR"/>
        </w:rPr>
        <w:t>[iniciar a resposta do NJDOE]</w:t>
      </w:r>
    </w:p>
    <w:p w14:paraId="0C856688" w14:textId="77777777" w:rsidR="00161F46" w:rsidRPr="00CC1CB4" w:rsidRDefault="00000000" w:rsidP="00AB358C">
      <w:pPr>
        <w:pStyle w:val="6"/>
        <w:rPr>
          <w:lang w:val="es-ES"/>
        </w:rPr>
      </w:pPr>
      <w:r>
        <w:rPr>
          <w:rFonts w:ascii="Cambria" w:eastAsia="Cambria" w:hAnsi="Cambria" w:cs="Arial"/>
          <w:lang w:val="pt-BR"/>
        </w:rPr>
        <w:t>Indicadores de realização acadêmica e atualizações de 2024</w:t>
      </w:r>
    </w:p>
    <w:p w14:paraId="74BB395C" w14:textId="77777777" w:rsidR="00161F46" w:rsidRPr="00CC1CB4" w:rsidRDefault="00000000" w:rsidP="00161F46">
      <w:pPr>
        <w:rPr>
          <w:rFonts w:cs="Times New Roman"/>
          <w:lang w:val="es-ES"/>
        </w:rPr>
      </w:pPr>
      <w:r>
        <w:rPr>
          <w:rFonts w:eastAsia="Times New Roman" w:cs="Times New Roman"/>
          <w:lang w:val="pt-BR"/>
        </w:rPr>
        <w:t>Os indicadores de conquista acadêmica de Nova Jersey são taxas de proficiência em avaliações estaduais em ELA e matemática. O NJDOE não está propondo alterações no cálculo desta métrica neste momento. No entanto, nesta seção, o NJDOE está sinalizando sua exploração de uma nova medida de realização acadêmica. Se o NJDOE, em consulta com as partes interessadas, decidir fazer alterações no cálculo da métrica, uma futura emenda ao Plano estadual da ESSA seria necessária antes que pudesse ser implementada no sistema de responsabilização.</w:t>
      </w:r>
    </w:p>
    <w:p w14:paraId="4D9462FA" w14:textId="77777777" w:rsidR="00161F46" w:rsidRPr="00CC1CB4" w:rsidRDefault="00000000" w:rsidP="00AB358C">
      <w:pPr>
        <w:pStyle w:val="6"/>
        <w:rPr>
          <w:lang w:val="es-ES"/>
        </w:rPr>
      </w:pPr>
      <w:r>
        <w:rPr>
          <w:rFonts w:ascii="Cambria" w:eastAsia="Cambria" w:hAnsi="Cambria" w:cs="Arial"/>
          <w:lang w:val="pt-BR"/>
        </w:rPr>
        <w:t>Descrição</w:t>
      </w:r>
    </w:p>
    <w:p w14:paraId="50A5E1AB" w14:textId="77777777" w:rsidR="00161F46" w:rsidRPr="00CC1CB4" w:rsidRDefault="00000000" w:rsidP="3E1F85CA">
      <w:pPr>
        <w:rPr>
          <w:rFonts w:cs="Times New Roman"/>
          <w:lang w:val="es-ES"/>
        </w:rPr>
      </w:pPr>
      <w:r>
        <w:rPr>
          <w:rFonts w:eastAsia="Times New Roman" w:cs="Times New Roman"/>
          <w:lang w:val="pt-BR"/>
        </w:rPr>
        <w:lastRenderedPageBreak/>
        <w:t xml:space="preserve">De acordo com a Seção 1111(c)(4)(B)(i)(I) da ESSA, o indicador de realização acadêmica deve medir a proficiência em avaliações de ELA e matemática em todo o estado. </w:t>
      </w:r>
    </w:p>
    <w:p w14:paraId="06CF3697" w14:textId="77777777" w:rsidR="00161F46" w:rsidRPr="00CC1CB4" w:rsidRDefault="00000000" w:rsidP="3E1F85CA">
      <w:pPr>
        <w:rPr>
          <w:lang w:val="es-ES"/>
        </w:rPr>
      </w:pPr>
      <w:r>
        <w:rPr>
          <w:rFonts w:eastAsia="Times New Roman" w:cs="Times New Roman"/>
          <w:lang w:val="pt-BR"/>
        </w:rPr>
        <w:t xml:space="preserve">Os alunos são obrigados a fazer a NJSLA ou DLM em ELA e matemática em cada ano, do 3º ao 8º. No ensino médio, todos os alunos devem fazer a avaliação ELA da NJSLA no 9º ano (ou DLM ELA no 11º ano) e todos os alunos devem fazer a avaliação da NJSLA de Álgebra I no ensino médio, exceto para alunos com exceções qualificadas. </w:t>
      </w:r>
      <w:r>
        <w:rPr>
          <w:rFonts w:eastAsia="Times New Roman" w:cs="Arial"/>
          <w:lang w:val="pt-BR"/>
        </w:rPr>
        <w:t>As exceções qualificadas incluem alunos que fazem a avaliação da Álgebra I no ensino médio e alunos que fazem a avaliação de DLM no ensino médio. Veja mais informações em “Exceção de matemática de sétimo e oitavo ano”.</w:t>
      </w:r>
    </w:p>
    <w:p w14:paraId="566DEDAF" w14:textId="77777777" w:rsidR="00161F46" w:rsidRPr="00CC1CB4" w:rsidRDefault="00000000" w:rsidP="00161F46">
      <w:pPr>
        <w:rPr>
          <w:rFonts w:cs="Times New Roman"/>
          <w:lang w:val="es-ES"/>
        </w:rPr>
      </w:pPr>
      <w:r>
        <w:rPr>
          <w:rFonts w:eastAsia="Times New Roman" w:cs="Times New Roman"/>
          <w:lang w:val="pt-BR"/>
        </w:rPr>
        <w:t>O NJDOE calcula taxas de proficiência separadas em ELA e matemática para cada escola e grupo de alunos. Essas taxas de proficiência são baseadas no desempenho de todos os alunos do 3º ao 8º ano e do ensino médio. Eles incluem alunos que fazem as avaliações da New Jersey Student Learning Assessment (NJSLA) e Dynamic Learning Maps (DLM). As taxas de proficiência são calculadas pela porcentagem de alunos que atendem aos padrões de nível de ano nas avaliações estaduais. Considera-se que os alunos atenderam aos padrões de nível de ano se receberem um nível de desempenho de 4 ou 5 na avaliação da NJSLA ou um nível de desempenho de 3 ou 4 na avaliação DLM. Todas as avaliações de matemática e ELA em todo o estado de Nova Jersey foram submetidas a uma revisão por pares liderada pelo USED em 2016. Como resultado, as avaliações acadêmicas atuais de Nova Jersey atenderam substancialmente a todos os requisitos legais e técnicos.</w:t>
      </w:r>
    </w:p>
    <w:p w14:paraId="52444091" w14:textId="77777777" w:rsidR="00536C12" w:rsidRPr="00CC1CB4" w:rsidRDefault="00000000" w:rsidP="00161F46">
      <w:pPr>
        <w:rPr>
          <w:rFonts w:cs="Times New Roman"/>
          <w:lang w:val="es-ES"/>
        </w:rPr>
      </w:pPr>
      <w:r>
        <w:rPr>
          <w:rFonts w:eastAsia="Times New Roman" w:cs="Times New Roman"/>
          <w:lang w:val="pt-BR"/>
        </w:rPr>
        <w:t>Os indicadores de realização acadêmica para ELA e matemática usam as mesmas medidas que para as metas de realização acadêmica de longo prazo e medidas de progresso provisório.</w:t>
      </w:r>
    </w:p>
    <w:p w14:paraId="1F6DED65" w14:textId="77777777" w:rsidR="007C0550" w:rsidRPr="00CC1CB4" w:rsidRDefault="00000000" w:rsidP="00AB358C">
      <w:pPr>
        <w:pStyle w:val="6"/>
        <w:rPr>
          <w:lang w:val="es-ES"/>
        </w:rPr>
      </w:pPr>
      <w:r>
        <w:rPr>
          <w:rFonts w:ascii="Cambria" w:eastAsia="Cambria" w:hAnsi="Cambria" w:cs="Arial"/>
          <w:lang w:val="pt-BR"/>
        </w:rPr>
        <w:t>Melhoria contínua e mudanças futuras</w:t>
      </w:r>
    </w:p>
    <w:p w14:paraId="5738F2B0" w14:textId="77777777" w:rsidR="009A4294" w:rsidRPr="00CC1CB4" w:rsidRDefault="00000000" w:rsidP="00161F46">
      <w:pPr>
        <w:rPr>
          <w:rStyle w:val="af9"/>
          <w:b w:val="0"/>
          <w:bCs w:val="0"/>
          <w:sz w:val="22"/>
          <w:lang w:val="es-ES"/>
        </w:rPr>
      </w:pPr>
      <w:r>
        <w:rPr>
          <w:rFonts w:eastAsia="Times New Roman" w:cs="Times New Roman"/>
          <w:lang w:val="pt-BR"/>
        </w:rPr>
        <w:t xml:space="preserve">Embora a descrição acima reflita a prática existente, o NJDOE planeja explorar uma medida de proficiência baseada em índice durante o ano letivo de 2024-2025 e, em seguida, relataria publicamente a métrica por pelo menos um ano antes de adicioná-la ao sistema de responsabilização. Um sistema baseado em </w:t>
      </w:r>
      <w:r>
        <w:rPr>
          <w:rFonts w:eastAsia="Times New Roman" w:cs="Arial"/>
          <w:color w:val="000000"/>
          <w:lang w:val="pt-BR"/>
        </w:rPr>
        <w:t xml:space="preserve">índices para diferenciar melhor as escolas com os alunos mais distantes do nível do ano e, portanto, com maior necessidade de apoio. </w:t>
      </w:r>
    </w:p>
    <w:p w14:paraId="3EC33037" w14:textId="77777777" w:rsidR="0059297C" w:rsidRPr="00CC1CB4" w:rsidRDefault="00000000" w:rsidP="6B71CBC4">
      <w:pPr>
        <w:rPr>
          <w:color w:val="365F91" w:themeColor="accent1" w:themeShade="BF"/>
          <w:lang w:val="es-ES"/>
        </w:rPr>
      </w:pPr>
      <w:r>
        <w:rPr>
          <w:rStyle w:val="NJDOEResponse"/>
          <w:rFonts w:eastAsia="Times New Roman"/>
          <w:color w:val="365F91"/>
          <w:lang w:val="pt-BR"/>
        </w:rPr>
        <w:t>[finalizar resposta do NJDOE]</w:t>
      </w:r>
      <w:r>
        <w:rPr>
          <w:rStyle w:val="NJDOEResponse"/>
          <w:rFonts w:eastAsia="Times New Roman" w:cs="Arial"/>
          <w:color w:val="365F91"/>
          <w:lang w:val="pt-BR"/>
        </w:rPr>
        <w:t xml:space="preserve"> </w:t>
      </w:r>
    </w:p>
    <w:p w14:paraId="611D857F" w14:textId="77777777" w:rsidR="00A97953" w:rsidRPr="00CC1CB4" w:rsidRDefault="00000000" w:rsidP="00A97953">
      <w:pPr>
        <w:pStyle w:val="BeginUSED"/>
        <w:rPr>
          <w:rFonts w:cs="Times New Roman"/>
          <w:color w:val="365F91" w:themeColor="accent1" w:themeShade="BF"/>
          <w:lang w:val="es-ES"/>
        </w:rPr>
      </w:pPr>
      <w:r>
        <w:rPr>
          <w:rFonts w:eastAsia="Times New Roman"/>
          <w:color w:val="FFFFFF"/>
          <w:szCs w:val="4"/>
          <w:lang w:val="pt-BR"/>
        </w:rPr>
        <w:t>[iniciar o texto do USED]</w:t>
      </w:r>
    </w:p>
    <w:p w14:paraId="449738F8" w14:textId="77777777" w:rsidR="00AB358C" w:rsidRPr="00CC1CB4" w:rsidRDefault="00000000" w:rsidP="00B74677">
      <w:pPr>
        <w:pStyle w:val="5"/>
        <w:spacing w:before="0"/>
        <w:ind w:left="288"/>
        <w:rPr>
          <w:lang w:val="es-ES"/>
        </w:rPr>
      </w:pPr>
      <w:r>
        <w:rPr>
          <w:rFonts w:ascii="Cambria" w:eastAsia="Cambria" w:hAnsi="Cambria" w:cs="Times New Roman"/>
          <w:bCs/>
          <w:lang w:val="pt-BR"/>
        </w:rPr>
        <w:t>b. Indicador para escolas públicas de ensino fundamental e médio que não são escolas de ensino médio (outro indicador acadêmico)</w:t>
      </w:r>
    </w:p>
    <w:p w14:paraId="78716825" w14:textId="77777777" w:rsidR="00D20998" w:rsidRPr="00CC1CB4" w:rsidRDefault="00000000" w:rsidP="00AB358C">
      <w:pPr>
        <w:pStyle w:val="blue"/>
        <w:spacing w:after="0"/>
        <w:ind w:left="0"/>
        <w:rPr>
          <w:lang w:val="es-ES"/>
        </w:rPr>
      </w:pPr>
      <w:r>
        <w:rPr>
          <w:rFonts w:ascii="Cambria" w:eastAsia="Cambria" w:hAnsi="Cambria"/>
          <w:lang w:val="pt-BR"/>
        </w:rPr>
        <w:t xml:space="preserve">Descrever o indicador Outro acadêmico, incluindo como ele mede anualmente o desempenho para todos os alunos e separadamente para cada subgrupo de alunos. Se o indicador Outro acadêmico não for uma medida do crescimento dos alunos, a descrição deve incluir uma demonstração de que o indicador é um indicador acadêmico válido e confiável em todo o estado que permite uma diferenciação significativa no desempenho escolar. </w:t>
      </w:r>
    </w:p>
    <w:p w14:paraId="31B53C6B" w14:textId="77777777" w:rsidR="00B016A8" w:rsidRPr="00CC1CB4" w:rsidRDefault="00000000" w:rsidP="00A97953">
      <w:pPr>
        <w:pStyle w:val="EndUSED"/>
        <w:rPr>
          <w:lang w:val="es-ES"/>
        </w:rPr>
      </w:pPr>
      <w:r>
        <w:rPr>
          <w:rFonts w:eastAsia="Times New Roman"/>
          <w:color w:val="FFFFFF"/>
          <w:szCs w:val="4"/>
          <w:lang w:val="pt-BR"/>
        </w:rPr>
        <w:t>[finalizar texto do USED]</w:t>
      </w:r>
    </w:p>
    <w:p w14:paraId="10DB9AC8" w14:textId="77777777" w:rsidR="0059297C" w:rsidRPr="00CC1CB4" w:rsidRDefault="00000000" w:rsidP="00194614">
      <w:pPr>
        <w:spacing w:before="240"/>
        <w:rPr>
          <w:rStyle w:val="NJDOEResponse"/>
          <w:lang w:val="es-ES"/>
        </w:rPr>
      </w:pPr>
      <w:r>
        <w:rPr>
          <w:rStyle w:val="NJDOEResponse"/>
          <w:rFonts w:eastAsia="Times New Roman"/>
          <w:color w:val="365F91"/>
          <w:lang w:val="pt-BR"/>
        </w:rPr>
        <w:t>[iniciar a resposta do NJDOE]</w:t>
      </w:r>
    </w:p>
    <w:p w14:paraId="53CDB030" w14:textId="77777777" w:rsidR="00745BD2" w:rsidRPr="00CC1CB4" w:rsidRDefault="00000000" w:rsidP="00AB358C">
      <w:pPr>
        <w:pStyle w:val="6"/>
        <w:rPr>
          <w:lang w:val="es-ES"/>
        </w:rPr>
      </w:pPr>
      <w:r>
        <w:rPr>
          <w:rFonts w:ascii="Cambria" w:eastAsia="Cambria" w:hAnsi="Cambria" w:cs="Arial"/>
          <w:lang w:val="pt-BR"/>
        </w:rPr>
        <w:t>Indicador de progresso acadêmico e atualizações de 2024</w:t>
      </w:r>
    </w:p>
    <w:p w14:paraId="14ED10DC" w14:textId="6815A9C4" w:rsidR="00DC011B" w:rsidRPr="00CC1CB4" w:rsidRDefault="00000000" w:rsidP="00DC011B">
      <w:pPr>
        <w:rPr>
          <w:rFonts w:cs="Times New Roman"/>
          <w:lang w:val="es-ES"/>
        </w:rPr>
      </w:pPr>
      <w:r>
        <w:rPr>
          <w:rFonts w:eastAsia="Times New Roman" w:cs="Times New Roman"/>
          <w:lang w:val="pt-BR"/>
        </w:rPr>
        <w:lastRenderedPageBreak/>
        <w:t>O indicador de progresso acadêmico de Nova Jersey é a mediana dos percentis de crescimento estudantil (mSGP) em ELA e matemática, e o NJDOE não está propondo alterações no cálculo desta métrica neste momento.</w:t>
      </w:r>
    </w:p>
    <w:p w14:paraId="65AC7F38" w14:textId="77777777" w:rsidR="00DC011B" w:rsidRPr="00CC1CB4" w:rsidRDefault="00000000" w:rsidP="00AB358C">
      <w:pPr>
        <w:pStyle w:val="6"/>
        <w:rPr>
          <w:lang w:val="es-ES"/>
        </w:rPr>
      </w:pPr>
      <w:r>
        <w:rPr>
          <w:rFonts w:ascii="Cambria" w:eastAsia="Cambria" w:hAnsi="Cambria" w:cs="Arial"/>
          <w:lang w:val="pt-BR"/>
        </w:rPr>
        <w:t>Descrição</w:t>
      </w:r>
    </w:p>
    <w:p w14:paraId="25996322" w14:textId="77777777" w:rsidR="00874C21" w:rsidRPr="00CC1CB4" w:rsidRDefault="00000000" w:rsidP="00DC011B">
      <w:pPr>
        <w:rPr>
          <w:rFonts w:cs="Times New Roman"/>
          <w:lang w:val="es-ES"/>
        </w:rPr>
      </w:pPr>
      <w:r>
        <w:rPr>
          <w:rFonts w:eastAsia="Times New Roman" w:cs="Times New Roman"/>
          <w:lang w:val="pt-BR"/>
        </w:rPr>
        <w:t xml:space="preserve">Os percentis medianos de crescimento do aluno (mSGPs) medem o progresso acadêmico de um aluno de um ano para o outro em comparação com outros alunos com pontuações de teste anteriores semelhantes (colegas acadêmicos). O NJDOE usa mSGPs para cada escola e grupo de alunos com base em avaliações de ELA e matemática em todo o estado para medir o progresso acadêmico. O cálculo de mSGPs para ELA é baseado em alunos do 4º ao 8º ano. O cálculo de mSGPs para matemática é baseado em alunos do 4º ao 7º ano. Os dados do 8º ano não são usados para matemática porque uma parte significativa dos alunos do oitavo ano faz a Álgebra I em vez da avaliação matemática do oitavo ano. </w:t>
      </w:r>
    </w:p>
    <w:p w14:paraId="087CD663" w14:textId="77777777" w:rsidR="00DC011B" w:rsidRPr="00CC1CB4" w:rsidRDefault="00000000" w:rsidP="00DC011B">
      <w:pPr>
        <w:rPr>
          <w:rFonts w:cs="Times New Roman"/>
          <w:lang w:val="es-ES"/>
        </w:rPr>
      </w:pPr>
      <w:r>
        <w:rPr>
          <w:rFonts w:eastAsia="Times New Roman" w:cs="Times New Roman"/>
          <w:lang w:val="pt-BR"/>
        </w:rPr>
        <w:t>O desempenho de todos os alunos nas notas testadas aplicáveis será incluído nos cálculos da escola e do grupo de alunos do mSGP. Cada escola e grupo de alunos recebe um mSGP geral para ELA e um mSGP geral para matemática.</w:t>
      </w:r>
    </w:p>
    <w:p w14:paraId="38394EEF" w14:textId="77777777" w:rsidR="0059297C" w:rsidRPr="00CC1CB4" w:rsidRDefault="00000000" w:rsidP="00AB358C">
      <w:pPr>
        <w:spacing w:line="259" w:lineRule="auto"/>
        <w:rPr>
          <w:rStyle w:val="NJDOEResponse"/>
          <w:lang w:val="es-ES"/>
        </w:rPr>
      </w:pPr>
      <w:r>
        <w:rPr>
          <w:rStyle w:val="NJDOEResponse"/>
          <w:rFonts w:eastAsia="Times New Roman"/>
          <w:color w:val="365F91"/>
          <w:lang w:val="pt-BR"/>
        </w:rPr>
        <w:t>[finalizar resposta do NJDOE]</w:t>
      </w:r>
    </w:p>
    <w:p w14:paraId="0995FECB" w14:textId="77777777" w:rsidR="00A97953" w:rsidRPr="00CC1CB4" w:rsidRDefault="00000000" w:rsidP="00A97953">
      <w:pPr>
        <w:pStyle w:val="BeginUSED"/>
        <w:rPr>
          <w:rFonts w:cs="Times New Roman"/>
          <w:color w:val="365F91" w:themeColor="accent1" w:themeShade="BF"/>
          <w:lang w:val="es-ES"/>
        </w:rPr>
      </w:pPr>
      <w:r>
        <w:rPr>
          <w:rFonts w:eastAsia="Times New Roman"/>
          <w:color w:val="FFFFFF"/>
          <w:szCs w:val="4"/>
          <w:lang w:val="pt-BR"/>
        </w:rPr>
        <w:t>[iniciar o texto do USED]</w:t>
      </w:r>
    </w:p>
    <w:p w14:paraId="5A5C6EA9" w14:textId="77777777" w:rsidR="00AB358C" w:rsidRPr="00CC1CB4" w:rsidRDefault="00000000" w:rsidP="00E747D8">
      <w:pPr>
        <w:pStyle w:val="5"/>
        <w:spacing w:before="0"/>
        <w:ind w:left="288"/>
        <w:rPr>
          <w:lang w:val="es-ES"/>
        </w:rPr>
      </w:pPr>
      <w:r>
        <w:rPr>
          <w:rFonts w:ascii="Cambria" w:eastAsia="Cambria" w:hAnsi="Cambria" w:cs="Times New Roman"/>
          <w:bCs/>
          <w:lang w:val="pt-BR"/>
        </w:rPr>
        <w:t>c. Taxa de formação</w:t>
      </w:r>
    </w:p>
    <w:p w14:paraId="270E3D16" w14:textId="77777777" w:rsidR="00AB358C" w:rsidRPr="00CC1CB4" w:rsidRDefault="00000000" w:rsidP="00AB358C">
      <w:pPr>
        <w:pStyle w:val="blue"/>
        <w:spacing w:after="120"/>
        <w:rPr>
          <w:lang w:val="es-ES"/>
        </w:rPr>
      </w:pPr>
      <w:r>
        <w:rPr>
          <w:rFonts w:ascii="Cambria" w:eastAsia="Cambria" w:hAnsi="Cambria"/>
          <w:lang w:val="pt-BR"/>
        </w:rPr>
        <w:t>Descrever o indicador de Taxa de formação, incluindo uma descrição de:</w:t>
      </w:r>
    </w:p>
    <w:p w14:paraId="684A39D9" w14:textId="77777777" w:rsidR="00AB358C" w:rsidRPr="00CC1CB4" w:rsidRDefault="00000000">
      <w:pPr>
        <w:pStyle w:val="blue"/>
        <w:numPr>
          <w:ilvl w:val="0"/>
          <w:numId w:val="176"/>
        </w:numPr>
        <w:spacing w:after="120"/>
        <w:rPr>
          <w:lang w:val="es-ES"/>
        </w:rPr>
      </w:pPr>
      <w:r>
        <w:rPr>
          <w:rFonts w:ascii="Cambria" w:eastAsia="Cambria" w:hAnsi="Cambria"/>
          <w:lang w:val="pt-BR"/>
        </w:rPr>
        <w:t>como o indicador é baseado nas metas de longo prazo;</w:t>
      </w:r>
    </w:p>
    <w:p w14:paraId="029A3744" w14:textId="77777777" w:rsidR="00AB358C" w:rsidRPr="00CC1CB4" w:rsidRDefault="00000000">
      <w:pPr>
        <w:pStyle w:val="blue"/>
        <w:numPr>
          <w:ilvl w:val="0"/>
          <w:numId w:val="176"/>
        </w:numPr>
        <w:spacing w:after="120"/>
        <w:rPr>
          <w:lang w:val="es-ES"/>
        </w:rPr>
      </w:pPr>
      <w:r>
        <w:rPr>
          <w:rFonts w:ascii="Cambria" w:eastAsia="Cambria" w:hAnsi="Cambria"/>
          <w:lang w:val="pt-BR"/>
        </w:rPr>
        <w:t>como o indicador mede anualmente a taxa de formação para todos os alunos e separadamente para cada subgrupo de alunos;</w:t>
      </w:r>
    </w:p>
    <w:p w14:paraId="7146E1B9" w14:textId="77777777" w:rsidR="00AB358C" w:rsidRPr="00CC1CB4" w:rsidRDefault="00000000">
      <w:pPr>
        <w:pStyle w:val="blue"/>
        <w:numPr>
          <w:ilvl w:val="0"/>
          <w:numId w:val="176"/>
        </w:numPr>
        <w:spacing w:after="120"/>
        <w:rPr>
          <w:lang w:val="es-ES"/>
        </w:rPr>
      </w:pPr>
      <w:r>
        <w:rPr>
          <w:rFonts w:ascii="Cambria" w:eastAsia="Cambria" w:hAnsi="Cambria"/>
          <w:lang w:val="pt-BR"/>
        </w:rPr>
        <w:t>como o indicador é baseado na taxa de formação de grupo ajustado de quatro anos;</w:t>
      </w:r>
    </w:p>
    <w:p w14:paraId="474E74FD" w14:textId="77777777" w:rsidR="00AB358C" w:rsidRPr="00CC1CB4" w:rsidRDefault="00000000">
      <w:pPr>
        <w:pStyle w:val="blue"/>
        <w:numPr>
          <w:ilvl w:val="0"/>
          <w:numId w:val="176"/>
        </w:numPr>
        <w:spacing w:after="120"/>
        <w:rPr>
          <w:lang w:val="es-ES"/>
        </w:rPr>
      </w:pPr>
      <w:r>
        <w:rPr>
          <w:rFonts w:ascii="Cambria" w:eastAsia="Cambria" w:hAnsi="Cambria"/>
          <w:lang w:val="pt-BR"/>
        </w:rPr>
        <w:t>se o estado, a seu critério, também incluir uma ou mais taxas de formação de grupos ajustados para o período estendido, como a taxa de formação de grupo ajustado para o período de quatro anos é combinada com essa taxa ou taxas dentro do indicador;</w:t>
      </w:r>
    </w:p>
    <w:p w14:paraId="27EAE55A" w14:textId="77777777" w:rsidR="00FE1719" w:rsidRPr="00CC1CB4" w:rsidRDefault="00000000">
      <w:pPr>
        <w:pStyle w:val="blue"/>
        <w:numPr>
          <w:ilvl w:val="0"/>
          <w:numId w:val="176"/>
        </w:numPr>
        <w:rPr>
          <w:lang w:val="es-ES"/>
        </w:rPr>
      </w:pPr>
      <w:r>
        <w:rPr>
          <w:rFonts w:ascii="Cambria" w:eastAsia="Cambria" w:hAnsi="Cambria"/>
          <w:lang w:val="pt-BR"/>
        </w:rPr>
        <w:t xml:space="preserve">se aplicável, como o estado inclui em sua taxa de formação de grupo ajustado de quatro anos e qualquer taxa de formação de grupo ajustado de ano estendido os alunos com as deficiências cognitivas mais significativas avaliadas usando uma avaliação alternativa alinhada aos padrões de realização acadêmica alternativos sob a seção 1111(b)(2)(D) da ESEA e concedeu um diploma alternativo definido pelo Estado sob a seção 8101(23) e (25) da ESEA. </w:t>
      </w:r>
    </w:p>
    <w:p w14:paraId="796D868F" w14:textId="77777777" w:rsidR="00FE1719" w:rsidRPr="00CC1CB4" w:rsidRDefault="00000000" w:rsidP="00A97953">
      <w:pPr>
        <w:pStyle w:val="EndUSED"/>
        <w:rPr>
          <w:color w:val="365F91" w:themeColor="accent1" w:themeShade="BF"/>
          <w:lang w:val="es-ES"/>
        </w:rPr>
      </w:pPr>
      <w:r>
        <w:rPr>
          <w:rFonts w:eastAsia="Times New Roman"/>
          <w:color w:val="FFFFFF"/>
          <w:szCs w:val="4"/>
          <w:lang w:val="pt-BR"/>
        </w:rPr>
        <w:t>[finalizar texto do USED]</w:t>
      </w:r>
    </w:p>
    <w:p w14:paraId="79D0061F" w14:textId="77777777" w:rsidR="0059297C" w:rsidRPr="00CC1CB4" w:rsidRDefault="00000000" w:rsidP="00A37684">
      <w:pPr>
        <w:spacing w:before="240"/>
        <w:rPr>
          <w:rFonts w:cs="Times New Roman"/>
          <w:color w:val="365F91" w:themeColor="accent1" w:themeShade="BF"/>
          <w:lang w:val="es-ES"/>
        </w:rPr>
      </w:pPr>
      <w:r>
        <w:rPr>
          <w:rStyle w:val="NJDOEResponse"/>
          <w:rFonts w:eastAsia="Times New Roman"/>
          <w:color w:val="365F91"/>
          <w:lang w:val="pt-BR"/>
        </w:rPr>
        <w:t>[iniciar a resposta do NJDOE]</w:t>
      </w:r>
    </w:p>
    <w:p w14:paraId="3C87BBF0" w14:textId="77777777" w:rsidR="00881944" w:rsidRPr="00CC1CB4" w:rsidRDefault="00000000" w:rsidP="00AB358C">
      <w:pPr>
        <w:pStyle w:val="6"/>
        <w:rPr>
          <w:lang w:val="es-ES"/>
        </w:rPr>
      </w:pPr>
      <w:r>
        <w:rPr>
          <w:rFonts w:ascii="Cambria" w:eastAsia="Cambria" w:hAnsi="Cambria" w:cs="Arial"/>
          <w:lang w:val="pt-BR"/>
        </w:rPr>
        <w:t>Indicador de taxa de formação e atualizações de 2024</w:t>
      </w:r>
    </w:p>
    <w:p w14:paraId="3E41B696" w14:textId="221EB3C6" w:rsidR="00DF342A" w:rsidRPr="00CC1CB4" w:rsidRDefault="00000000" w:rsidP="00881944">
      <w:pPr>
        <w:rPr>
          <w:rFonts w:cs="Times New Roman"/>
          <w:lang w:val="es-ES"/>
        </w:rPr>
      </w:pPr>
      <w:r>
        <w:rPr>
          <w:rFonts w:eastAsia="Times New Roman" w:cs="Times New Roman"/>
          <w:lang w:val="pt-BR"/>
        </w:rPr>
        <w:lastRenderedPageBreak/>
        <w:t xml:space="preserve">Nova Jersey usa taxas de formação de grupo ajustado de quatro anos, cinco anos e seis anos como seus indicadores de taxa de formação. O Plano estadual da ESSA de 2017 incluiu apenas taxas de quatro e cinco anos. O NJDOE está adicionando a taxa de seis anos como indicador a partir de 2024. </w:t>
      </w:r>
    </w:p>
    <w:p w14:paraId="7A066E82" w14:textId="77777777" w:rsidR="00935579" w:rsidRPr="00CC1CB4" w:rsidRDefault="00000000" w:rsidP="00AB358C">
      <w:pPr>
        <w:pStyle w:val="6"/>
        <w:rPr>
          <w:lang w:val="es-ES"/>
        </w:rPr>
      </w:pPr>
      <w:r>
        <w:rPr>
          <w:rFonts w:ascii="Cambria" w:eastAsia="Cambria" w:hAnsi="Cambria" w:cs="Arial"/>
          <w:lang w:val="pt-BR"/>
        </w:rPr>
        <w:t>Descrição</w:t>
      </w:r>
    </w:p>
    <w:p w14:paraId="63CA5F25" w14:textId="77777777" w:rsidR="00935579" w:rsidRPr="00CC1CB4" w:rsidRDefault="00000000" w:rsidP="00935579">
      <w:pPr>
        <w:rPr>
          <w:rFonts w:cs="Times New Roman"/>
          <w:lang w:val="es-ES"/>
        </w:rPr>
      </w:pPr>
      <w:r>
        <w:rPr>
          <w:rFonts w:eastAsia="Times New Roman" w:cs="Times New Roman"/>
          <w:lang w:val="pt-BR"/>
        </w:rPr>
        <w:t xml:space="preserve">De acordo com 1111(c)(4)(B)(iii)(I)(bb) da ESSA, as taxas de formação devem refletir a porcentagem de alunos que se formaram dentro de quatro anos após entrar no nono ano (“a taxa de formação de grupo ajustado de quatro anos”), e Nova Jersey tem o critério de considerar uma taxa de formação de grupo ajustado de anos estendidos. Em 2017, a pedido das partes interessadas, o NJDOE incluiu a taxa de formação de grupo ajustado de cinco anos como indicador, além da taxa de formação de quatro anos. Conforme observado no plano de 2017, as partes interessadas também indicaram que estariam interessadas em calcular a porcentagem de alunos que se formaram dentro de seis anos após entrar no 9º ano e que o NJDOE estava comprometido em explorar a viabilidade e os benefícios de incluir a taxa de formação de seis anos no futuro. Depois de conferir com as partes interessadas em 2024 e estudar o impacto da inclusão da taxa de formação de seis anos, o NJDOE concluiu que a taxa de formação de seis anos deve ser incluída, pois permite diferenciação adicional entre escolas. Incluir as taxas de formação de cinco e seis anos permitirá que Nova Jersey mantenha altos padrões para todos os alunos, reconhecendo que alguns alunos precisam de mais tempo para dominar os padrões acadêmicos. </w:t>
      </w:r>
    </w:p>
    <w:p w14:paraId="65B0FA43" w14:textId="77777777" w:rsidR="00935579" w:rsidRPr="00CC1CB4" w:rsidRDefault="00000000" w:rsidP="00935579">
      <w:pPr>
        <w:rPr>
          <w:rFonts w:cs="Times New Roman"/>
          <w:lang w:val="es-ES"/>
        </w:rPr>
      </w:pPr>
      <w:r>
        <w:rPr>
          <w:rFonts w:eastAsia="Times New Roman" w:cs="Times New Roman"/>
          <w:lang w:val="pt-BR"/>
        </w:rPr>
        <w:t xml:space="preserve">As taxas de formação serão calculadas com base nas taxas de formação de todos os alunos e considerarão as taxas de formação do grupo de alunos usando a metodologia de grupo ajustado descrita nas Seções 8101(25) e 8101(23) da ESSA. </w:t>
      </w:r>
    </w:p>
    <w:p w14:paraId="517DC4CA" w14:textId="77777777" w:rsidR="004178B4" w:rsidRPr="00CC1CB4" w:rsidRDefault="00000000" w:rsidP="004178B4">
      <w:pPr>
        <w:rPr>
          <w:rFonts w:cs="Times New Roman"/>
          <w:lang w:val="es-ES"/>
        </w:rPr>
      </w:pPr>
      <w:r>
        <w:rPr>
          <w:rFonts w:eastAsia="Times New Roman" w:cs="Times New Roman"/>
          <w:lang w:val="pt-BR"/>
        </w:rPr>
        <w:t>Observação adicional: A taxa de formação de grupo ajustado federal inclui apenas alunos que atenderam a todos os requisitos de formação estaduais. De acordo com a ESSA, alunos com deficiências que não atenderam a todos os requisitos de formação estaduais (requisitos de curso, frequência e/ou avaliação com base no ano de formação) devido a modificações ou isenções em seus IEPs não estão incluídos como formados (no numerador) na versão federal da taxa de formação. Portanto, a versão federal deve ser usada para responsabilização da ESSA e relatórios federais, e representa uma alteração em relação ao cálculo usado antes de 2021. Devido à análise de desempenho do USED de Nova Jersey de 2019 e ao plano de ação corretiva resultante, esse ajuste foi feito a partir do cálculo da taxa de formação de 2020-2021.</w:t>
      </w:r>
    </w:p>
    <w:p w14:paraId="60F35B2A" w14:textId="77777777" w:rsidR="0032245B" w:rsidRPr="00CC1CB4" w:rsidRDefault="00000000" w:rsidP="0032245B">
      <w:pPr>
        <w:spacing w:line="259" w:lineRule="auto"/>
        <w:rPr>
          <w:rStyle w:val="NJDOEResponse"/>
          <w:lang w:val="es-ES"/>
        </w:rPr>
      </w:pPr>
      <w:r>
        <w:rPr>
          <w:rStyle w:val="NJDOEResponse"/>
          <w:rFonts w:eastAsia="Times New Roman"/>
          <w:color w:val="365F91"/>
          <w:lang w:val="pt-BR"/>
        </w:rPr>
        <w:t>[finalizar resposta do NJDOE]</w:t>
      </w:r>
    </w:p>
    <w:p w14:paraId="72FD35AB" w14:textId="77777777" w:rsidR="00A97953" w:rsidRPr="00CC1CB4" w:rsidRDefault="00000000" w:rsidP="00A97953">
      <w:pPr>
        <w:pStyle w:val="BeginUSED"/>
        <w:rPr>
          <w:rFonts w:cs="Times New Roman"/>
          <w:color w:val="365F91" w:themeColor="accent1" w:themeShade="BF"/>
          <w:lang w:val="es-ES"/>
        </w:rPr>
      </w:pPr>
      <w:r>
        <w:rPr>
          <w:rFonts w:eastAsia="Times New Roman"/>
          <w:color w:val="FFFFFF"/>
          <w:szCs w:val="4"/>
          <w:lang w:val="pt-BR"/>
        </w:rPr>
        <w:t>[iniciar o texto do USED]</w:t>
      </w:r>
    </w:p>
    <w:p w14:paraId="7700D209" w14:textId="77777777" w:rsidR="00AB358C" w:rsidRPr="00CC1CB4" w:rsidRDefault="00000000" w:rsidP="00E747D8">
      <w:pPr>
        <w:pStyle w:val="5"/>
        <w:spacing w:before="0"/>
        <w:ind w:left="288"/>
        <w:rPr>
          <w:lang w:val="es-ES"/>
        </w:rPr>
      </w:pPr>
      <w:r>
        <w:rPr>
          <w:rFonts w:ascii="Cambria" w:eastAsia="Cambria" w:hAnsi="Cambria" w:cs="Times New Roman"/>
          <w:bCs/>
          <w:lang w:val="pt-BR"/>
        </w:rPr>
        <w:t>d. Progresso na obtenção do indicador de proficiência em inglês (ELP)</w:t>
      </w:r>
    </w:p>
    <w:p w14:paraId="75869947" w14:textId="77777777" w:rsidR="0032245B" w:rsidRPr="00CC1CB4" w:rsidRDefault="00000000" w:rsidP="000454D1">
      <w:pPr>
        <w:pStyle w:val="blue"/>
        <w:spacing w:after="0"/>
        <w:ind w:left="288"/>
        <w:rPr>
          <w:lang w:val="es-ES"/>
        </w:rPr>
      </w:pPr>
      <w:r>
        <w:rPr>
          <w:rFonts w:ascii="Cambria" w:eastAsia="Cambria" w:hAnsi="Cambria"/>
          <w:lang w:val="pt-BR"/>
        </w:rPr>
        <w:t xml:space="preserve">Descrever o indicador Progresso na obtenção de ELP, incluindo a definição de ELP do estado, conforme medido pela avaliação de ELP estadual. </w:t>
      </w:r>
    </w:p>
    <w:p w14:paraId="47B33C4B" w14:textId="77777777" w:rsidR="0032245B" w:rsidRPr="00CC1CB4" w:rsidRDefault="00000000" w:rsidP="00A97953">
      <w:pPr>
        <w:pStyle w:val="EndUSED"/>
        <w:rPr>
          <w:b/>
          <w:bCs/>
          <w:i/>
          <w:iCs/>
          <w:lang w:val="es-ES"/>
        </w:rPr>
      </w:pPr>
      <w:r>
        <w:rPr>
          <w:rFonts w:eastAsia="Times New Roman"/>
          <w:color w:val="FFFFFF"/>
          <w:szCs w:val="4"/>
          <w:lang w:val="pt-BR"/>
        </w:rPr>
        <w:t>[finalizar texto do USED]</w:t>
      </w:r>
    </w:p>
    <w:p w14:paraId="421CDAB1" w14:textId="77777777" w:rsidR="0032245B" w:rsidRPr="00CC1CB4" w:rsidRDefault="00000000" w:rsidP="00A37684">
      <w:pPr>
        <w:spacing w:before="240"/>
        <w:rPr>
          <w:rFonts w:cs="Times New Roman"/>
          <w:color w:val="365F91" w:themeColor="accent1" w:themeShade="BF"/>
          <w:lang w:val="es-ES"/>
        </w:rPr>
      </w:pPr>
      <w:r>
        <w:rPr>
          <w:rStyle w:val="NJDOEResponse"/>
          <w:rFonts w:eastAsia="Times New Roman"/>
          <w:color w:val="365F91"/>
          <w:lang w:val="pt-BR"/>
        </w:rPr>
        <w:t>[iniciar a resposta do NJDOE]</w:t>
      </w:r>
    </w:p>
    <w:p w14:paraId="67FEA325" w14:textId="77777777" w:rsidR="003743C8" w:rsidRPr="00CC1CB4" w:rsidRDefault="00000000" w:rsidP="00A92451">
      <w:pPr>
        <w:pStyle w:val="6"/>
        <w:rPr>
          <w:lang w:val="es-ES"/>
        </w:rPr>
      </w:pPr>
      <w:r>
        <w:rPr>
          <w:rFonts w:ascii="Cambria" w:eastAsia="Cambria" w:hAnsi="Cambria" w:cs="Arial"/>
          <w:lang w:val="pt-BR"/>
        </w:rPr>
        <w:t>Progresso em direção à obtenção do indicador de proficiência em inglês</w:t>
      </w:r>
    </w:p>
    <w:p w14:paraId="2EC5C365" w14:textId="77777777" w:rsidR="00745C01" w:rsidRPr="00CC1CB4" w:rsidRDefault="00000000" w:rsidP="00EF257E">
      <w:pPr>
        <w:rPr>
          <w:rFonts w:cs="Times New Roman"/>
          <w:lang w:val="es-ES"/>
        </w:rPr>
      </w:pPr>
      <w:r>
        <w:rPr>
          <w:rFonts w:eastAsia="Times New Roman" w:cs="Times New Roman"/>
          <w:lang w:val="pt-BR"/>
        </w:rPr>
        <w:t xml:space="preserve">O progresso de Nova Jersey em direção ao indicador de proficiência em inglês (ELP) é a porcentagem de alunos multilíngues que fazem progresso anual esperado na avaliação ACCESS for ELLs de proficiência </w:t>
      </w:r>
      <w:r>
        <w:rPr>
          <w:rFonts w:eastAsia="Times New Roman" w:cs="Times New Roman"/>
          <w:lang w:val="pt-BR"/>
        </w:rPr>
        <w:lastRenderedPageBreak/>
        <w:t>em inglês (ELP). O NJDOE não está propondo mudanças no cálculo dessa métrica neste momento, embora o NJDOE esteja comprometido com a parceria com pesquisadores e partes interessadas para explorar continuamente maneiras de melhorar a eficácia desse indicador. Se o NJDOE, em consulta com as partes interessadas, decidir fazer alterações neste indicador, uma futura emenda ao Plano estadual da ESSA seria necessária antes que pudesse ser implementada no sistema de responsabilização.</w:t>
      </w:r>
    </w:p>
    <w:p w14:paraId="73E5C451" w14:textId="77777777" w:rsidR="003743C8" w:rsidRPr="00CC1CB4" w:rsidRDefault="00000000" w:rsidP="00A92451">
      <w:pPr>
        <w:pStyle w:val="6"/>
        <w:rPr>
          <w:lang w:val="es-ES"/>
        </w:rPr>
      </w:pPr>
      <w:r>
        <w:rPr>
          <w:rFonts w:ascii="Cambria" w:eastAsia="Cambria" w:hAnsi="Cambria" w:cs="Arial"/>
          <w:lang w:val="pt-BR"/>
        </w:rPr>
        <w:t>Descrição</w:t>
      </w:r>
    </w:p>
    <w:p w14:paraId="50A95455" w14:textId="77777777" w:rsidR="003743C8" w:rsidRPr="00CC1CB4" w:rsidRDefault="00000000" w:rsidP="6B71CBC4">
      <w:pPr>
        <w:rPr>
          <w:rFonts w:cs="Times New Roman"/>
          <w:lang w:val="es-ES"/>
        </w:rPr>
      </w:pPr>
      <w:r>
        <w:rPr>
          <w:rFonts w:eastAsia="Times New Roman" w:cs="Times New Roman"/>
          <w:lang w:val="pt-BR"/>
        </w:rPr>
        <w:t xml:space="preserve">De acordo com 1111(c)(4)(B)(iv) da ESSA, o progresso do NJDOE em direção ao indicador de proficiência em inglês (ELP) usará a avaliação ACCESS for ELLs para avaliar o progresso em direção à proficiência em inglês (ELP) de um ano para o próximo, com base no nível inicial de alunos individuais no jardim de infância até o 12º ano. Essa medida de progresso reconhece que os alunos que entram em programas de instrução de idiomas e recebem serviços relacionados começam em diferentes níveis de proficiência em inglês. O NJDOE define a pontuação de corte de proficiência como uma pontuação composta de 4,5 no ACCESS for ELLs. </w:t>
      </w:r>
    </w:p>
    <w:p w14:paraId="0B1512EE" w14:textId="77777777" w:rsidR="00594111" w:rsidRPr="00CC1CB4" w:rsidRDefault="00000000" w:rsidP="6B71CBC4">
      <w:pPr>
        <w:rPr>
          <w:rFonts w:cs="Times New Roman"/>
          <w:lang w:val="es-ES"/>
        </w:rPr>
      </w:pPr>
      <w:r>
        <w:rPr>
          <w:rFonts w:eastAsia="Times New Roman" w:cs="Times New Roman"/>
          <w:lang w:val="pt-BR"/>
        </w:rPr>
        <w:t>Para cada aluno multilíngue com um nível de proficiência em inglês (ELP) entre 1 e 4,4, as metas anuais de crescimento esperado serão definidas com base em seu nível inicial de proficiência. O número de anos para os alunos atingirem a proficiência varia com base no nível de proficiência inicial do aluno. A tabela a seguir descreve o número esperado de anos para alcançar a proficiência em inglês (ELP) e como as metas anuais de crescimento esperado serão calculadas para cada aluno multilíngue com base em seu nível de proficiência inicial, mostrado como IY na tabela abaixo.</w:t>
      </w:r>
    </w:p>
    <w:p w14:paraId="4283E3F7" w14:textId="77777777" w:rsidR="00A85659" w:rsidRPr="00CC1CB4" w:rsidRDefault="00000000" w:rsidP="00F86F30">
      <w:pPr>
        <w:pStyle w:val="aff0"/>
        <w:rPr>
          <w:lang w:val="es-ES"/>
        </w:rPr>
      </w:pPr>
      <w:r>
        <w:rPr>
          <w:rFonts w:eastAsia="Cambria"/>
          <w:lang w:val="pt-BR"/>
        </w:rPr>
        <w:t xml:space="preserve">Figura A.9: Metas de crescimento esperadas em nível estudantil </w:t>
      </w:r>
      <w:r>
        <w:rPr>
          <w:rFonts w:eastAsia="Cambria"/>
          <w:lang w:val="pt-BR"/>
        </w:rPr>
        <w:br/>
      </w:r>
      <w:r>
        <w:rPr>
          <w:rFonts w:eastAsia="Cambria"/>
          <w:b w:val="0"/>
          <w:bCs w:val="0"/>
          <w:color w:val="000000"/>
          <w:lang w:val="pt-BR"/>
        </w:rPr>
        <w:t>Observação para pessoas que usam leitores de tela: As equações podem não estar totalmente acessíveis no documento. Portanto, cada equação é seguida por uma versão em palavra da equação em texto branco.</w:t>
      </w:r>
    </w:p>
    <w:tbl>
      <w:tblPr>
        <w:tblStyle w:val="af5"/>
        <w:tblW w:w="9337" w:type="dxa"/>
        <w:tblCellMar>
          <w:top w:w="58" w:type="dxa"/>
          <w:left w:w="58" w:type="dxa"/>
          <w:bottom w:w="58" w:type="dxa"/>
          <w:right w:w="58" w:type="dxa"/>
        </w:tblCellMar>
        <w:tblLook w:val="0420" w:firstRow="1" w:lastRow="0" w:firstColumn="0" w:lastColumn="0" w:noHBand="0" w:noVBand="1"/>
      </w:tblPr>
      <w:tblGrid>
        <w:gridCol w:w="1556"/>
        <w:gridCol w:w="1556"/>
        <w:gridCol w:w="1556"/>
        <w:gridCol w:w="1556"/>
        <w:gridCol w:w="1556"/>
        <w:gridCol w:w="1557"/>
      </w:tblGrid>
      <w:tr w:rsidR="00C566B2" w:rsidRPr="00C04CDD" w14:paraId="3DA34AF3" w14:textId="77777777" w:rsidTr="00DB7476">
        <w:trPr>
          <w:tblHeader/>
        </w:trPr>
        <w:tc>
          <w:tcPr>
            <w:tcW w:w="1556" w:type="dxa"/>
            <w:tcBorders>
              <w:right w:val="single" w:sz="4" w:space="0" w:color="FFFFFF" w:themeColor="background1"/>
            </w:tcBorders>
            <w:shd w:val="clear" w:color="auto" w:fill="215868" w:themeFill="accent5" w:themeFillShade="80"/>
          </w:tcPr>
          <w:p w14:paraId="58CD5AB6" w14:textId="77777777" w:rsidR="005E06D9" w:rsidRPr="00CC1CB4" w:rsidRDefault="00000000" w:rsidP="00380265">
            <w:pPr>
              <w:spacing w:after="120"/>
              <w:rPr>
                <w:b/>
                <w:color w:val="FFFFFF" w:themeColor="background1"/>
                <w:sz w:val="22"/>
                <w:szCs w:val="22"/>
                <w:lang w:val="es-ES"/>
              </w:rPr>
            </w:pPr>
            <w:r>
              <w:rPr>
                <w:rFonts w:eastAsia="Times New Roman"/>
                <w:b/>
                <w:bCs/>
                <w:color w:val="FFFFFF"/>
                <w:sz w:val="22"/>
                <w:szCs w:val="22"/>
                <w:lang w:val="pt-BR"/>
              </w:rPr>
              <w:t>Faixa de nível (IY) de Proficiência em inglês (ELP) na linha basal do aluno</w:t>
            </w:r>
          </w:p>
        </w:tc>
        <w:tc>
          <w:tcPr>
            <w:tcW w:w="1556" w:type="dxa"/>
            <w:tcBorders>
              <w:left w:val="single" w:sz="4" w:space="0" w:color="FFFFFF" w:themeColor="background1"/>
              <w:right w:val="single" w:sz="4" w:space="0" w:color="FFFFFF" w:themeColor="background1"/>
            </w:tcBorders>
            <w:shd w:val="clear" w:color="auto" w:fill="215868" w:themeFill="accent5" w:themeFillShade="80"/>
          </w:tcPr>
          <w:p w14:paraId="591DEC1B" w14:textId="77777777" w:rsidR="00087BCF" w:rsidRPr="00CC1CB4" w:rsidRDefault="00000000" w:rsidP="00380265">
            <w:pPr>
              <w:spacing w:after="120"/>
              <w:rPr>
                <w:b/>
                <w:color w:val="FFFFFF" w:themeColor="background1"/>
                <w:sz w:val="22"/>
                <w:szCs w:val="22"/>
                <w:lang w:val="es-ES"/>
              </w:rPr>
            </w:pPr>
            <w:r>
              <w:rPr>
                <w:rFonts w:eastAsia="Times New Roman"/>
                <w:b/>
                <w:bCs/>
                <w:color w:val="FFFFFF"/>
                <w:sz w:val="22"/>
                <w:szCs w:val="22"/>
                <w:lang w:val="pt-BR"/>
              </w:rPr>
              <w:t>Número de anos esperados para alcançar a proficiência em inglês (ELP)</w:t>
            </w:r>
          </w:p>
        </w:tc>
        <w:tc>
          <w:tcPr>
            <w:tcW w:w="1556" w:type="dxa"/>
            <w:tcBorders>
              <w:left w:val="single" w:sz="4" w:space="0" w:color="FFFFFF" w:themeColor="background1"/>
              <w:right w:val="single" w:sz="4" w:space="0" w:color="FFFFFF" w:themeColor="background1"/>
            </w:tcBorders>
            <w:shd w:val="clear" w:color="auto" w:fill="215868" w:themeFill="accent5" w:themeFillShade="80"/>
          </w:tcPr>
          <w:p w14:paraId="6BF7A88A" w14:textId="77777777" w:rsidR="005E06D9" w:rsidRPr="00CC1CB4" w:rsidRDefault="00000000" w:rsidP="00380265">
            <w:pPr>
              <w:spacing w:after="120"/>
              <w:rPr>
                <w:b/>
                <w:color w:val="FFFFFF" w:themeColor="background1"/>
                <w:sz w:val="22"/>
                <w:szCs w:val="22"/>
                <w:lang w:val="es-ES"/>
              </w:rPr>
            </w:pPr>
            <w:r>
              <w:rPr>
                <w:rFonts w:eastAsia="Times New Roman"/>
                <w:b/>
                <w:bCs/>
                <w:color w:val="FFFFFF"/>
                <w:sz w:val="22"/>
                <w:szCs w:val="22"/>
                <w:lang w:val="pt-BR"/>
              </w:rPr>
              <w:t>Meta de crescimento esperado do aluno para o 1º ano</w:t>
            </w:r>
          </w:p>
        </w:tc>
        <w:tc>
          <w:tcPr>
            <w:tcW w:w="1556" w:type="dxa"/>
            <w:tcBorders>
              <w:left w:val="single" w:sz="4" w:space="0" w:color="FFFFFF" w:themeColor="background1"/>
              <w:right w:val="single" w:sz="4" w:space="0" w:color="FFFFFF" w:themeColor="background1"/>
            </w:tcBorders>
            <w:shd w:val="clear" w:color="auto" w:fill="215868" w:themeFill="accent5" w:themeFillShade="80"/>
          </w:tcPr>
          <w:p w14:paraId="1709A315" w14:textId="77777777" w:rsidR="005E06D9" w:rsidRPr="00CC1CB4" w:rsidRDefault="00000000" w:rsidP="00380265">
            <w:pPr>
              <w:spacing w:after="120"/>
              <w:rPr>
                <w:b/>
                <w:color w:val="FFFFFF" w:themeColor="background1"/>
                <w:sz w:val="22"/>
                <w:szCs w:val="22"/>
                <w:lang w:val="es-ES"/>
              </w:rPr>
            </w:pPr>
            <w:r>
              <w:rPr>
                <w:rFonts w:eastAsia="Times New Roman"/>
                <w:b/>
                <w:bCs/>
                <w:color w:val="FFFFFF"/>
                <w:sz w:val="22"/>
                <w:szCs w:val="22"/>
                <w:lang w:val="pt-BR"/>
              </w:rPr>
              <w:t>Meta de crescimento esperado do aluno para o 2º ano</w:t>
            </w:r>
          </w:p>
        </w:tc>
        <w:tc>
          <w:tcPr>
            <w:tcW w:w="1556" w:type="dxa"/>
            <w:tcBorders>
              <w:left w:val="single" w:sz="4" w:space="0" w:color="FFFFFF" w:themeColor="background1"/>
              <w:right w:val="single" w:sz="4" w:space="0" w:color="FFFFFF" w:themeColor="background1"/>
            </w:tcBorders>
            <w:shd w:val="clear" w:color="auto" w:fill="215868" w:themeFill="accent5" w:themeFillShade="80"/>
          </w:tcPr>
          <w:p w14:paraId="67C2144C" w14:textId="77777777" w:rsidR="005E06D9" w:rsidRPr="00CC1CB4" w:rsidRDefault="00000000" w:rsidP="00380265">
            <w:pPr>
              <w:spacing w:after="120"/>
              <w:rPr>
                <w:b/>
                <w:color w:val="FFFFFF" w:themeColor="background1"/>
                <w:sz w:val="22"/>
                <w:szCs w:val="22"/>
                <w:lang w:val="es-ES"/>
              </w:rPr>
            </w:pPr>
            <w:r>
              <w:rPr>
                <w:rFonts w:eastAsia="Times New Roman"/>
                <w:b/>
                <w:bCs/>
                <w:color w:val="FFFFFF"/>
                <w:sz w:val="22"/>
                <w:szCs w:val="22"/>
                <w:lang w:val="pt-BR"/>
              </w:rPr>
              <w:t>Meta de crescimento esperado do aluno para o 3º ano</w:t>
            </w:r>
          </w:p>
        </w:tc>
        <w:tc>
          <w:tcPr>
            <w:tcW w:w="1557" w:type="dxa"/>
            <w:tcBorders>
              <w:left w:val="single" w:sz="4" w:space="0" w:color="FFFFFF" w:themeColor="background1"/>
            </w:tcBorders>
            <w:shd w:val="clear" w:color="auto" w:fill="215868" w:themeFill="accent5" w:themeFillShade="80"/>
          </w:tcPr>
          <w:p w14:paraId="1B91A63E" w14:textId="77777777" w:rsidR="005E06D9" w:rsidRPr="00CC1CB4" w:rsidRDefault="00000000" w:rsidP="00380265">
            <w:pPr>
              <w:spacing w:after="120"/>
              <w:rPr>
                <w:b/>
                <w:color w:val="FFFFFF" w:themeColor="background1"/>
                <w:sz w:val="22"/>
                <w:szCs w:val="22"/>
                <w:lang w:val="es-ES"/>
              </w:rPr>
            </w:pPr>
            <w:r>
              <w:rPr>
                <w:rFonts w:eastAsia="Times New Roman"/>
                <w:b/>
                <w:bCs/>
                <w:color w:val="FFFFFF"/>
                <w:sz w:val="22"/>
                <w:szCs w:val="22"/>
                <w:lang w:val="pt-BR"/>
              </w:rPr>
              <w:t>Meta de crescimento esperado do aluno para o 4º ano</w:t>
            </w:r>
          </w:p>
        </w:tc>
      </w:tr>
      <w:tr w:rsidR="00C566B2" w14:paraId="171C1910" w14:textId="77777777" w:rsidTr="00CB0C0E">
        <w:trPr>
          <w:trHeight w:val="1156"/>
        </w:trPr>
        <w:tc>
          <w:tcPr>
            <w:tcW w:w="1556" w:type="dxa"/>
          </w:tcPr>
          <w:p w14:paraId="3C7F2F7C" w14:textId="77777777" w:rsidR="005E06D9" w:rsidRPr="00115AA7" w:rsidRDefault="00000000" w:rsidP="00380265">
            <w:pPr>
              <w:spacing w:after="120"/>
              <w:rPr>
                <w:sz w:val="22"/>
                <w:szCs w:val="22"/>
              </w:rPr>
            </w:pPr>
            <w:r>
              <w:rPr>
                <w:rFonts w:eastAsia="Times New Roman"/>
                <w:sz w:val="22"/>
                <w:szCs w:val="22"/>
                <w:lang w:val="pt-BR"/>
              </w:rPr>
              <w:t>1–1,9</w:t>
            </w:r>
          </w:p>
        </w:tc>
        <w:tc>
          <w:tcPr>
            <w:tcW w:w="1556" w:type="dxa"/>
          </w:tcPr>
          <w:p w14:paraId="764D6E67" w14:textId="77777777" w:rsidR="00087BCF" w:rsidRPr="00115AA7" w:rsidRDefault="00000000" w:rsidP="00380265">
            <w:pPr>
              <w:spacing w:after="120"/>
              <w:rPr>
                <w:sz w:val="22"/>
                <w:szCs w:val="22"/>
              </w:rPr>
            </w:pPr>
            <w:r>
              <w:rPr>
                <w:rFonts w:eastAsia="Times New Roman"/>
                <w:sz w:val="22"/>
                <w:szCs w:val="22"/>
                <w:lang w:val="pt-BR"/>
              </w:rPr>
              <w:t>4</w:t>
            </w:r>
          </w:p>
        </w:tc>
        <w:tc>
          <w:tcPr>
            <w:tcW w:w="1556" w:type="dxa"/>
          </w:tcPr>
          <w:p w14:paraId="139154C4" w14:textId="77777777" w:rsidR="005E06D9" w:rsidRPr="00CC1CB4" w:rsidRDefault="00000000" w:rsidP="00380265">
            <w:pPr>
              <w:spacing w:after="120"/>
              <w:rPr>
                <w:lang w:val="es-ES"/>
              </w:rPr>
            </w:pPr>
            <w:r>
              <w:rPr>
                <w:rFonts w:eastAsia="Times New Roman"/>
                <w:lang w:val="pt-BR"/>
              </w:rPr>
              <w:t>IY + (4,5 − IY)/4</w:t>
            </w:r>
          </w:p>
          <w:p w14:paraId="496D93AE" w14:textId="77777777" w:rsidR="00BF0ED9" w:rsidRPr="00CC1CB4" w:rsidRDefault="00000000" w:rsidP="00380265">
            <w:pPr>
              <w:spacing w:after="120"/>
              <w:rPr>
                <w:sz w:val="10"/>
                <w:szCs w:val="10"/>
                <w:lang w:val="es-ES"/>
              </w:rPr>
            </w:pPr>
            <w:r>
              <w:rPr>
                <w:rFonts w:eastAsia="Times New Roman"/>
                <w:color w:val="FFFFFF"/>
                <w:sz w:val="10"/>
                <w:szCs w:val="10"/>
                <w:lang w:val="pt-BR"/>
              </w:rPr>
              <w:t>(versão da palavra: IY mais parênteses iniciais quatro vírgula cinco menos parênteses finais IY divididos por quatro)</w:t>
            </w:r>
          </w:p>
        </w:tc>
        <w:tc>
          <w:tcPr>
            <w:tcW w:w="1556" w:type="dxa"/>
          </w:tcPr>
          <w:p w14:paraId="0BC7680F" w14:textId="77777777" w:rsidR="005E06D9" w:rsidRPr="00CC1CB4" w:rsidRDefault="00000000" w:rsidP="00380265">
            <w:pPr>
              <w:spacing w:after="120"/>
              <w:rPr>
                <w:lang w:val="es-ES"/>
              </w:rPr>
            </w:pPr>
            <w:r>
              <w:rPr>
                <w:rFonts w:eastAsia="Times New Roman"/>
                <w:lang w:val="pt-BR"/>
              </w:rPr>
              <w:t>IY + [(4,5 − IY)/4] × 2</w:t>
            </w:r>
          </w:p>
          <w:p w14:paraId="7BEFC5DC" w14:textId="77777777" w:rsidR="00E56070" w:rsidRPr="00CC1CB4" w:rsidRDefault="00000000" w:rsidP="00380265">
            <w:pPr>
              <w:spacing w:after="120"/>
              <w:rPr>
                <w:sz w:val="10"/>
                <w:szCs w:val="10"/>
                <w:lang w:val="es-ES"/>
              </w:rPr>
            </w:pPr>
            <w:r>
              <w:rPr>
                <w:rFonts w:eastAsia="Times New Roman"/>
                <w:color w:val="FFFFFF"/>
                <w:sz w:val="10"/>
                <w:szCs w:val="10"/>
                <w:lang w:val="pt-BR"/>
              </w:rPr>
              <w:t>(versão da palavra: IY mais chaves iniciais, parênteses quatro vírgula cinco menos IY com parênteses finais divididos por quatro, chaves finais vezes dois)</w:t>
            </w:r>
          </w:p>
        </w:tc>
        <w:tc>
          <w:tcPr>
            <w:tcW w:w="1556" w:type="dxa"/>
          </w:tcPr>
          <w:p w14:paraId="388694E4" w14:textId="77777777" w:rsidR="005E06D9" w:rsidRPr="00CC1CB4" w:rsidRDefault="00000000" w:rsidP="00380265">
            <w:pPr>
              <w:spacing w:after="120"/>
              <w:rPr>
                <w:lang w:val="es-ES"/>
              </w:rPr>
            </w:pPr>
            <w:r>
              <w:rPr>
                <w:rFonts w:eastAsia="Times New Roman"/>
                <w:lang w:val="pt-BR"/>
              </w:rPr>
              <w:t>IY + [(4,5 − IY)/4] × 3</w:t>
            </w:r>
          </w:p>
          <w:p w14:paraId="1E0AADFF" w14:textId="77777777" w:rsidR="00E56070" w:rsidRPr="00CC1CB4" w:rsidRDefault="00000000" w:rsidP="00380265">
            <w:pPr>
              <w:spacing w:after="120"/>
              <w:rPr>
                <w:sz w:val="10"/>
                <w:szCs w:val="10"/>
                <w:lang w:val="es-ES"/>
              </w:rPr>
            </w:pPr>
            <w:r>
              <w:rPr>
                <w:rFonts w:eastAsia="Times New Roman"/>
                <w:color w:val="FFFFFF"/>
                <w:sz w:val="10"/>
                <w:szCs w:val="10"/>
                <w:lang w:val="pt-BR"/>
              </w:rPr>
              <w:t>(versão da palavra: IY mais chaves iniciais, parênteses quatro vírgula cinco menos IY com parênteses finais divididos por quatro, chaves finais vezes três)</w:t>
            </w:r>
          </w:p>
        </w:tc>
        <w:tc>
          <w:tcPr>
            <w:tcW w:w="1557" w:type="dxa"/>
          </w:tcPr>
          <w:p w14:paraId="1AC1C7D6" w14:textId="77777777" w:rsidR="005E06D9" w:rsidRPr="000A443D" w:rsidRDefault="00000000" w:rsidP="00380265">
            <w:pPr>
              <w:spacing w:after="120"/>
            </w:pPr>
            <w:r>
              <w:rPr>
                <w:rFonts w:eastAsia="Times New Roman"/>
                <w:lang w:val="pt-BR"/>
              </w:rPr>
              <w:t>4,5</w:t>
            </w:r>
          </w:p>
        </w:tc>
      </w:tr>
      <w:tr w:rsidR="00C566B2" w14:paraId="6A722A02" w14:textId="77777777" w:rsidTr="00CB0C0E">
        <w:tc>
          <w:tcPr>
            <w:tcW w:w="1556" w:type="dxa"/>
          </w:tcPr>
          <w:p w14:paraId="2BFA36C2" w14:textId="77777777" w:rsidR="005E06D9" w:rsidRPr="00115AA7" w:rsidRDefault="00000000" w:rsidP="00380265">
            <w:pPr>
              <w:spacing w:after="120"/>
              <w:rPr>
                <w:sz w:val="22"/>
                <w:szCs w:val="22"/>
              </w:rPr>
            </w:pPr>
            <w:r>
              <w:rPr>
                <w:rFonts w:eastAsia="Times New Roman"/>
                <w:sz w:val="22"/>
                <w:szCs w:val="22"/>
                <w:lang w:val="pt-BR"/>
              </w:rPr>
              <w:t>2–2,9</w:t>
            </w:r>
          </w:p>
        </w:tc>
        <w:tc>
          <w:tcPr>
            <w:tcW w:w="1556" w:type="dxa"/>
          </w:tcPr>
          <w:p w14:paraId="39136FF1" w14:textId="77777777" w:rsidR="00087BCF" w:rsidRPr="00115AA7" w:rsidRDefault="00000000" w:rsidP="00380265">
            <w:pPr>
              <w:spacing w:after="120"/>
              <w:rPr>
                <w:sz w:val="22"/>
                <w:szCs w:val="22"/>
              </w:rPr>
            </w:pPr>
            <w:r>
              <w:rPr>
                <w:rFonts w:eastAsia="Times New Roman"/>
                <w:sz w:val="22"/>
                <w:szCs w:val="22"/>
                <w:lang w:val="pt-BR"/>
              </w:rPr>
              <w:t>3</w:t>
            </w:r>
          </w:p>
        </w:tc>
        <w:tc>
          <w:tcPr>
            <w:tcW w:w="1556" w:type="dxa"/>
          </w:tcPr>
          <w:p w14:paraId="39BA449F" w14:textId="77777777" w:rsidR="005E06D9" w:rsidRPr="00CC1CB4" w:rsidRDefault="00000000" w:rsidP="00380265">
            <w:pPr>
              <w:spacing w:after="120"/>
              <w:rPr>
                <w:lang w:val="es-ES"/>
              </w:rPr>
            </w:pPr>
            <w:r>
              <w:rPr>
                <w:rFonts w:eastAsia="Times New Roman"/>
                <w:lang w:val="pt-BR"/>
              </w:rPr>
              <w:t>IY + (4,5 − IY)/3</w:t>
            </w:r>
          </w:p>
          <w:p w14:paraId="39E759F5" w14:textId="77777777" w:rsidR="00E56070" w:rsidRPr="00CC1CB4" w:rsidRDefault="00000000" w:rsidP="00380265">
            <w:pPr>
              <w:spacing w:after="120"/>
              <w:rPr>
                <w:sz w:val="10"/>
                <w:szCs w:val="10"/>
                <w:lang w:val="es-ES"/>
              </w:rPr>
            </w:pPr>
            <w:r>
              <w:rPr>
                <w:rFonts w:eastAsia="Times New Roman"/>
                <w:color w:val="FFFFFF"/>
                <w:sz w:val="10"/>
                <w:szCs w:val="10"/>
                <w:lang w:val="pt-BR"/>
              </w:rPr>
              <w:t>(versão da palavra: IY mais parênteses iniciais quatro vírgula cinco menos parênteses finais IY divididos por três)</w:t>
            </w:r>
          </w:p>
        </w:tc>
        <w:tc>
          <w:tcPr>
            <w:tcW w:w="1556" w:type="dxa"/>
          </w:tcPr>
          <w:p w14:paraId="7B72EFCE" w14:textId="77777777" w:rsidR="005E06D9" w:rsidRPr="00CC1CB4" w:rsidRDefault="00000000" w:rsidP="00380265">
            <w:pPr>
              <w:spacing w:after="120"/>
              <w:rPr>
                <w:lang w:val="es-ES"/>
              </w:rPr>
            </w:pPr>
            <w:r>
              <w:rPr>
                <w:rFonts w:eastAsia="Times New Roman"/>
                <w:lang w:val="pt-BR"/>
              </w:rPr>
              <w:t>IY + [(4,5 – IY)/3] × 2</w:t>
            </w:r>
          </w:p>
          <w:p w14:paraId="0366AFF2" w14:textId="77777777" w:rsidR="00A50B6F" w:rsidRPr="00CC1CB4" w:rsidRDefault="00000000" w:rsidP="00380265">
            <w:pPr>
              <w:spacing w:after="120"/>
              <w:rPr>
                <w:sz w:val="10"/>
                <w:szCs w:val="10"/>
                <w:lang w:val="es-ES"/>
              </w:rPr>
            </w:pPr>
            <w:r>
              <w:rPr>
                <w:rFonts w:eastAsia="Times New Roman"/>
                <w:color w:val="FFFFFF"/>
                <w:sz w:val="10"/>
                <w:szCs w:val="10"/>
                <w:lang w:val="pt-BR"/>
              </w:rPr>
              <w:t>(versão da palavra: IY mais chaves iniciais, parênteses quatro vírgula cinco menos IY parênteses finais dividido por três, chaves finais vezes dois)</w:t>
            </w:r>
          </w:p>
        </w:tc>
        <w:tc>
          <w:tcPr>
            <w:tcW w:w="1556" w:type="dxa"/>
          </w:tcPr>
          <w:p w14:paraId="15787F01" w14:textId="77777777" w:rsidR="005E06D9" w:rsidRPr="000A443D" w:rsidRDefault="00000000" w:rsidP="00380265">
            <w:pPr>
              <w:spacing w:after="120"/>
            </w:pPr>
            <w:r>
              <w:rPr>
                <w:rFonts w:eastAsia="Times New Roman"/>
                <w:lang w:val="pt-BR"/>
              </w:rPr>
              <w:t>4,5</w:t>
            </w:r>
          </w:p>
        </w:tc>
        <w:tc>
          <w:tcPr>
            <w:tcW w:w="1557" w:type="dxa"/>
          </w:tcPr>
          <w:p w14:paraId="4AAD03A8" w14:textId="77777777" w:rsidR="005E06D9" w:rsidRPr="000A443D" w:rsidRDefault="00000000" w:rsidP="00380265">
            <w:pPr>
              <w:spacing w:after="120"/>
            </w:pPr>
            <w:r>
              <w:rPr>
                <w:rFonts w:eastAsia="Times New Roman"/>
                <w:lang w:val="pt-BR"/>
              </w:rPr>
              <w:t>n/a</w:t>
            </w:r>
          </w:p>
        </w:tc>
      </w:tr>
      <w:tr w:rsidR="00C566B2" w14:paraId="775700C9" w14:textId="77777777" w:rsidTr="00CB0C0E">
        <w:tc>
          <w:tcPr>
            <w:tcW w:w="1556" w:type="dxa"/>
          </w:tcPr>
          <w:p w14:paraId="38C270BC" w14:textId="77777777" w:rsidR="005E06D9" w:rsidRPr="00115AA7" w:rsidRDefault="00000000" w:rsidP="00380265">
            <w:pPr>
              <w:spacing w:after="120"/>
              <w:rPr>
                <w:sz w:val="22"/>
                <w:szCs w:val="22"/>
              </w:rPr>
            </w:pPr>
            <w:r>
              <w:rPr>
                <w:rFonts w:eastAsia="Times New Roman"/>
                <w:sz w:val="22"/>
                <w:szCs w:val="22"/>
                <w:lang w:val="pt-BR"/>
              </w:rPr>
              <w:t>3–3,9</w:t>
            </w:r>
          </w:p>
        </w:tc>
        <w:tc>
          <w:tcPr>
            <w:tcW w:w="1556" w:type="dxa"/>
          </w:tcPr>
          <w:p w14:paraId="166BA641" w14:textId="77777777" w:rsidR="00087BCF" w:rsidRPr="00115AA7" w:rsidRDefault="00000000" w:rsidP="00380265">
            <w:pPr>
              <w:spacing w:after="120"/>
              <w:rPr>
                <w:sz w:val="22"/>
                <w:szCs w:val="22"/>
              </w:rPr>
            </w:pPr>
            <w:r>
              <w:rPr>
                <w:rFonts w:eastAsia="Times New Roman"/>
                <w:sz w:val="22"/>
                <w:szCs w:val="22"/>
                <w:lang w:val="pt-BR"/>
              </w:rPr>
              <w:t>2</w:t>
            </w:r>
          </w:p>
        </w:tc>
        <w:tc>
          <w:tcPr>
            <w:tcW w:w="1556" w:type="dxa"/>
          </w:tcPr>
          <w:p w14:paraId="3AD5C9CE" w14:textId="77777777" w:rsidR="005E06D9" w:rsidRPr="00CC1CB4" w:rsidRDefault="00000000" w:rsidP="00380265">
            <w:pPr>
              <w:spacing w:after="120"/>
              <w:rPr>
                <w:lang w:val="es-ES"/>
              </w:rPr>
            </w:pPr>
            <w:r>
              <w:rPr>
                <w:rFonts w:eastAsia="Times New Roman"/>
                <w:lang w:val="pt-BR"/>
              </w:rPr>
              <w:t>IY + (4,5 − IY)/2</w:t>
            </w:r>
          </w:p>
          <w:p w14:paraId="36ABB489" w14:textId="77777777" w:rsidR="00710C04" w:rsidRPr="00CC1CB4" w:rsidRDefault="00000000" w:rsidP="00380265">
            <w:pPr>
              <w:spacing w:after="120"/>
              <w:rPr>
                <w:sz w:val="10"/>
                <w:szCs w:val="10"/>
                <w:lang w:val="es-ES"/>
              </w:rPr>
            </w:pPr>
            <w:r>
              <w:rPr>
                <w:rFonts w:eastAsia="Times New Roman"/>
                <w:color w:val="FFFFFF"/>
                <w:sz w:val="10"/>
                <w:szCs w:val="10"/>
                <w:lang w:val="pt-BR"/>
              </w:rPr>
              <w:t xml:space="preserve">(versão da palavra: IY mais parênteses iniciais, quatro vírgula </w:t>
            </w:r>
            <w:r>
              <w:rPr>
                <w:rFonts w:eastAsia="Times New Roman"/>
                <w:color w:val="FFFFFF"/>
                <w:sz w:val="10"/>
                <w:szCs w:val="10"/>
                <w:lang w:val="pt-BR"/>
              </w:rPr>
              <w:lastRenderedPageBreak/>
              <w:t>cinco menos IY, parênteses finais divididos por dois)</w:t>
            </w:r>
          </w:p>
        </w:tc>
        <w:tc>
          <w:tcPr>
            <w:tcW w:w="1556" w:type="dxa"/>
          </w:tcPr>
          <w:p w14:paraId="7439B74B" w14:textId="77777777" w:rsidR="005E06D9" w:rsidRPr="000A443D" w:rsidRDefault="00000000" w:rsidP="00380265">
            <w:pPr>
              <w:spacing w:after="120"/>
            </w:pPr>
            <w:r>
              <w:rPr>
                <w:rFonts w:eastAsia="Times New Roman"/>
                <w:lang w:val="pt-BR"/>
              </w:rPr>
              <w:lastRenderedPageBreak/>
              <w:t>4,5</w:t>
            </w:r>
          </w:p>
        </w:tc>
        <w:tc>
          <w:tcPr>
            <w:tcW w:w="1556" w:type="dxa"/>
          </w:tcPr>
          <w:p w14:paraId="6539BC0B" w14:textId="77777777" w:rsidR="005E06D9" w:rsidRPr="000A443D" w:rsidRDefault="00000000" w:rsidP="00380265">
            <w:pPr>
              <w:spacing w:after="120"/>
            </w:pPr>
            <w:r>
              <w:rPr>
                <w:rFonts w:eastAsia="Times New Roman"/>
                <w:lang w:val="pt-BR"/>
              </w:rPr>
              <w:t>n/a</w:t>
            </w:r>
          </w:p>
        </w:tc>
        <w:tc>
          <w:tcPr>
            <w:tcW w:w="1557" w:type="dxa"/>
          </w:tcPr>
          <w:p w14:paraId="72EFDF50" w14:textId="77777777" w:rsidR="005E06D9" w:rsidRPr="000A443D" w:rsidRDefault="00000000" w:rsidP="00380265">
            <w:pPr>
              <w:spacing w:after="120"/>
            </w:pPr>
            <w:r>
              <w:rPr>
                <w:rFonts w:eastAsia="Times New Roman"/>
                <w:lang w:val="pt-BR"/>
              </w:rPr>
              <w:t>n/a</w:t>
            </w:r>
          </w:p>
        </w:tc>
      </w:tr>
      <w:tr w:rsidR="00C566B2" w14:paraId="3D6C168D" w14:textId="77777777" w:rsidTr="00CB0C0E">
        <w:tc>
          <w:tcPr>
            <w:tcW w:w="1556" w:type="dxa"/>
          </w:tcPr>
          <w:p w14:paraId="5FC6219E" w14:textId="77777777" w:rsidR="005E06D9" w:rsidRPr="00115AA7" w:rsidRDefault="00000000" w:rsidP="00380265">
            <w:pPr>
              <w:spacing w:after="120"/>
              <w:rPr>
                <w:sz w:val="22"/>
                <w:szCs w:val="22"/>
              </w:rPr>
            </w:pPr>
            <w:r>
              <w:rPr>
                <w:rFonts w:eastAsia="Times New Roman"/>
                <w:sz w:val="22"/>
                <w:szCs w:val="22"/>
                <w:lang w:val="pt-BR"/>
              </w:rPr>
              <w:t>4–4,4</w:t>
            </w:r>
          </w:p>
        </w:tc>
        <w:tc>
          <w:tcPr>
            <w:tcW w:w="1556" w:type="dxa"/>
          </w:tcPr>
          <w:p w14:paraId="4F049B51" w14:textId="77777777" w:rsidR="00087BCF" w:rsidRPr="00115AA7" w:rsidRDefault="00000000" w:rsidP="00380265">
            <w:pPr>
              <w:spacing w:after="120"/>
              <w:rPr>
                <w:sz w:val="22"/>
                <w:szCs w:val="22"/>
              </w:rPr>
            </w:pPr>
            <w:r>
              <w:rPr>
                <w:rFonts w:eastAsia="Times New Roman"/>
                <w:sz w:val="22"/>
                <w:szCs w:val="22"/>
                <w:lang w:val="pt-BR"/>
              </w:rPr>
              <w:t>1</w:t>
            </w:r>
          </w:p>
        </w:tc>
        <w:tc>
          <w:tcPr>
            <w:tcW w:w="1556" w:type="dxa"/>
          </w:tcPr>
          <w:p w14:paraId="7EC741FF" w14:textId="77777777" w:rsidR="005E06D9" w:rsidRPr="000A443D" w:rsidRDefault="00000000" w:rsidP="00380265">
            <w:pPr>
              <w:spacing w:after="120"/>
            </w:pPr>
            <w:r>
              <w:rPr>
                <w:rFonts w:eastAsia="Times New Roman"/>
                <w:lang w:val="pt-BR"/>
              </w:rPr>
              <w:t>4,5</w:t>
            </w:r>
          </w:p>
        </w:tc>
        <w:tc>
          <w:tcPr>
            <w:tcW w:w="1556" w:type="dxa"/>
          </w:tcPr>
          <w:p w14:paraId="3D3BD018" w14:textId="77777777" w:rsidR="005E06D9" w:rsidRPr="000A443D" w:rsidRDefault="00000000" w:rsidP="00380265">
            <w:pPr>
              <w:spacing w:after="120"/>
            </w:pPr>
            <w:r>
              <w:rPr>
                <w:rFonts w:eastAsia="Times New Roman"/>
                <w:lang w:val="pt-BR"/>
              </w:rPr>
              <w:t>n/a</w:t>
            </w:r>
          </w:p>
        </w:tc>
        <w:tc>
          <w:tcPr>
            <w:tcW w:w="1556" w:type="dxa"/>
          </w:tcPr>
          <w:p w14:paraId="3AAAF752" w14:textId="77777777" w:rsidR="005E06D9" w:rsidRPr="000A443D" w:rsidRDefault="00000000" w:rsidP="00380265">
            <w:pPr>
              <w:spacing w:after="120"/>
            </w:pPr>
            <w:r>
              <w:rPr>
                <w:rFonts w:eastAsia="Times New Roman"/>
                <w:lang w:val="pt-BR"/>
              </w:rPr>
              <w:t>n/a</w:t>
            </w:r>
          </w:p>
        </w:tc>
        <w:tc>
          <w:tcPr>
            <w:tcW w:w="1557" w:type="dxa"/>
          </w:tcPr>
          <w:p w14:paraId="4BDECD05" w14:textId="77777777" w:rsidR="005E06D9" w:rsidRPr="000A443D" w:rsidRDefault="00000000" w:rsidP="00380265">
            <w:pPr>
              <w:spacing w:after="120"/>
            </w:pPr>
            <w:r>
              <w:rPr>
                <w:rFonts w:eastAsia="Times New Roman"/>
                <w:lang w:val="pt-BR"/>
              </w:rPr>
              <w:t>n/a</w:t>
            </w:r>
          </w:p>
        </w:tc>
      </w:tr>
    </w:tbl>
    <w:p w14:paraId="76AA01FA" w14:textId="77777777" w:rsidR="00275047" w:rsidRPr="00CC1CB4" w:rsidRDefault="00000000" w:rsidP="00BF0ED9">
      <w:pPr>
        <w:spacing w:before="240"/>
        <w:rPr>
          <w:rFonts w:cs="Times New Roman"/>
          <w:lang w:val="es-ES"/>
        </w:rPr>
      </w:pPr>
      <w:r>
        <w:rPr>
          <w:rFonts w:eastAsia="Times New Roman" w:cs="Times New Roman"/>
          <w:lang w:val="pt-BR"/>
        </w:rPr>
        <w:t>Se o nível de desempenho da ACCESS for ELLs de um aluno atender ou exceder a meta de crescimento esperada para os anos 1 a 4, o aluno será considerado como tendo feito o progresso esperado para o ano determinado. Se um aluno não atingir a proficiência em inglês dentro do número esperado de anos com base em seu nível inicial de proficiência, as metas de crescimento futuro esperado do aluno serão de 4,5 para todos os anos subsequentes em que o aluno continuar a fazer a avaliação ACCESS for ELLs. Os alunos com um nível de proficiência inicial de 4,5 no primeiro ano que fizerem a avaliação ACCESS for ELLs serão considerados como tendo feito o progresso esperado para o determinado ano.</w:t>
      </w:r>
    </w:p>
    <w:p w14:paraId="731ABD17" w14:textId="77777777" w:rsidR="00D06D21" w:rsidRPr="00CC1CB4" w:rsidRDefault="00000000" w:rsidP="6B71CBC4">
      <w:pPr>
        <w:rPr>
          <w:rFonts w:cs="Times New Roman"/>
          <w:lang w:val="es-ES"/>
        </w:rPr>
      </w:pPr>
      <w:r>
        <w:rPr>
          <w:rFonts w:eastAsia="Times New Roman" w:cs="Times New Roman"/>
          <w:lang w:val="pt-BR"/>
        </w:rPr>
        <w:t>No nível escolar, o progresso em direção à medida de proficiência em inglês (ELP) é a porcentagem de alunos multilíngues que obtiveram uma pontuação proficiente (nível de desempenho de 4,5) em seu primeiro ano fazendo a avaliação ACCESS for ELLs ou demonstraram a quantidade anual esperada de crescimento com base nas metas descritas na tabela acima. A medida inclui todos os alunos multilíngues que fizeram a avaliação ACCESS for ELLs no ano letivo atual e pelo menos uma vez em um ano anterior, e alunos multilíngues que fizeram a avaliação pela primeira vez no ano atual e obtiveram uma pontuação proficiente.</w:t>
      </w:r>
    </w:p>
    <w:p w14:paraId="63D52380" w14:textId="77777777" w:rsidR="00441589" w:rsidRPr="00CC1CB4" w:rsidRDefault="00000000" w:rsidP="008A2293">
      <w:pPr>
        <w:rPr>
          <w:rFonts w:cs="Times New Roman"/>
          <w:lang w:val="es-ES"/>
        </w:rPr>
      </w:pPr>
      <w:r>
        <w:rPr>
          <w:rFonts w:eastAsia="Times New Roman" w:cs="Times New Roman"/>
          <w:lang w:val="pt-BR"/>
        </w:rPr>
        <w:t>Esse indicador pode ser usado para comparar o desempenho entre escolas porque a ACCESS for ELLs é uma avaliação em todo o estado e todos os alunos são medidos pelos mesmos padrões. A ACCESS for ELLs foi considerado uma avaliação válida para a medição da ELP com base nos Padrões de desenvolvimento de idioma inglês do WIDA (English Language Development Standards). Ele atende aos requisitos federais para o monitoramento e relato do progresso do aluno multilíngue para a obtenção da proficiência em inglês (ELP).</w:t>
      </w:r>
    </w:p>
    <w:p w14:paraId="02BFC0FE" w14:textId="77777777" w:rsidR="008A2293" w:rsidRPr="00CC1CB4" w:rsidRDefault="00000000" w:rsidP="007A6820">
      <w:pPr>
        <w:rPr>
          <w:rFonts w:cs="Times New Roman"/>
          <w:lang w:val="es-ES"/>
        </w:rPr>
      </w:pPr>
      <w:r>
        <w:rPr>
          <w:rFonts w:eastAsia="Times New Roman" w:cs="Times New Roman"/>
          <w:lang w:val="pt-BR"/>
        </w:rPr>
        <w:t>O NJDOE planeja explorar o uso de modelos de crescimento alternativos para o progresso em direção à proficiência em inglês (ELP) nos próximos anos por meio de várias iniciativas: colaboração com o Regional Education Laboratory (REL) em um estudo de pesquisa de longo prazo que explora maneiras de medir a contribuição de uma escola para a proficiência em inglês (ELP), colaboração com o Comitê Consultivo Bilíngue de Nova Jersey e um foco contínuo na análise colaborativa de dados. O NJDOE continuará a revisar os dados de desempenho longitudinal à medida que forem disponibilizados para garantir que este indicador esteja fornecendo dados perspicazes e acionáveis para as partes interessadas em todo o estado.</w:t>
      </w:r>
    </w:p>
    <w:p w14:paraId="115B7B6F" w14:textId="77777777" w:rsidR="0032245B" w:rsidRPr="00CC1CB4" w:rsidRDefault="00000000" w:rsidP="0032245B">
      <w:pPr>
        <w:spacing w:line="259" w:lineRule="auto"/>
        <w:rPr>
          <w:rStyle w:val="NJDOEResponse"/>
          <w:lang w:val="es-ES"/>
        </w:rPr>
      </w:pPr>
      <w:bookmarkStart w:id="83" w:name="_Hlk166071022"/>
      <w:r>
        <w:rPr>
          <w:rStyle w:val="NJDOEResponse"/>
          <w:rFonts w:eastAsia="Times New Roman"/>
          <w:color w:val="365F91"/>
          <w:lang w:val="pt-BR"/>
        </w:rPr>
        <w:t>[finalizar resposta do NJDOE]</w:t>
      </w:r>
    </w:p>
    <w:bookmarkEnd w:id="83"/>
    <w:p w14:paraId="7D9B1CC7" w14:textId="77777777" w:rsidR="0032245B" w:rsidRPr="00CC1CB4" w:rsidRDefault="00000000" w:rsidP="00A97953">
      <w:pPr>
        <w:pStyle w:val="BeginUSED"/>
        <w:rPr>
          <w:lang w:val="es-ES"/>
        </w:rPr>
      </w:pPr>
      <w:r>
        <w:rPr>
          <w:rFonts w:eastAsia="Times New Roman"/>
          <w:color w:val="FFFFFF"/>
          <w:szCs w:val="4"/>
          <w:lang w:val="pt-BR"/>
        </w:rPr>
        <w:t>[iniciar o texto do USED]</w:t>
      </w:r>
    </w:p>
    <w:p w14:paraId="42ABEBC3" w14:textId="77777777" w:rsidR="00A928CD" w:rsidRPr="00CC1CB4" w:rsidRDefault="00000000" w:rsidP="002B009E">
      <w:pPr>
        <w:pStyle w:val="5"/>
        <w:spacing w:before="0"/>
        <w:ind w:left="288"/>
        <w:rPr>
          <w:lang w:val="es-ES"/>
        </w:rPr>
      </w:pPr>
      <w:r>
        <w:rPr>
          <w:rFonts w:ascii="Cambria" w:eastAsia="Cambria" w:hAnsi="Cambria" w:cs="Times New Roman"/>
          <w:bCs/>
          <w:lang w:val="pt-BR"/>
        </w:rPr>
        <w:lastRenderedPageBreak/>
        <w:t>e. Indicador(es) de qualidade escolar ou sucesso do aluno</w:t>
      </w:r>
    </w:p>
    <w:p w14:paraId="58808037" w14:textId="77777777" w:rsidR="00A928CD" w:rsidRPr="00CC1CB4" w:rsidRDefault="00000000" w:rsidP="00A928CD">
      <w:pPr>
        <w:pStyle w:val="blue"/>
        <w:rPr>
          <w:lang w:val="es-ES"/>
        </w:rPr>
      </w:pPr>
      <w:r>
        <w:rPr>
          <w:rFonts w:ascii="Cambria" w:eastAsia="Cambria" w:hAnsi="Cambria"/>
          <w:lang w:val="pt-BR"/>
        </w:rPr>
        <w:t xml:space="preserve">Descrever cada indicador de qualidade escolar ou de sucesso do aluno, incluindo, para cada indicador: </w:t>
      </w:r>
    </w:p>
    <w:p w14:paraId="54C398CB" w14:textId="77777777" w:rsidR="00A928CD" w:rsidRPr="00CC1CB4" w:rsidRDefault="00000000">
      <w:pPr>
        <w:pStyle w:val="blue"/>
        <w:numPr>
          <w:ilvl w:val="0"/>
          <w:numId w:val="177"/>
        </w:numPr>
        <w:rPr>
          <w:lang w:val="es-ES"/>
        </w:rPr>
      </w:pPr>
      <w:r>
        <w:rPr>
          <w:rFonts w:ascii="Cambria" w:eastAsia="Cambria" w:hAnsi="Cambria"/>
          <w:lang w:val="pt-BR"/>
        </w:rPr>
        <w:t>como isso permite uma diferenciação significativa no desempenho escolar;</w:t>
      </w:r>
    </w:p>
    <w:p w14:paraId="6EC98347" w14:textId="77777777" w:rsidR="00A928CD" w:rsidRPr="00CC1CB4" w:rsidRDefault="00000000">
      <w:pPr>
        <w:pStyle w:val="blue"/>
        <w:numPr>
          <w:ilvl w:val="0"/>
          <w:numId w:val="177"/>
        </w:numPr>
        <w:rPr>
          <w:lang w:val="es-ES"/>
        </w:rPr>
      </w:pPr>
      <w:r>
        <w:rPr>
          <w:rFonts w:ascii="Cambria" w:eastAsia="Cambria" w:hAnsi="Cambria"/>
          <w:lang w:val="pt-BR"/>
        </w:rPr>
        <w:t>que é válido, confiável, comparável e em todo o estado (para o intervalo(s) de classificação ao qual se aplica);</w:t>
      </w:r>
    </w:p>
    <w:p w14:paraId="43BE2B56" w14:textId="77777777" w:rsidR="00A928CD" w:rsidRPr="00CC1CB4" w:rsidRDefault="00000000">
      <w:pPr>
        <w:pStyle w:val="blue"/>
        <w:numPr>
          <w:ilvl w:val="0"/>
          <w:numId w:val="177"/>
        </w:numPr>
        <w:rPr>
          <w:lang w:val="es-ES"/>
        </w:rPr>
      </w:pPr>
      <w:r>
        <w:rPr>
          <w:rFonts w:ascii="Cambria" w:eastAsia="Cambria" w:hAnsi="Cambria"/>
          <w:lang w:val="pt-BR"/>
        </w:rPr>
        <w:t>de como cada indicador mede anualmente o desempenho de todos os alunos e separadamente para cada subgrupo de alunos.</w:t>
      </w:r>
    </w:p>
    <w:p w14:paraId="7191557C" w14:textId="77777777" w:rsidR="00D20C90" w:rsidRPr="00CC1CB4" w:rsidRDefault="00000000" w:rsidP="000454D1">
      <w:pPr>
        <w:pStyle w:val="blue"/>
        <w:spacing w:after="0"/>
        <w:ind w:left="432"/>
        <w:rPr>
          <w:lang w:val="es-ES"/>
        </w:rPr>
      </w:pPr>
      <w:r>
        <w:rPr>
          <w:rFonts w:ascii="Cambria" w:eastAsia="Cambria" w:hAnsi="Cambria"/>
          <w:lang w:val="pt-BR"/>
        </w:rPr>
        <w:t xml:space="preserve">Para qualquer indicador de Qualidade da escola ou Sucesso do aluno que não se aplique a todos os níveis, a descrição deve incluir os níveis aos quais se aplica. </w:t>
      </w:r>
    </w:p>
    <w:p w14:paraId="6F896EAE" w14:textId="77777777" w:rsidR="00A97953" w:rsidRPr="00CC1CB4" w:rsidRDefault="00000000" w:rsidP="00A97953">
      <w:pPr>
        <w:pStyle w:val="EndUSED"/>
        <w:rPr>
          <w:lang w:val="es-ES"/>
        </w:rPr>
      </w:pPr>
      <w:r>
        <w:rPr>
          <w:rFonts w:eastAsia="Times New Roman"/>
          <w:color w:val="FFFFFF"/>
          <w:szCs w:val="4"/>
          <w:lang w:val="pt-BR"/>
        </w:rPr>
        <w:t>[finalizar texto do USED]</w:t>
      </w:r>
    </w:p>
    <w:p w14:paraId="5D0D9DFB" w14:textId="77777777" w:rsidR="006415C4" w:rsidRPr="00CC1CB4" w:rsidRDefault="00000000" w:rsidP="00A37684">
      <w:pPr>
        <w:spacing w:before="240" w:after="0"/>
        <w:rPr>
          <w:rStyle w:val="NJDOEResponse"/>
          <w:lang w:val="es-ES"/>
        </w:rPr>
      </w:pPr>
      <w:r>
        <w:rPr>
          <w:rStyle w:val="NJDOEResponse"/>
          <w:rFonts w:eastAsia="Times New Roman"/>
          <w:color w:val="365F91"/>
          <w:lang w:val="pt-BR"/>
        </w:rPr>
        <w:t>[iniciar a resposta do NJDOE]</w:t>
      </w:r>
    </w:p>
    <w:p w14:paraId="6E729A05" w14:textId="77777777" w:rsidR="00D20C90" w:rsidRPr="00CC1CB4" w:rsidRDefault="00000000" w:rsidP="008D7A5B">
      <w:pPr>
        <w:pStyle w:val="6"/>
        <w:rPr>
          <w:lang w:val="es-ES"/>
        </w:rPr>
      </w:pPr>
      <w:r>
        <w:rPr>
          <w:rFonts w:ascii="Cambria" w:eastAsia="Cambria" w:hAnsi="Cambria" w:cs="Arial"/>
          <w:lang w:val="pt-BR"/>
        </w:rPr>
        <w:t>Indicador de qualidade escolar ou sucesso do aluno e atualizações de 2024</w:t>
      </w:r>
    </w:p>
    <w:p w14:paraId="3D8BAAFA" w14:textId="77777777" w:rsidR="00BA3823" w:rsidRPr="00CC1CB4" w:rsidRDefault="00000000" w:rsidP="00D20C90">
      <w:pPr>
        <w:rPr>
          <w:rFonts w:cs="Times New Roman"/>
          <w:lang w:val="es-ES"/>
        </w:rPr>
      </w:pPr>
      <w:r>
        <w:rPr>
          <w:rFonts w:eastAsia="Times New Roman" w:cs="Times New Roman"/>
          <w:lang w:val="pt-BR"/>
        </w:rPr>
        <w:t>O indicador de qualidade escolar ou sucesso dos alunos de Nova Jersey é o absenteísmo crônico. A única alteração que o NJDOE está propondo para o cálculo desta métrica neste momento é alterar o número de dias que um aluno deve estar “em associação” para ser incluído no denominador da métrica de 45 dias para 90 dias para cumprir a definição federal de frequência parcial. Além disso, o NJDOE explorará uma nova métrica adicional de qualidade escolar ou sucesso estudantil chamada “persistência no ensino médio”, descrita abaixo. Se o NJDOE, em consulta com as partes interessadas, decidir adicionar uma nova métrica de qualidade escolar ou de sucesso do aluno, uma futura emenda ao Plano estadual da ESSA seria necessária antes que pudesse ser implementada no sistema de responsabilidade.</w:t>
      </w:r>
    </w:p>
    <w:p w14:paraId="322B07B9" w14:textId="77777777" w:rsidR="00D20C90" w:rsidRPr="00CC1CB4" w:rsidRDefault="00000000" w:rsidP="00D20C90">
      <w:pPr>
        <w:rPr>
          <w:rFonts w:cs="Times New Roman"/>
          <w:lang w:val="es-ES"/>
        </w:rPr>
      </w:pPr>
      <w:r>
        <w:rPr>
          <w:rFonts w:eastAsia="Times New Roman" w:cs="Times New Roman"/>
          <w:lang w:val="pt-BR"/>
        </w:rPr>
        <w:t xml:space="preserve">Embora o NJDOE não esteja propondo mudanças substanciais neste momento, a descrição deste indicador foi encurtada. Para obter uma explicação completa da justificativa original e um registro do sólido processo de envolvimento das partes interessadas, consulte o </w:t>
      </w:r>
      <w:hyperlink r:id="rId34">
        <w:r w:rsidR="00D20C90">
          <w:rPr>
            <w:rFonts w:eastAsia="Times New Roman" w:cs="Times New Roman"/>
            <w:color w:val="0000FF"/>
            <w:u w:val="single"/>
            <w:lang w:val="pt-BR"/>
          </w:rPr>
          <w:t>Plano estadual da ESSA de 2017</w:t>
        </w:r>
      </w:hyperlink>
      <w:r>
        <w:rPr>
          <w:rFonts w:eastAsia="Times New Roman" w:cs="Times New Roman"/>
          <w:lang w:val="pt-BR"/>
        </w:rPr>
        <w:t>.</w:t>
      </w:r>
    </w:p>
    <w:p w14:paraId="37D401F3" w14:textId="77777777" w:rsidR="00DD70CC" w:rsidRPr="00CC1CB4" w:rsidRDefault="00000000" w:rsidP="008D7A5B">
      <w:pPr>
        <w:pStyle w:val="6"/>
        <w:rPr>
          <w:lang w:val="es-ES"/>
        </w:rPr>
      </w:pPr>
      <w:r>
        <w:rPr>
          <w:rFonts w:ascii="Cambria" w:eastAsia="Cambria" w:hAnsi="Cambria" w:cs="Arial"/>
          <w:lang w:val="pt-BR"/>
        </w:rPr>
        <w:t>Plano de fundo</w:t>
      </w:r>
    </w:p>
    <w:p w14:paraId="5B5B9487" w14:textId="77777777" w:rsidR="00DD70CC" w:rsidRPr="00CC1CB4" w:rsidRDefault="00000000" w:rsidP="6B71CBC4">
      <w:pPr>
        <w:rPr>
          <w:rFonts w:cs="Times New Roman"/>
          <w:lang w:val="es-ES"/>
        </w:rPr>
      </w:pPr>
      <w:r>
        <w:rPr>
          <w:rFonts w:eastAsia="Times New Roman" w:cs="Times New Roman"/>
          <w:lang w:val="pt-BR"/>
        </w:rPr>
        <w:t xml:space="preserve">Desde a reautorização da ESSA, as partes interessadas de Nova Jersey têm investido na identificação de métricas significativas para este indicador. Considerando os muitos requisitos indicadores, o universo de métricas válidas, confiáveis, comparáveis e estaduais que podem ser usadas para medir escolas e grupos de alunos permanece limitado. No entanto, a equipe e as partes interessadas do NJDOE concordaram consistentemente que iluminar o clima escolar era e continua sendo uma prioridade em Nova Jersey. Em 2017, após um forte envolvimento das partes interessadas, o NJDOE escolheu “absenteísmo crônico” como seu indicador de qualidade escolar e sucesso dos alunos. Acompanhar e melhorar a participação dos alunos continua sendo uma prioridade em Nova Jersey, uma vez que a pandemia exacerbou as lacunas entre os grupos de alunos que estão perdendo mais de 10% de seus dias escolares. </w:t>
      </w:r>
    </w:p>
    <w:p w14:paraId="635DE34C" w14:textId="77777777" w:rsidR="0040723B" w:rsidRPr="00CC1CB4" w:rsidRDefault="00000000" w:rsidP="008D7A5B">
      <w:pPr>
        <w:pStyle w:val="6"/>
        <w:rPr>
          <w:lang w:val="es-ES"/>
        </w:rPr>
      </w:pPr>
      <w:r>
        <w:rPr>
          <w:rFonts w:ascii="Cambria" w:eastAsia="Cambria" w:hAnsi="Cambria" w:cs="Arial"/>
          <w:lang w:val="pt-BR"/>
        </w:rPr>
        <w:t>Descrição</w:t>
      </w:r>
    </w:p>
    <w:p w14:paraId="23E5B5CD" w14:textId="77777777" w:rsidR="00C65D4D" w:rsidRPr="00CC1CB4" w:rsidRDefault="00000000" w:rsidP="00C65D4D">
      <w:pPr>
        <w:rPr>
          <w:rFonts w:cs="Times New Roman"/>
          <w:lang w:val="es-ES"/>
        </w:rPr>
      </w:pPr>
      <w:r>
        <w:rPr>
          <w:rFonts w:eastAsia="Times New Roman" w:cs="Times New Roman"/>
          <w:lang w:val="pt-BR"/>
        </w:rPr>
        <w:lastRenderedPageBreak/>
        <w:t>Nova Jersey continuará a usar o absenteísmo crônico como um indicador da qualidade escolar. O absenteísmo crônico tem sido usado como um indicador desde que o plano inicial da ESSA de Nova Jersey foi aprovado em 2017. O absenteísmo crônico mede a porcentagem de alunos do jardim de infância até o 12º ano que não estavam presentes por 10% ou mais dos dias de afiliação, ou seja, o número de dias escolares na sessão para a qual o aluno foi matriculado.</w:t>
      </w:r>
    </w:p>
    <w:p w14:paraId="3E7C2F1F" w14:textId="77777777" w:rsidR="004A1A1E" w:rsidRPr="00CC1CB4" w:rsidRDefault="00000000" w:rsidP="0040723B">
      <w:pPr>
        <w:rPr>
          <w:rFonts w:cs="Times New Roman"/>
          <w:lang w:val="es-ES"/>
        </w:rPr>
      </w:pPr>
      <w:r>
        <w:rPr>
          <w:rFonts w:eastAsia="Times New Roman" w:cs="Times New Roman"/>
          <w:lang w:val="pt-BR"/>
        </w:rPr>
        <w:t>O número de dias presente é o número de dias que o estudante frequentou a escola quando a escola estava em sessão. Um aluno que não esteja presente, seja justificado, não justificado ou para ação disciplinar, está ausente, a menos que permitido por isenção estatutária ou regulatória. As regras detalhadas sobre o que constitui um “dia de participação” e matrícula em uma escola são encontradas em N.J.A.C. 6A:32-8. Por exemplo, para uma escola com um ano letivo de 180 dias, um aluno ficaria “em associação” por 180 dias, a menos que o aluno perdesse a escola por um motivo justificado pelo estado, como “Levar uma criança para o dia de trabalho”. As ausências estatutárias ou regulatórias justificadas pelo estado não são contadas como ausências ou como dias de associação. Se um estudante estivesse afiliado por 180 dias, ele seria identificado como cronicamente ausente se não estivesse presente por 18 dias ou mais.</w:t>
      </w:r>
    </w:p>
    <w:p w14:paraId="3D289433" w14:textId="77777777" w:rsidR="0040723B" w:rsidRPr="00CC1CB4" w:rsidRDefault="00000000" w:rsidP="0040723B">
      <w:pPr>
        <w:rPr>
          <w:rFonts w:cs="Times New Roman"/>
          <w:lang w:val="es-ES"/>
        </w:rPr>
      </w:pPr>
      <w:r>
        <w:rPr>
          <w:rFonts w:eastAsia="Times New Roman" w:cs="Times New Roman"/>
          <w:lang w:val="pt-BR"/>
        </w:rPr>
        <w:t>As taxas de absenteísmo crônico para fins de qualidade escolar ou sucesso dos alunos de acordo com a ESSA serão calculadas com base na porcentagem de todos os alunos que estavam “associados” por 90 dias ou mais. Um aluno que participa de um programa educacional, não no local regularmente designado, sob a orientação e direção de um professor enquanto a escola está em sessão (por exemplo, viagem de campo, experiência de aprendizagem estruturada, instrução baseada na comunidade) ou em instrução domiciliar, de acordo com o N.J.A.C. 6A:16-10 atual, é considerado presente e associado. Para melhorar continuamente a qualidade dessa coleta de dados, o NJDOE está no processo de desenvolvimento de orientações atualizadas e detalhadas de dados de absenteísmo de alunos para as LEAs. A equipe do NJDOE também fornece assistência técnica conforme necessário para as LEAs.</w:t>
      </w:r>
    </w:p>
    <w:p w14:paraId="58CA3D7F" w14:textId="77777777" w:rsidR="0040723B" w:rsidRPr="00CC1CB4" w:rsidRDefault="00000000" w:rsidP="008D7A5B">
      <w:pPr>
        <w:pStyle w:val="6"/>
        <w:rPr>
          <w:lang w:val="es-ES"/>
        </w:rPr>
      </w:pPr>
      <w:r>
        <w:rPr>
          <w:rFonts w:ascii="Cambria" w:eastAsia="Cambria" w:hAnsi="Cambria" w:cs="Arial"/>
          <w:lang w:val="pt-BR"/>
        </w:rPr>
        <w:t>Justificativa</w:t>
      </w:r>
    </w:p>
    <w:p w14:paraId="61A60A3A" w14:textId="77777777" w:rsidR="00323CD8" w:rsidRPr="00CC1CB4" w:rsidRDefault="00000000" w:rsidP="00B12051">
      <w:pPr>
        <w:rPr>
          <w:rFonts w:cs="Times New Roman"/>
          <w:lang w:val="es-ES"/>
        </w:rPr>
      </w:pPr>
      <w:r>
        <w:rPr>
          <w:rFonts w:eastAsia="Times New Roman" w:cs="Times New Roman"/>
          <w:lang w:val="pt-BR"/>
        </w:rPr>
        <w:t xml:space="preserve">Entre todos os indicadores exigidos pela ESSA, o NJDOE recebeu a maior contribuição das partes interessadas em 2017 em relação ao indicador de qualidade da escola ou sucesso do aluno. O NJDOE é realmente grato pelo feedback, que forneceu uma forte compreensão do que as diferentes partes interessadas em Nova Jersey mais se preocupam. Em 2024, o NJDOE apresentou aos membros do Grupo de Partes Interessadas da ESSA de 2024 a justificativa para manter o absenteísmo crônico como indicador de qualidade ou sucesso escolar. Em suma, medir o absenteísmo crônico continua sendo uma prioridade. </w:t>
      </w:r>
      <w:r>
        <w:rPr>
          <w:rFonts w:eastAsia="Times New Roman" w:cs="Times New Roman"/>
          <w:color w:val="000000"/>
          <w:shd w:val="clear" w:color="auto" w:fill="FFFFFF"/>
          <w:lang w:val="pt-BR"/>
        </w:rPr>
        <w:t>Pesquisas mostram que um clima e uma cultura escolar positivos podem ajudar a prevenir o absenteísmo crônico e promover a frequência regular dos alunos. Os alunos que se sentem seguros, apoiados e engajados são mais propensos a frequentar a escola de forma consistente. A frequência regular é crucial para reforçar a realização dos alunos. Por outro lado, o absenteísmo crônico está frequentemente correlacionado com percepções negativas do clima escolar</w:t>
      </w:r>
      <w:r>
        <w:rPr>
          <w:rFonts w:eastAsia="Times New Roman" w:cs="Times New Roman"/>
          <w:lang w:val="pt-BR"/>
        </w:rPr>
        <w:t>,</w:t>
      </w:r>
      <w:r>
        <w:rPr>
          <w:rStyle w:val="af4"/>
          <w:rFonts w:cs="Times New Roman"/>
        </w:rPr>
        <w:footnoteReference w:id="2"/>
      </w:r>
      <w:r>
        <w:rPr>
          <w:rFonts w:eastAsia="Times New Roman" w:cs="Times New Roman"/>
          <w:lang w:val="pt-BR"/>
        </w:rPr>
        <w:t xml:space="preserve"> menor probabilidade de leitura no nível do </w:t>
      </w:r>
      <w:r>
        <w:rPr>
          <w:rFonts w:eastAsia="Times New Roman" w:cs="Times New Roman"/>
          <w:lang w:val="pt-BR"/>
        </w:rPr>
        <w:lastRenderedPageBreak/>
        <w:t>ano até o 3</w:t>
      </w:r>
      <w:r>
        <w:rPr>
          <w:rStyle w:val="af4"/>
          <w:rFonts w:cs="Times New Roman"/>
        </w:rPr>
        <w:footnoteReference w:id="3"/>
      </w:r>
      <w:r>
        <w:rPr>
          <w:rFonts w:eastAsia="Times New Roman" w:cs="Times New Roman"/>
          <w:lang w:val="pt-BR"/>
        </w:rPr>
        <w:t>º ano e maiores taxas de abandono da escola.</w:t>
      </w:r>
      <w:r>
        <w:rPr>
          <w:rStyle w:val="af4"/>
          <w:rFonts w:cs="Times New Roman"/>
        </w:rPr>
        <w:footnoteReference w:id="4"/>
      </w:r>
      <w:r>
        <w:rPr>
          <w:rFonts w:eastAsia="Times New Roman" w:cs="Times New Roman"/>
          <w:lang w:val="pt-BR"/>
        </w:rPr>
        <w:t xml:space="preserve"> As escolas podem promover a participação usando dados para entender a causa raiz de altas taxas de absenteísmo, investindo em sistemas de suporte abrangentes que abordam essas causas raiz e criando ambientes escolares positivos, seguros e acolhedores. </w:t>
      </w:r>
    </w:p>
    <w:p w14:paraId="39E32BC9" w14:textId="77777777" w:rsidR="00791F97" w:rsidRPr="00CC1CB4" w:rsidRDefault="00000000" w:rsidP="008D7A5B">
      <w:pPr>
        <w:pStyle w:val="6"/>
        <w:rPr>
          <w:lang w:val="es-ES"/>
        </w:rPr>
      </w:pPr>
      <w:r>
        <w:rPr>
          <w:rFonts w:ascii="Cambria" w:eastAsia="Cambria" w:hAnsi="Cambria" w:cs="Arial"/>
          <w:lang w:val="pt-BR"/>
        </w:rPr>
        <w:t>Indicador de qualidade da nova escola ou sucesso do aluno: Persistência no ensino médio</w:t>
      </w:r>
    </w:p>
    <w:p w14:paraId="5B139A41" w14:textId="77777777" w:rsidR="008D6D6F" w:rsidRPr="00CC1CB4" w:rsidRDefault="00000000" w:rsidP="008D6D6F">
      <w:pPr>
        <w:rPr>
          <w:rFonts w:cs="Times New Roman"/>
          <w:lang w:val="es-ES"/>
        </w:rPr>
      </w:pPr>
      <w:r>
        <w:rPr>
          <w:rFonts w:eastAsia="Times New Roman" w:cs="Times New Roman"/>
          <w:lang w:val="pt-BR"/>
        </w:rPr>
        <w:t>A qualidade da escola ou o sucesso dos alunos também se reflete na porcentagem de alunos de uma escola que continuam matriculados e envolvidos na escola, mesmo quando os critérios de formação ainda não foram atendidos. Nova Jersey adicionará persistência ao ensino médio como um novo indicador da qualidade da escola ou do sucesso dos alunos a partir do ano letivo de 2024-2025. O indicador contribuirá com peso zero para calcular a pontuação somativa no ano inicial.</w:t>
      </w:r>
    </w:p>
    <w:p w14:paraId="1A11A075" w14:textId="77777777" w:rsidR="007B528E" w:rsidRPr="00CC1CB4" w:rsidRDefault="00000000" w:rsidP="007B528E">
      <w:pPr>
        <w:rPr>
          <w:rFonts w:cs="Times New Roman"/>
          <w:lang w:val="es-ES"/>
        </w:rPr>
      </w:pPr>
      <w:r>
        <w:rPr>
          <w:rFonts w:eastAsia="Times New Roman" w:cs="Times New Roman"/>
          <w:lang w:val="pt-BR"/>
        </w:rPr>
        <w:t>O indicador de persistência do ensino médio será calculado como a porcentagem de alunos no grupo ajustado de seis anos que:</w:t>
      </w:r>
    </w:p>
    <w:p w14:paraId="3145711C" w14:textId="77777777" w:rsidR="00F068D4" w:rsidRPr="00CC1CB4" w:rsidRDefault="00000000">
      <w:pPr>
        <w:pStyle w:val="a6"/>
        <w:numPr>
          <w:ilvl w:val="0"/>
          <w:numId w:val="23"/>
        </w:numPr>
        <w:rPr>
          <w:rFonts w:cs="Times New Roman"/>
          <w:lang w:val="es-ES"/>
        </w:rPr>
      </w:pPr>
      <w:r>
        <w:rPr>
          <w:rFonts w:eastAsia="Times New Roman" w:cs="Times New Roman"/>
          <w:lang w:val="pt-BR"/>
        </w:rPr>
        <w:t>se formaram com diploma endossado pelo estado no prazo de seis anos após entrar no ensino médio, incluindo formandos com deficiências que não atenderam a todos os requisitos de formação do estado devido a uma modificação ou isenção em seu IEP;</w:t>
      </w:r>
    </w:p>
    <w:p w14:paraId="50111963" w14:textId="77777777" w:rsidR="00AB4A60" w:rsidRPr="00CC1CB4" w:rsidRDefault="00000000">
      <w:pPr>
        <w:pStyle w:val="a6"/>
        <w:numPr>
          <w:ilvl w:val="0"/>
          <w:numId w:val="23"/>
        </w:numPr>
        <w:rPr>
          <w:rFonts w:cs="Times New Roman"/>
          <w:lang w:val="es-ES"/>
        </w:rPr>
      </w:pPr>
      <w:r>
        <w:rPr>
          <w:rFonts w:eastAsia="Times New Roman" w:cs="Times New Roman"/>
          <w:lang w:val="pt-BR"/>
        </w:rPr>
        <w:t>permaneceram ativamente inscrito até o final do sexto ano.</w:t>
      </w:r>
    </w:p>
    <w:p w14:paraId="3B07B91E" w14:textId="77777777" w:rsidR="00771147" w:rsidRPr="00CC1CB4" w:rsidRDefault="00000000">
      <w:pPr>
        <w:rPr>
          <w:rFonts w:cs="Times New Roman"/>
          <w:lang w:val="es-ES"/>
        </w:rPr>
      </w:pPr>
      <w:r>
        <w:rPr>
          <w:rFonts w:eastAsia="Times New Roman" w:cs="Times New Roman"/>
          <w:lang w:val="pt-BR"/>
        </w:rPr>
        <w:t>Essa medida se aplicará apenas às escolas de ensino médio e será baseada no mesmo grupo de alunos, o grupo ajustado de seis anos, que é usado para a taxa de formação do grupo ajustado de seis anos. Ao analisar as taxas de persistência do ensino médio para o grupo de 2021 a partir do ano letivo de 2022-2023, as taxas em nível escolar variam de 40% a 100%. Além disso, ao comparar escolas e grupos de alunos, todos com uma taxa de formação de grupo ajustado federal de seis anos de aproximadamente 70%, as taxas de persistência correspondentes do ensino médio variam de 70% a 100%. Com base nessa variação nos resultados, essa medida permite uma diferenciação significativa entre escolas e grupos de alunos.</w:t>
      </w:r>
    </w:p>
    <w:p w14:paraId="325578AF" w14:textId="77777777" w:rsidR="00503E7E" w:rsidRPr="00CC1CB4" w:rsidRDefault="00000000" w:rsidP="008D7A5B">
      <w:pPr>
        <w:pStyle w:val="6"/>
        <w:rPr>
          <w:lang w:val="es-ES"/>
        </w:rPr>
      </w:pPr>
      <w:r>
        <w:rPr>
          <w:rFonts w:ascii="Cambria" w:eastAsia="Cambria" w:hAnsi="Cambria" w:cs="Arial"/>
          <w:lang w:val="pt-BR"/>
        </w:rPr>
        <w:t>Justificativa</w:t>
      </w:r>
    </w:p>
    <w:p w14:paraId="1403A1AD" w14:textId="77777777" w:rsidR="00503E7E" w:rsidRPr="00CC1CB4" w:rsidRDefault="00000000" w:rsidP="00503E7E">
      <w:pPr>
        <w:rPr>
          <w:rFonts w:cs="Times New Roman"/>
          <w:lang w:val="es-ES"/>
        </w:rPr>
      </w:pPr>
      <w:r>
        <w:rPr>
          <w:rFonts w:eastAsia="Times New Roman" w:cs="Times New Roman"/>
          <w:lang w:val="pt-BR"/>
        </w:rPr>
        <w:t>Estudos mostraram que os alunos que permanecem na escola tendem a ter resultados mais favoráveis futuramente; taxas mais altas de emprego, empregos com melhor remuneração e um risco reduzido de encarceramento são apenas algumas das diferenças que foram observadas.</w:t>
      </w:r>
      <w:r>
        <w:rPr>
          <w:rStyle w:val="af4"/>
          <w:rFonts w:cs="Times New Roman"/>
        </w:rPr>
        <w:footnoteReference w:id="5"/>
      </w:r>
      <w:r>
        <w:rPr>
          <w:rFonts w:eastAsia="Times New Roman" w:cs="Times New Roman"/>
          <w:lang w:val="pt-BR"/>
        </w:rPr>
        <w:t xml:space="preserve"> Incluir uma medida de responsabilidade que credita as escolas por seu trabalho em manter os alunos engajados e matriculados ajudará a concentrar a atenção nos alunos que precisam de mais apoio, pois esses alunos muitas vezes têm a maior probabilidade de desistir. Os alunos com maior risco de desistir tendem a enfrentar mais adversidades do que seus colegas e têm vários fatores de risco, como maiores taxas de absenteísmo </w:t>
      </w:r>
      <w:r>
        <w:rPr>
          <w:rFonts w:eastAsia="Times New Roman" w:cs="Times New Roman"/>
          <w:lang w:val="pt-BR"/>
        </w:rPr>
        <w:lastRenderedPageBreak/>
        <w:t>crônico, menor desempenho acadêmico, maiores taxas de mobilidade e irmãos que também desistiram. Ao incluir uma medida da persistência do ensino médio, o NJDOE está deixando claro que as melhorias na persistência dos alunos são precipitadas por melhorias nas áreas acadêmicas e não acadêmicas, e que um foco na persistência incentivará comportamentos destinados a apoiar proativamente os alunos nessas áreas.</w:t>
      </w:r>
    </w:p>
    <w:p w14:paraId="6A5E23FD" w14:textId="77777777" w:rsidR="00503E7E" w:rsidRPr="00CC1CB4" w:rsidRDefault="00000000" w:rsidP="008D7A5B">
      <w:pPr>
        <w:pStyle w:val="6"/>
        <w:rPr>
          <w:lang w:val="es-ES"/>
        </w:rPr>
      </w:pPr>
      <w:r>
        <w:rPr>
          <w:rFonts w:ascii="Cambria" w:eastAsia="Cambria" w:hAnsi="Cambria" w:cs="Arial"/>
          <w:lang w:val="pt-BR"/>
        </w:rPr>
        <w:t>Considerações para indicadores futuros de qualidade escolar e sucesso do aluno</w:t>
      </w:r>
    </w:p>
    <w:p w14:paraId="38979F51" w14:textId="77777777" w:rsidR="00503E7E" w:rsidRPr="00CC1CB4" w:rsidRDefault="00000000" w:rsidP="00503E7E">
      <w:pPr>
        <w:rPr>
          <w:rFonts w:cs="Times New Roman"/>
          <w:lang w:val="es-ES"/>
        </w:rPr>
      </w:pPr>
      <w:r>
        <w:rPr>
          <w:rFonts w:eastAsia="Times New Roman" w:cs="Times New Roman"/>
          <w:lang w:val="pt-BR"/>
        </w:rPr>
        <w:t>A ESSA não apenas permite, mas incentiva, os estados a melhorar continuamente seus planos estaduais, incluindo sistemas de responsabilidade e suporte. Embora o NJDOE planeje utilizar o absenteísmo crônico e a persistência do ensino médio como indicadores da qualidade escolar e do sucesso dos alunos, o NJDOE continua profundamente comprometido em colaborar com as partes interessadas para explorar/desenvolver indicadores adicionais que melhor reflitam as prioridades de Nova Jersey e, em última análise, tenham o maior impacto na melhoria dos resultados dos alunos.</w:t>
      </w:r>
    </w:p>
    <w:p w14:paraId="2BC7AA50" w14:textId="77777777" w:rsidR="006415C4" w:rsidRPr="00CC1CB4" w:rsidRDefault="00000000" w:rsidP="6B71CBC4">
      <w:pPr>
        <w:rPr>
          <w:rStyle w:val="NJDOEResponse"/>
          <w:lang w:val="es-ES"/>
        </w:rPr>
      </w:pPr>
      <w:r>
        <w:rPr>
          <w:rStyle w:val="NJDOEResponse"/>
          <w:rFonts w:eastAsia="Times New Roman"/>
          <w:color w:val="365F91"/>
          <w:lang w:val="pt-BR"/>
        </w:rPr>
        <w:t>[finalizar resposta do NJDOE]</w:t>
      </w:r>
    </w:p>
    <w:p w14:paraId="25DD8845" w14:textId="77777777" w:rsidR="0033357B" w:rsidRPr="00CC1CB4" w:rsidRDefault="00000000" w:rsidP="0033357B">
      <w:pPr>
        <w:pStyle w:val="BeginUSED"/>
        <w:rPr>
          <w:color w:val="215868" w:themeColor="accent5" w:themeShade="80"/>
          <w:sz w:val="28"/>
          <w:lang w:val="es-ES"/>
        </w:rPr>
      </w:pPr>
      <w:r>
        <w:rPr>
          <w:rFonts w:eastAsia="Times New Roman"/>
          <w:color w:val="FFFFFF"/>
          <w:szCs w:val="4"/>
          <w:lang w:val="pt-BR"/>
        </w:rPr>
        <w:t>[iniciar o texto do USED]</w:t>
      </w:r>
    </w:p>
    <w:p w14:paraId="3EC1844D" w14:textId="77777777" w:rsidR="00E35693" w:rsidRPr="00CC1CB4" w:rsidRDefault="00000000" w:rsidP="008D7A5B">
      <w:pPr>
        <w:pStyle w:val="3"/>
        <w:spacing w:before="0"/>
        <w:rPr>
          <w:lang w:val="es-ES"/>
        </w:rPr>
      </w:pPr>
      <w:bookmarkStart w:id="84" w:name="_Toc211004642"/>
      <w:r>
        <w:rPr>
          <w:rFonts w:ascii="Cambria" w:eastAsia="Cambria" w:hAnsi="Cambria" w:cs="Times New Roman"/>
          <w:szCs w:val="28"/>
          <w:lang w:val="pt-BR"/>
        </w:rPr>
        <w:t>v. Diferenciação significativa anual (ESEA seção 1111(c)(4)(C))</w:t>
      </w:r>
      <w:bookmarkEnd w:id="84"/>
    </w:p>
    <w:p w14:paraId="20FD5185" w14:textId="77777777" w:rsidR="00B159E5" w:rsidRPr="00CC1CB4" w:rsidRDefault="00000000" w:rsidP="00383A92">
      <w:pPr>
        <w:pStyle w:val="EndUSED"/>
        <w:rPr>
          <w:b/>
          <w:lang w:val="es-ES"/>
        </w:rPr>
      </w:pPr>
      <w:r>
        <w:rPr>
          <w:rFonts w:eastAsia="Times New Roman"/>
          <w:color w:val="FFFFFF"/>
          <w:szCs w:val="4"/>
          <w:lang w:val="pt-BR"/>
        </w:rPr>
        <w:t>[finalizar texto do USED]</w:t>
      </w:r>
    </w:p>
    <w:p w14:paraId="312D2319" w14:textId="77777777" w:rsidR="00B04F40" w:rsidRPr="00CC1CB4" w:rsidRDefault="00000000" w:rsidP="00383A92">
      <w:pPr>
        <w:spacing w:before="240" w:line="259" w:lineRule="auto"/>
        <w:rPr>
          <w:rFonts w:cs="Times New Roman"/>
          <w:color w:val="365F91" w:themeColor="accent1" w:themeShade="BF"/>
          <w:lang w:val="es-ES"/>
        </w:rPr>
      </w:pPr>
      <w:r>
        <w:rPr>
          <w:rStyle w:val="NJDOEResponse"/>
          <w:rFonts w:eastAsia="Times New Roman"/>
          <w:color w:val="365F91"/>
          <w:lang w:val="pt-BR"/>
        </w:rPr>
        <w:t>[iniciar a resposta do NJDOE]</w:t>
      </w:r>
    </w:p>
    <w:p w14:paraId="2BA8505F" w14:textId="77777777" w:rsidR="001875DD" w:rsidRPr="00CC1CB4" w:rsidRDefault="00000000" w:rsidP="008D7A5B">
      <w:pPr>
        <w:pStyle w:val="4"/>
        <w:rPr>
          <w:lang w:val="es-ES"/>
        </w:rPr>
      </w:pPr>
      <w:bookmarkStart w:id="85" w:name="_Toc199403700"/>
      <w:r>
        <w:rPr>
          <w:rFonts w:ascii="Cambria" w:eastAsia="Cambria" w:hAnsi="Cambria" w:cs="Arial"/>
          <w:szCs w:val="24"/>
          <w:lang w:val="pt-BR"/>
        </w:rPr>
        <w:t>Introdução</w:t>
      </w:r>
      <w:bookmarkEnd w:id="85"/>
      <w:r>
        <w:rPr>
          <w:rFonts w:ascii="Cambria" w:eastAsia="Cambria" w:hAnsi="Cambria" w:cs="Arial"/>
          <w:szCs w:val="24"/>
          <w:lang w:val="pt-BR"/>
        </w:rPr>
        <w:t xml:space="preserve"> </w:t>
      </w:r>
    </w:p>
    <w:p w14:paraId="732021A1" w14:textId="77777777" w:rsidR="00A677C5" w:rsidRPr="00CC1CB4" w:rsidRDefault="00000000" w:rsidP="008F414C">
      <w:pPr>
        <w:rPr>
          <w:rFonts w:cs="Times New Roman"/>
          <w:lang w:val="es-ES"/>
        </w:rPr>
      </w:pPr>
      <w:r>
        <w:rPr>
          <w:rFonts w:eastAsia="Times New Roman" w:cs="Times New Roman"/>
          <w:lang w:val="pt-BR"/>
        </w:rPr>
        <w:t>O NJDOE reconhece que o objetivo do sistema de responsabilidade da ESSA é identificar escolas que precisam de mais apoio quando comparadas a todas as outras escolas. Portanto, o sistema anual de diferenciação significativa proposto abaixo não é um sistema de classificação, mas um sistema para identificar escolas que precisam de melhoria. As próximas duas seções (seções v. e vi.) fornecem detalhes adicionais sobre como o NJDOE diferencia as escolas com base nos dados de alto nível descritos na seção iv.</w:t>
      </w:r>
    </w:p>
    <w:p w14:paraId="32B70484" w14:textId="77777777" w:rsidR="00E4404B" w:rsidRPr="00CC1CB4" w:rsidRDefault="00000000" w:rsidP="008F414C">
      <w:pPr>
        <w:rPr>
          <w:rFonts w:cs="Times New Roman"/>
          <w:lang w:val="es-ES"/>
        </w:rPr>
      </w:pPr>
      <w:r>
        <w:rPr>
          <w:rFonts w:eastAsia="Times New Roman" w:cs="Times New Roman"/>
          <w:lang w:val="pt-BR"/>
        </w:rPr>
        <w:t>Um sistema de responsabilização bem funcional identifica escolas, fornece intervenções com base nas necessidades exclusivas de cada escola identificadas e permite que cada escola melhore. Desde a implementação do sistema em 2017, o NJDOE tem visto um processo bem-sucedido de identificação, suporte e melhoria. Apesar das interrupções relacionadas à pandemia e dos ajustes no cronograma descritos posteriormente na seção vi, o sistema operou nesse ciclo de identificação e suporte, conforme descrito em mais detalhes na seção viii.</w:t>
      </w:r>
    </w:p>
    <w:p w14:paraId="32350C81" w14:textId="77777777" w:rsidR="001875DD" w:rsidRPr="00CC1CB4" w:rsidRDefault="00000000" w:rsidP="008F414C">
      <w:pPr>
        <w:rPr>
          <w:rFonts w:cs="Times New Roman"/>
          <w:lang w:val="es-ES"/>
        </w:rPr>
      </w:pPr>
      <w:r>
        <w:rPr>
          <w:rFonts w:eastAsia="Times New Roman" w:cs="Times New Roman"/>
          <w:lang w:val="pt-BR"/>
        </w:rPr>
        <w:t xml:space="preserve">As escolas foram identificadas para apoio, equipadas com as ferramentas e recursos de que precisavam para melhorar e fizeram progresso significativo, conforme evidenciado pelos dados abaixo: </w:t>
      </w:r>
    </w:p>
    <w:p w14:paraId="382D6E75" w14:textId="77777777" w:rsidR="001875DD" w:rsidRPr="00CC1CB4" w:rsidRDefault="00000000">
      <w:pPr>
        <w:pStyle w:val="a6"/>
        <w:numPr>
          <w:ilvl w:val="0"/>
          <w:numId w:val="18"/>
        </w:numPr>
        <w:rPr>
          <w:rFonts w:cs="Times New Roman"/>
          <w:lang w:val="es-ES"/>
        </w:rPr>
      </w:pPr>
      <w:r>
        <w:rPr>
          <w:rFonts w:eastAsia="Times New Roman" w:cs="Times New Roman"/>
          <w:lang w:val="pt-BR"/>
        </w:rPr>
        <w:t>Das 100 escolas em todo o estado com os maiores aumentos nas classificações somativas no sistema de responsabilização entre 2017-2018 e 2021-2022 (ou seja, os 4% melhores de todas as escolas em todo o estado), 26 receberam apoio abrangente ou direcionado do NJDOE;</w:t>
      </w:r>
    </w:p>
    <w:p w14:paraId="41F33DD2" w14:textId="77777777" w:rsidR="001875DD" w:rsidRPr="00CC1CB4" w:rsidRDefault="00000000">
      <w:pPr>
        <w:pStyle w:val="a6"/>
        <w:numPr>
          <w:ilvl w:val="0"/>
          <w:numId w:val="18"/>
        </w:numPr>
        <w:rPr>
          <w:rFonts w:cs="Times New Roman"/>
          <w:lang w:val="es-ES"/>
        </w:rPr>
      </w:pPr>
      <w:r>
        <w:rPr>
          <w:rFonts w:eastAsia="Times New Roman" w:cs="Times New Roman"/>
          <w:lang w:val="pt-BR"/>
        </w:rPr>
        <w:t>84% das escolas abrangentes com classificações somativas em 2017-2018 e 2021-2022 viram aumentos em suas classificações somativas nesses quatro anos;</w:t>
      </w:r>
    </w:p>
    <w:p w14:paraId="2B97676C" w14:textId="77777777" w:rsidR="00A52E02" w:rsidRPr="00CC1CB4" w:rsidRDefault="00000000" w:rsidP="00115AA7">
      <w:pPr>
        <w:pStyle w:val="a6"/>
        <w:numPr>
          <w:ilvl w:val="0"/>
          <w:numId w:val="18"/>
        </w:numPr>
        <w:rPr>
          <w:rFonts w:cs="Times New Roman"/>
          <w:lang w:val="es-ES"/>
        </w:rPr>
      </w:pPr>
      <w:r>
        <w:rPr>
          <w:rFonts w:eastAsia="Times New Roman" w:cs="Times New Roman"/>
          <w:lang w:val="pt-BR"/>
        </w:rPr>
        <w:lastRenderedPageBreak/>
        <w:t>65% de todas as escolas elegíveis em status para o ano letivo de 2022-2023 tinham feito progresso suficiente para sair do status abrangente ou visado em 30 de junho de 2023.</w:t>
      </w:r>
    </w:p>
    <w:p w14:paraId="6A6774AC" w14:textId="77777777" w:rsidR="002340A1" w:rsidRPr="00CC1CB4" w:rsidRDefault="00000000" w:rsidP="008D7A5B">
      <w:pPr>
        <w:pStyle w:val="4"/>
        <w:rPr>
          <w:lang w:val="es-ES"/>
        </w:rPr>
      </w:pPr>
      <w:bookmarkStart w:id="86" w:name="_Toc199403701"/>
      <w:r>
        <w:rPr>
          <w:rFonts w:ascii="Cambria" w:eastAsia="Cambria" w:hAnsi="Cambria" w:cs="Arial"/>
          <w:szCs w:val="24"/>
          <w:lang w:val="pt-BR"/>
        </w:rPr>
        <w:t>Atualizações de 2024</w:t>
      </w:r>
      <w:bookmarkEnd w:id="86"/>
      <w:r>
        <w:rPr>
          <w:rFonts w:ascii="Cambria" w:eastAsia="Cambria" w:hAnsi="Cambria" w:cs="Arial"/>
          <w:szCs w:val="24"/>
          <w:lang w:val="pt-BR"/>
        </w:rPr>
        <w:t xml:space="preserve"> </w:t>
      </w:r>
    </w:p>
    <w:p w14:paraId="1DF3CD8B" w14:textId="77777777" w:rsidR="00134C5B" w:rsidRPr="00CC1CB4" w:rsidRDefault="00000000" w:rsidP="00134C5B">
      <w:pPr>
        <w:rPr>
          <w:rFonts w:cs="Times New Roman"/>
          <w:lang w:val="es-ES"/>
        </w:rPr>
      </w:pPr>
      <w:r>
        <w:rPr>
          <w:rFonts w:eastAsia="Times New Roman" w:cs="Times New Roman"/>
          <w:lang w:val="pt-BR"/>
        </w:rPr>
        <w:t xml:space="preserve">Considerando os fortes resultados do sistema de responsabilização existente, o NJDOE propôs apenas pequenos ajustes ao sistema de responsabilização da ESSA atual e as descrições subsequentes de como o NJDOE fornece suporte abrangente às escolas de Nova Jersey. Essas mudanças fazem parte de um processo de melhoria contínua, pois o NJDOE sustenta que pequenas mudanças podem ajudar a obter resultados ainda maiores do que os demonstrados até agora. </w:t>
      </w:r>
    </w:p>
    <w:p w14:paraId="2D2105EB" w14:textId="77777777" w:rsidR="001875DD" w:rsidRPr="00CC1CB4" w:rsidRDefault="00000000">
      <w:pPr>
        <w:rPr>
          <w:rFonts w:cs="Times New Roman"/>
          <w:lang w:val="es-ES"/>
        </w:rPr>
      </w:pPr>
      <w:r>
        <w:rPr>
          <w:rFonts w:eastAsia="Times New Roman" w:cs="Times New Roman"/>
          <w:lang w:val="pt-BR"/>
        </w:rPr>
        <w:t xml:space="preserve">Uma mudança importante nesta seção é que o NJDOE está adicionando um descritor de nível de desempenho (“Progresso, Objetivo não atingido”) ao seu sistema de diferenciação significativa anual. Isso fornecerá às escolas e ao público informações mais sutis porque, nos últimos anos, o NJDOE observou muitas escolas demonstrando crescimento positivo, mesmo quando todas as metas não são cumpridas. Alterações adicionais a esta seção são atribuídas a alterações de formatação e uma explicação mais detalhada do processo de diferenciação e relatório do estado do que foi fornecido no Plano estadual da ESSA de 2017. </w:t>
      </w:r>
    </w:p>
    <w:p w14:paraId="66ECD997" w14:textId="77777777" w:rsidR="00AA259D" w:rsidRPr="00CC1CB4" w:rsidRDefault="00000000" w:rsidP="008D7A5B">
      <w:pPr>
        <w:spacing w:line="259" w:lineRule="auto"/>
        <w:rPr>
          <w:rFonts w:eastAsia="Aptos" w:cs="Times New Roman"/>
          <w:color w:val="365F91" w:themeColor="accent1" w:themeShade="BF"/>
          <w:lang w:val="es-ES"/>
        </w:rPr>
      </w:pPr>
      <w:r>
        <w:rPr>
          <w:rStyle w:val="NJDOEResponse"/>
          <w:rFonts w:eastAsia="Times New Roman"/>
          <w:color w:val="365F91"/>
          <w:lang w:val="pt-BR"/>
        </w:rPr>
        <w:t>[finalizar resposta do NJDOE]</w:t>
      </w:r>
    </w:p>
    <w:p w14:paraId="2764722A" w14:textId="77777777" w:rsidR="00F72F21" w:rsidRPr="00CC1CB4" w:rsidRDefault="00000000" w:rsidP="0033357B">
      <w:pPr>
        <w:pStyle w:val="BeginUSED"/>
        <w:rPr>
          <w:rFonts w:cs="Times New Roman"/>
          <w:color w:val="4F81BD" w:themeColor="accent1"/>
          <w:lang w:val="es-ES"/>
        </w:rPr>
      </w:pPr>
      <w:r>
        <w:rPr>
          <w:rFonts w:eastAsia="Times New Roman"/>
          <w:color w:val="FFFFFF"/>
          <w:szCs w:val="4"/>
          <w:lang w:val="pt-BR"/>
        </w:rPr>
        <w:t xml:space="preserve">[iniciar o texto do USED] </w:t>
      </w:r>
    </w:p>
    <w:p w14:paraId="537C75D8" w14:textId="77777777" w:rsidR="008D7A5B" w:rsidRPr="00CC1CB4" w:rsidRDefault="00000000" w:rsidP="004F34D9">
      <w:pPr>
        <w:pStyle w:val="4"/>
        <w:spacing w:before="0"/>
        <w:ind w:left="288"/>
        <w:rPr>
          <w:lang w:val="es-ES"/>
        </w:rPr>
      </w:pPr>
      <w:bookmarkStart w:id="87" w:name="_Toc199403702"/>
      <w:bookmarkStart w:id="88" w:name="_Hlk171333993"/>
      <w:r>
        <w:rPr>
          <w:rFonts w:ascii="Cambria" w:eastAsia="Cambria" w:hAnsi="Cambria" w:cs="Arial"/>
          <w:szCs w:val="24"/>
          <w:lang w:val="pt-BR"/>
        </w:rPr>
        <w:t>a e b: Diferenciação e ponderação</w:t>
      </w:r>
      <w:bookmarkEnd w:id="87"/>
    </w:p>
    <w:bookmarkEnd w:id="88"/>
    <w:p w14:paraId="68C1CF56" w14:textId="77777777" w:rsidR="008D7A5B" w:rsidRPr="00CC1CB4" w:rsidRDefault="00000000" w:rsidP="00D624D5">
      <w:pPr>
        <w:pStyle w:val="blue"/>
        <w:numPr>
          <w:ilvl w:val="0"/>
          <w:numId w:val="178"/>
        </w:numPr>
        <w:spacing w:after="120"/>
        <w:ind w:left="792"/>
        <w:rPr>
          <w:rFonts w:ascii="Times New Roman" w:hAnsi="Times New Roman"/>
          <w:lang w:val="es-ES"/>
        </w:rPr>
      </w:pPr>
      <w:r>
        <w:rPr>
          <w:rFonts w:ascii="Cambria" w:eastAsia="Cambria" w:hAnsi="Cambria"/>
          <w:lang w:val="pt-BR"/>
        </w:rPr>
        <w:t>Descrever o sistema do estado de diferenciação anual significativa de todas as escolas públicas no estado, consistente com os requisitos da seção 1111(c)(4)(C) da ESEA, incluindo uma descrição de:</w:t>
      </w:r>
    </w:p>
    <w:p w14:paraId="6E3BF759" w14:textId="77777777" w:rsidR="008D7A5B" w:rsidRPr="00CC1CB4" w:rsidRDefault="00000000" w:rsidP="00D624D5">
      <w:pPr>
        <w:pStyle w:val="blue"/>
        <w:numPr>
          <w:ilvl w:val="1"/>
          <w:numId w:val="178"/>
        </w:numPr>
        <w:spacing w:after="120"/>
        <w:ind w:left="1368"/>
        <w:rPr>
          <w:rFonts w:ascii="Times New Roman" w:hAnsi="Times New Roman"/>
          <w:lang w:val="es-ES"/>
        </w:rPr>
      </w:pPr>
      <w:r>
        <w:rPr>
          <w:rFonts w:ascii="Cambria" w:eastAsia="Cambria" w:hAnsi="Cambria"/>
          <w:lang w:val="pt-BR"/>
        </w:rPr>
        <w:t>como o sistema é baseado em todos os indicadores no sistema de responsabilização do estado;</w:t>
      </w:r>
    </w:p>
    <w:p w14:paraId="0D8CFAC2" w14:textId="77777777" w:rsidR="008D7A5B" w:rsidRPr="00CC1CB4" w:rsidRDefault="00000000" w:rsidP="00D624D5">
      <w:pPr>
        <w:pStyle w:val="blue"/>
        <w:numPr>
          <w:ilvl w:val="1"/>
          <w:numId w:val="178"/>
        </w:numPr>
        <w:spacing w:after="120"/>
        <w:ind w:left="1368"/>
        <w:rPr>
          <w:rFonts w:ascii="Times New Roman" w:hAnsi="Times New Roman"/>
          <w:lang w:val="es-ES"/>
        </w:rPr>
      </w:pPr>
      <w:r>
        <w:rPr>
          <w:rFonts w:ascii="Cambria" w:eastAsia="Cambria" w:hAnsi="Cambria"/>
          <w:lang w:val="pt-BR"/>
        </w:rPr>
        <w:t xml:space="preserve">para todos os alunos e para cada subgrupo de alunos. Observe que cada estado deve cumprir os requisitos em 1111(c)(5) da ESEA com relação à responsabilização pelas escolas fundadas. </w:t>
      </w:r>
    </w:p>
    <w:p w14:paraId="747CADD4" w14:textId="77777777" w:rsidR="00B74B50" w:rsidRPr="00CC1CB4" w:rsidRDefault="00000000" w:rsidP="00D624D5">
      <w:pPr>
        <w:pStyle w:val="blue"/>
        <w:numPr>
          <w:ilvl w:val="0"/>
          <w:numId w:val="178"/>
        </w:numPr>
        <w:spacing w:after="0"/>
        <w:ind w:left="792"/>
        <w:rPr>
          <w:rFonts w:ascii="Times New Roman" w:hAnsi="Times New Roman"/>
          <w:lang w:val="es-ES"/>
        </w:rPr>
      </w:pPr>
      <w:r>
        <w:rPr>
          <w:rFonts w:ascii="Cambria" w:eastAsia="Cambria" w:hAnsi="Cambria"/>
          <w:lang w:val="pt-BR"/>
        </w:rPr>
        <w:t xml:space="preserve">Descrever a ponderação de cada indicador no sistema de diferenciação significativa anual do estado, incluindo como os indicadores de Realização Acadêmica, Outro Acadêmico, Taxa de Formação e Progresso em ELP recebem, cada um, peso substancial individualmente e, no agregado, peso muito maior do que o(s) indicador(es) de Qualidade Escolar ou Sucesso do Aluno, no agregado. </w:t>
      </w:r>
    </w:p>
    <w:p w14:paraId="6E25978C" w14:textId="77777777" w:rsidR="00B74B50" w:rsidRPr="00CC1CB4" w:rsidRDefault="00000000" w:rsidP="0033357B">
      <w:pPr>
        <w:pStyle w:val="EndUSED"/>
        <w:rPr>
          <w:rFonts w:asciiTheme="majorHAnsi" w:hAnsiTheme="majorHAnsi"/>
          <w:color w:val="365F91" w:themeColor="accent1" w:themeShade="BF"/>
          <w:lang w:val="es-ES"/>
        </w:rPr>
      </w:pPr>
      <w:r>
        <w:rPr>
          <w:rFonts w:eastAsia="Times New Roman"/>
          <w:color w:val="FFFFFF"/>
          <w:szCs w:val="4"/>
          <w:lang w:val="pt-BR"/>
        </w:rPr>
        <w:t>[finalizar texto do USED]</w:t>
      </w:r>
    </w:p>
    <w:p w14:paraId="3333C7AD" w14:textId="77777777" w:rsidR="00496E03" w:rsidRPr="00CC1CB4" w:rsidRDefault="00000000" w:rsidP="00B67BBD">
      <w:pPr>
        <w:pStyle w:val="a6"/>
        <w:spacing w:before="240"/>
        <w:ind w:left="0"/>
        <w:rPr>
          <w:rStyle w:val="NJDOEResponse"/>
          <w:lang w:val="es-ES"/>
        </w:rPr>
      </w:pPr>
      <w:r>
        <w:rPr>
          <w:rStyle w:val="NJDOEResponse"/>
          <w:rFonts w:eastAsia="Times New Roman"/>
          <w:color w:val="365F91"/>
          <w:lang w:val="pt-BR"/>
        </w:rPr>
        <w:t>[iniciar a resposta do NJDOE]</w:t>
      </w:r>
    </w:p>
    <w:p w14:paraId="64800E63" w14:textId="77777777" w:rsidR="00736104" w:rsidRPr="00CC1CB4" w:rsidRDefault="00000000" w:rsidP="00B17035">
      <w:pPr>
        <w:pStyle w:val="5"/>
        <w:rPr>
          <w:lang w:val="es-ES"/>
        </w:rPr>
      </w:pPr>
      <w:r>
        <w:rPr>
          <w:rFonts w:ascii="Cambria" w:eastAsia="Cambria" w:hAnsi="Cambria" w:cs="Times New Roman"/>
          <w:bCs/>
          <w:lang w:val="pt-BR"/>
        </w:rPr>
        <w:t>Sistema de diferenciação anual significativa</w:t>
      </w:r>
    </w:p>
    <w:p w14:paraId="1FB4E44D" w14:textId="77777777" w:rsidR="006459F1" w:rsidRPr="00CC1CB4" w:rsidRDefault="00000000" w:rsidP="00496E03">
      <w:pPr>
        <w:rPr>
          <w:rFonts w:cs="Times New Roman"/>
          <w:lang w:val="es-ES"/>
        </w:rPr>
      </w:pPr>
      <w:r>
        <w:rPr>
          <w:rFonts w:eastAsia="Times New Roman" w:cs="Times New Roman"/>
          <w:lang w:val="pt-BR"/>
        </w:rPr>
        <w:t xml:space="preserve">O sistema anual de diferenciação significativa de Nova Jersey é medido de duas maneiras: </w:t>
      </w:r>
    </w:p>
    <w:p w14:paraId="79A72CDE" w14:textId="77777777" w:rsidR="00410ACA" w:rsidRPr="00CC1CB4" w:rsidRDefault="00000000" w:rsidP="005F4B68">
      <w:pPr>
        <w:pStyle w:val="a6"/>
        <w:numPr>
          <w:ilvl w:val="0"/>
          <w:numId w:val="26"/>
        </w:numPr>
        <w:ind w:left="720"/>
        <w:rPr>
          <w:rFonts w:cs="Times New Roman"/>
          <w:lang w:val="es-ES"/>
        </w:rPr>
      </w:pPr>
      <w:r>
        <w:rPr>
          <w:rFonts w:eastAsia="Times New Roman" w:cs="Times New Roman"/>
          <w:b/>
          <w:bCs/>
          <w:lang w:val="pt-BR"/>
        </w:rPr>
        <w:lastRenderedPageBreak/>
        <w:t>Pontuação somativa:</w:t>
      </w:r>
      <w:r>
        <w:rPr>
          <w:rFonts w:eastAsia="Times New Roman" w:cs="Times New Roman"/>
          <w:lang w:val="pt-BR"/>
        </w:rPr>
        <w:t xml:space="preserve"> a pontuação somativa de cada escola e a classificação somativa correspondente são calculadas com base no desempenho de todos os indicadores. Os cálculos de pontuação somativa são baseados no desempenho geral da escola e do grupo de alunos. </w:t>
      </w:r>
    </w:p>
    <w:p w14:paraId="1D714B1E" w14:textId="77777777" w:rsidR="003334AA" w:rsidRPr="00CC1CB4" w:rsidRDefault="00000000" w:rsidP="005F4B68">
      <w:pPr>
        <w:pStyle w:val="a6"/>
        <w:numPr>
          <w:ilvl w:val="0"/>
          <w:numId w:val="26"/>
        </w:numPr>
        <w:ind w:left="720"/>
        <w:rPr>
          <w:rFonts w:cs="Times New Roman"/>
          <w:lang w:val="es-ES"/>
        </w:rPr>
      </w:pPr>
      <w:r>
        <w:rPr>
          <w:rFonts w:eastAsia="Times New Roman" w:cs="Times New Roman"/>
          <w:b/>
          <w:bCs/>
          <w:lang w:val="pt-BR"/>
        </w:rPr>
        <w:t xml:space="preserve">Nível de desempenho do indicador: </w:t>
      </w:r>
      <w:r>
        <w:rPr>
          <w:rFonts w:eastAsia="Times New Roman" w:cs="Times New Roman"/>
          <w:lang w:val="pt-BR"/>
        </w:rPr>
        <w:t xml:space="preserve">cada escola e grupo de alunos recebe um nível de desempenho para cada indicador anualmente. </w:t>
      </w:r>
    </w:p>
    <w:p w14:paraId="1E5B8B27" w14:textId="77777777" w:rsidR="00410ACA" w:rsidRPr="00CC1CB4" w:rsidRDefault="00000000" w:rsidP="00AD3E99">
      <w:pPr>
        <w:rPr>
          <w:lang w:val="es-ES"/>
        </w:rPr>
      </w:pPr>
      <w:r>
        <w:rPr>
          <w:rFonts w:eastAsia="Times New Roman" w:cs="Times New Roman"/>
          <w:lang w:val="pt-BR"/>
        </w:rPr>
        <w:t xml:space="preserve">Para atender aos requisitos da ESSA, a cada três anos, o </w:t>
      </w:r>
      <w:r>
        <w:rPr>
          <w:rFonts w:eastAsia="Times New Roman" w:cs="Arial"/>
          <w:lang w:val="pt-BR"/>
        </w:rPr>
        <w:t>NJDOE usa a pontuação somativa e o nível de desempenho do indicador</w:t>
      </w:r>
      <w:r>
        <w:rPr>
          <w:rFonts w:eastAsia="Times New Roman" w:cs="Arial"/>
          <w:b/>
          <w:bCs/>
          <w:lang w:val="pt-BR"/>
        </w:rPr>
        <w:t xml:space="preserve"> </w:t>
      </w:r>
      <w:r>
        <w:rPr>
          <w:rFonts w:eastAsia="Times New Roman" w:cs="Arial"/>
          <w:lang w:val="pt-BR"/>
        </w:rPr>
        <w:t>para identificar escolas que precisam de apoio adicional. Por exemplo, as e</w:t>
      </w:r>
      <w:r>
        <w:rPr>
          <w:rFonts w:eastAsia="Times New Roman" w:cs="Times New Roman"/>
          <w:lang w:val="pt-BR"/>
        </w:rPr>
        <w:t>scolas com uma pontuação somativa nos cinco por cento inferiores das escolas de Título I serão identificadas para suporte e melhoria abrangentes (comprehensive support and improvement, CSI). Escolas com um ou mais grupos de alunos com uma pontuação somativa que estaria nos cinco por cento inferiores das escolas de Título I serão identificadas como uma escola que precisa de apoio e melhoria direcionados adicionais (additional targeted support and improvement, ATSI). Anualmente, o NJDOE identificará escolas com um ou mais grupos de alunos que não cumpriram metas anuais ou padrões para todos os indicadores por dois anos consecutivos como escolas que precisam de apoio e melhoria direcionados (targeted support and improvement, TSI).</w:t>
      </w:r>
    </w:p>
    <w:p w14:paraId="38F6150F" w14:textId="77777777" w:rsidR="00496E03" w:rsidRPr="00CC1CB4" w:rsidRDefault="00000000" w:rsidP="00B17035">
      <w:pPr>
        <w:pStyle w:val="5"/>
        <w:rPr>
          <w:lang w:val="es-ES"/>
        </w:rPr>
      </w:pPr>
      <w:r>
        <w:rPr>
          <w:rFonts w:ascii="Cambria" w:eastAsia="Cambria" w:hAnsi="Cambria" w:cs="Times New Roman"/>
          <w:bCs/>
          <w:lang w:val="pt-BR"/>
        </w:rPr>
        <w:t xml:space="preserve">Nível de desempenho do indicador </w:t>
      </w:r>
    </w:p>
    <w:p w14:paraId="5392BBA3" w14:textId="77777777" w:rsidR="002C72FA" w:rsidRPr="00CC1CB4" w:rsidRDefault="00000000" w:rsidP="00496E03">
      <w:pPr>
        <w:rPr>
          <w:rFonts w:cs="Times New Roman"/>
          <w:lang w:val="es-ES"/>
        </w:rPr>
      </w:pPr>
      <w:r>
        <w:rPr>
          <w:rFonts w:eastAsia="Times New Roman" w:cs="Times New Roman"/>
          <w:lang w:val="pt-BR"/>
        </w:rPr>
        <w:t xml:space="preserve">Para cada indicador, o NJDOE define os níveis de desempenho com base no desempenho do indicador em comparação com as metas anuais. Cada escola e grupo de alunos são categorizados em um nível de desempenho para cada indicador anualmente. Isso fornece às escolas e às LEAs informações úteis para o planejamento anual e mede como as escolas e os grupos de alunos estão progredindo em direção às suas metas. </w:t>
      </w:r>
    </w:p>
    <w:p w14:paraId="3F35383A" w14:textId="77777777" w:rsidR="00BE0C8B" w:rsidRPr="00CC1CB4" w:rsidRDefault="00000000" w:rsidP="00496E03">
      <w:pPr>
        <w:rPr>
          <w:rFonts w:cs="Times New Roman"/>
          <w:lang w:val="es-ES"/>
        </w:rPr>
      </w:pPr>
      <w:r>
        <w:rPr>
          <w:rFonts w:eastAsia="Times New Roman" w:cs="Times New Roman"/>
          <w:lang w:val="pt-BR"/>
        </w:rPr>
        <w:t>Como mencionado acima, uma mudança importante nesta seção é que o NJDOE está adicionando um descritor de nível de desempenho (“Progresso, Objetivo não atingido”) ao seu sistema de diferenciação significativa anual. Isso fornecerá às escolas e ao público informações mais sutis porque, nos últimos anos, o NJDOE observou muitas escolas demonstrando crescimento positivo, mesmo quando todas as metas não são cumpridas. As Figuras A.10-A.14 abaixo mostram os níveis de desempenho do NJDOE e incluem recentemente “Progresso, Objetivo não atingido”.</w:t>
      </w:r>
    </w:p>
    <w:p w14:paraId="77BAE501" w14:textId="77777777" w:rsidR="002C72FA" w:rsidRPr="00CC1CB4" w:rsidRDefault="00000000" w:rsidP="00F86F30">
      <w:pPr>
        <w:pStyle w:val="aff0"/>
        <w:rPr>
          <w:lang w:val="es-ES"/>
        </w:rPr>
      </w:pPr>
      <w:r>
        <w:rPr>
          <w:rFonts w:eastAsia="Cambria"/>
          <w:lang w:val="pt-BR"/>
        </w:rPr>
        <w:t>Figura A.10: Categorias de nível de desempenho para realização acadêmica</w:t>
      </w:r>
    </w:p>
    <w:tbl>
      <w:tblPr>
        <w:tblStyle w:val="af5"/>
        <w:tblW w:w="0" w:type="auto"/>
        <w:tblCellMar>
          <w:top w:w="58" w:type="dxa"/>
          <w:left w:w="58" w:type="dxa"/>
          <w:bottom w:w="58" w:type="dxa"/>
          <w:right w:w="58" w:type="dxa"/>
        </w:tblCellMar>
        <w:tblLook w:val="0420" w:firstRow="1" w:lastRow="0" w:firstColumn="0" w:lastColumn="0" w:noHBand="0" w:noVBand="1"/>
      </w:tblPr>
      <w:tblGrid>
        <w:gridCol w:w="3111"/>
        <w:gridCol w:w="6239"/>
      </w:tblGrid>
      <w:tr w:rsidR="00C566B2" w:rsidRPr="00C04CDD" w14:paraId="7C833791" w14:textId="77777777" w:rsidTr="00B17035">
        <w:trPr>
          <w:tblHeader/>
        </w:trPr>
        <w:tc>
          <w:tcPr>
            <w:tcW w:w="3325" w:type="dxa"/>
            <w:shd w:val="clear" w:color="auto" w:fill="215868" w:themeFill="accent5" w:themeFillShade="80"/>
          </w:tcPr>
          <w:p w14:paraId="57F052B2" w14:textId="77777777" w:rsidR="00BC63AA" w:rsidRPr="00CC1CB4" w:rsidRDefault="00000000" w:rsidP="00CD5503">
            <w:pPr>
              <w:rPr>
                <w:b/>
                <w:color w:val="FFFFFF" w:themeColor="background1"/>
                <w:sz w:val="22"/>
                <w:szCs w:val="22"/>
                <w:lang w:val="es-ES"/>
              </w:rPr>
            </w:pPr>
            <w:r>
              <w:rPr>
                <w:rFonts w:eastAsia="Times New Roman"/>
                <w:b/>
                <w:bCs/>
                <w:color w:val="FFFFFF"/>
                <w:sz w:val="22"/>
                <w:szCs w:val="22"/>
                <w:lang w:val="pt-BR"/>
              </w:rPr>
              <w:t>Nível de desempenho da realização acadêmica</w:t>
            </w:r>
          </w:p>
        </w:tc>
        <w:tc>
          <w:tcPr>
            <w:tcW w:w="6817" w:type="dxa"/>
            <w:shd w:val="clear" w:color="auto" w:fill="215868" w:themeFill="accent5" w:themeFillShade="80"/>
          </w:tcPr>
          <w:p w14:paraId="39A14FE8" w14:textId="77777777" w:rsidR="00BC63AA" w:rsidRPr="00CC1CB4" w:rsidRDefault="00000000" w:rsidP="00CD5503">
            <w:pPr>
              <w:rPr>
                <w:b/>
                <w:color w:val="FFFFFF" w:themeColor="background1"/>
                <w:sz w:val="22"/>
                <w:szCs w:val="22"/>
                <w:lang w:val="es-ES"/>
              </w:rPr>
            </w:pPr>
            <w:r>
              <w:rPr>
                <w:rFonts w:eastAsia="Times New Roman"/>
                <w:b/>
                <w:bCs/>
                <w:color w:val="FFFFFF"/>
                <w:sz w:val="22"/>
                <w:szCs w:val="22"/>
                <w:lang w:val="pt-BR"/>
              </w:rPr>
              <w:t>Descrição do nível de desempenho</w:t>
            </w:r>
          </w:p>
        </w:tc>
      </w:tr>
      <w:tr w:rsidR="00C566B2" w:rsidRPr="00C04CDD" w14:paraId="480713EF" w14:textId="77777777" w:rsidTr="00B17035">
        <w:tc>
          <w:tcPr>
            <w:tcW w:w="3325" w:type="dxa"/>
            <w:shd w:val="clear" w:color="auto" w:fill="DBE5F1"/>
          </w:tcPr>
          <w:p w14:paraId="50F7B008" w14:textId="77777777" w:rsidR="00BC63AA" w:rsidRPr="00115AA7" w:rsidRDefault="00000000" w:rsidP="00CD5503">
            <w:pPr>
              <w:rPr>
                <w:sz w:val="22"/>
                <w:szCs w:val="22"/>
              </w:rPr>
            </w:pPr>
            <w:r>
              <w:rPr>
                <w:rFonts w:eastAsia="Times New Roman"/>
                <w:sz w:val="22"/>
                <w:szCs w:val="22"/>
                <w:lang w:val="pt-BR"/>
              </w:rPr>
              <w:t>Sem melhoria</w:t>
            </w:r>
          </w:p>
        </w:tc>
        <w:tc>
          <w:tcPr>
            <w:tcW w:w="6817" w:type="dxa"/>
            <w:shd w:val="clear" w:color="auto" w:fill="DBE5F1"/>
          </w:tcPr>
          <w:p w14:paraId="49291492" w14:textId="77777777" w:rsidR="00BC63AA" w:rsidRPr="00CC1CB4" w:rsidRDefault="00000000" w:rsidP="00CD5503">
            <w:pPr>
              <w:rPr>
                <w:sz w:val="22"/>
                <w:szCs w:val="22"/>
                <w:lang w:val="es-ES"/>
              </w:rPr>
            </w:pPr>
            <w:r>
              <w:rPr>
                <w:rFonts w:eastAsia="Times New Roman"/>
                <w:sz w:val="22"/>
                <w:szCs w:val="22"/>
                <w:lang w:val="pt-BR"/>
              </w:rPr>
              <w:t>O desempenho anual não é superior ao ano anterior.</w:t>
            </w:r>
          </w:p>
        </w:tc>
      </w:tr>
      <w:tr w:rsidR="00C566B2" w:rsidRPr="00C04CDD" w14:paraId="73A706F8" w14:textId="77777777" w:rsidTr="00B17035">
        <w:tc>
          <w:tcPr>
            <w:tcW w:w="3325" w:type="dxa"/>
          </w:tcPr>
          <w:p w14:paraId="52948B12" w14:textId="77777777" w:rsidR="00BC63AA" w:rsidRPr="00115AA7" w:rsidRDefault="00000000" w:rsidP="00CD5503">
            <w:pPr>
              <w:rPr>
                <w:sz w:val="22"/>
                <w:szCs w:val="22"/>
              </w:rPr>
            </w:pPr>
            <w:r>
              <w:rPr>
                <w:rFonts w:eastAsia="Times New Roman"/>
                <w:sz w:val="22"/>
                <w:szCs w:val="22"/>
                <w:lang w:val="pt-BR"/>
              </w:rPr>
              <w:t>Progresso, Objetivo não atingido</w:t>
            </w:r>
          </w:p>
        </w:tc>
        <w:tc>
          <w:tcPr>
            <w:tcW w:w="6817" w:type="dxa"/>
          </w:tcPr>
          <w:p w14:paraId="27A803D0" w14:textId="77777777" w:rsidR="00BC63AA" w:rsidRPr="00CC1CB4" w:rsidRDefault="00000000" w:rsidP="00CD5503">
            <w:pPr>
              <w:rPr>
                <w:sz w:val="22"/>
                <w:szCs w:val="22"/>
                <w:lang w:val="es-ES"/>
              </w:rPr>
            </w:pPr>
            <w:r>
              <w:rPr>
                <w:rFonts w:eastAsia="Times New Roman"/>
                <w:sz w:val="22"/>
                <w:szCs w:val="22"/>
                <w:lang w:val="pt-BR"/>
              </w:rPr>
              <w:t>O desempenho anual é maior do que no ano anterior, mas a meta não foi atingida.</w:t>
            </w:r>
          </w:p>
        </w:tc>
      </w:tr>
      <w:tr w:rsidR="00C566B2" w:rsidRPr="00C04CDD" w14:paraId="3444A79F" w14:textId="77777777" w:rsidTr="00B17035">
        <w:tc>
          <w:tcPr>
            <w:tcW w:w="3325" w:type="dxa"/>
            <w:shd w:val="clear" w:color="auto" w:fill="DBE5F1"/>
          </w:tcPr>
          <w:p w14:paraId="69C35213" w14:textId="77777777" w:rsidR="00BC63AA" w:rsidRPr="00CC1CB4" w:rsidRDefault="00000000" w:rsidP="00CD5503">
            <w:pPr>
              <w:rPr>
                <w:sz w:val="22"/>
                <w:szCs w:val="22"/>
                <w:lang w:val="es-ES"/>
              </w:rPr>
            </w:pPr>
            <w:r>
              <w:rPr>
                <w:rFonts w:eastAsia="Times New Roman"/>
                <w:sz w:val="22"/>
                <w:szCs w:val="22"/>
                <w:lang w:val="pt-BR"/>
              </w:rPr>
              <w:t>Alcançou o alvo dentro do intervalo de confiança</w:t>
            </w:r>
          </w:p>
        </w:tc>
        <w:tc>
          <w:tcPr>
            <w:tcW w:w="6817" w:type="dxa"/>
            <w:shd w:val="clear" w:color="auto" w:fill="DBE5F1"/>
          </w:tcPr>
          <w:p w14:paraId="05309805" w14:textId="77777777" w:rsidR="00BC63AA" w:rsidRPr="00CC1CB4" w:rsidRDefault="00000000" w:rsidP="00CD5503">
            <w:pPr>
              <w:rPr>
                <w:sz w:val="22"/>
                <w:szCs w:val="22"/>
                <w:lang w:val="es-ES"/>
              </w:rPr>
            </w:pPr>
            <w:r>
              <w:rPr>
                <w:rFonts w:eastAsia="Times New Roman"/>
                <w:sz w:val="22"/>
                <w:szCs w:val="22"/>
                <w:lang w:val="pt-BR"/>
              </w:rPr>
              <w:t>O desempenho anual atinge a meta dentro de um intervalo de confiança de 90%.</w:t>
            </w:r>
          </w:p>
        </w:tc>
      </w:tr>
      <w:tr w:rsidR="00C566B2" w:rsidRPr="00C04CDD" w14:paraId="128CD222" w14:textId="77777777" w:rsidTr="00B17035">
        <w:tc>
          <w:tcPr>
            <w:tcW w:w="3325" w:type="dxa"/>
          </w:tcPr>
          <w:p w14:paraId="48DF5441" w14:textId="77777777" w:rsidR="00BC63AA" w:rsidRPr="00115AA7" w:rsidRDefault="00000000" w:rsidP="00CD5503">
            <w:pPr>
              <w:rPr>
                <w:sz w:val="22"/>
                <w:szCs w:val="22"/>
              </w:rPr>
            </w:pPr>
            <w:r>
              <w:rPr>
                <w:rFonts w:eastAsia="Times New Roman"/>
                <w:sz w:val="22"/>
                <w:szCs w:val="22"/>
                <w:lang w:val="pt-BR"/>
              </w:rPr>
              <w:t>Meta atingida</w:t>
            </w:r>
          </w:p>
        </w:tc>
        <w:tc>
          <w:tcPr>
            <w:tcW w:w="6817" w:type="dxa"/>
          </w:tcPr>
          <w:p w14:paraId="3AB0251E" w14:textId="77777777" w:rsidR="00BC63AA" w:rsidRPr="00CC1CB4" w:rsidRDefault="00000000" w:rsidP="00CD5503">
            <w:pPr>
              <w:rPr>
                <w:sz w:val="22"/>
                <w:szCs w:val="22"/>
                <w:lang w:val="es-ES"/>
              </w:rPr>
            </w:pPr>
            <w:r>
              <w:rPr>
                <w:rFonts w:eastAsia="Times New Roman"/>
                <w:sz w:val="22"/>
                <w:szCs w:val="22"/>
                <w:lang w:val="pt-BR"/>
              </w:rPr>
              <w:t>O desempenho anual está igual ou acima da meta anual.</w:t>
            </w:r>
          </w:p>
        </w:tc>
      </w:tr>
      <w:tr w:rsidR="00C566B2" w:rsidRPr="00C04CDD" w14:paraId="44B2EB00" w14:textId="77777777" w:rsidTr="00B17035">
        <w:tc>
          <w:tcPr>
            <w:tcW w:w="3325" w:type="dxa"/>
            <w:shd w:val="clear" w:color="auto" w:fill="DBE5F1"/>
          </w:tcPr>
          <w:p w14:paraId="3F661AD9" w14:textId="77777777" w:rsidR="00BC63AA" w:rsidRPr="00115AA7" w:rsidRDefault="00000000" w:rsidP="00CD5503">
            <w:pPr>
              <w:rPr>
                <w:sz w:val="22"/>
                <w:szCs w:val="22"/>
              </w:rPr>
            </w:pPr>
            <w:r>
              <w:rPr>
                <w:rFonts w:eastAsia="Times New Roman"/>
                <w:sz w:val="22"/>
                <w:szCs w:val="22"/>
                <w:lang w:val="pt-BR"/>
              </w:rPr>
              <w:t>Supera as expectativas</w:t>
            </w:r>
          </w:p>
        </w:tc>
        <w:tc>
          <w:tcPr>
            <w:tcW w:w="6817" w:type="dxa"/>
            <w:shd w:val="clear" w:color="auto" w:fill="DBE5F1"/>
          </w:tcPr>
          <w:p w14:paraId="4B20CF06" w14:textId="77777777" w:rsidR="00BC63AA" w:rsidRPr="00CC1CB4" w:rsidRDefault="00000000" w:rsidP="00CD5503">
            <w:pPr>
              <w:rPr>
                <w:sz w:val="22"/>
                <w:szCs w:val="22"/>
                <w:lang w:val="es-ES"/>
              </w:rPr>
            </w:pPr>
            <w:r>
              <w:rPr>
                <w:rFonts w:eastAsia="Times New Roman"/>
                <w:sz w:val="22"/>
                <w:szCs w:val="22"/>
                <w:lang w:val="pt-BR"/>
              </w:rPr>
              <w:t>O desempenho anual é igual ou superior a 80%.</w:t>
            </w:r>
          </w:p>
        </w:tc>
      </w:tr>
    </w:tbl>
    <w:p w14:paraId="1EEE4654" w14:textId="77777777" w:rsidR="008D2955" w:rsidRPr="00CC1CB4" w:rsidRDefault="00000000" w:rsidP="00B17035">
      <w:pPr>
        <w:pStyle w:val="aff0"/>
        <w:spacing w:before="240"/>
        <w:rPr>
          <w:rFonts w:ascii="Times New Roman" w:hAnsi="Times New Roman"/>
          <w:lang w:val="es-ES"/>
        </w:rPr>
      </w:pPr>
      <w:r>
        <w:rPr>
          <w:rFonts w:eastAsia="Cambria"/>
          <w:lang w:val="pt-BR"/>
        </w:rPr>
        <w:lastRenderedPageBreak/>
        <w:t xml:space="preserve">Figura A.11: Categorias de nível de desempenho para </w:t>
      </w:r>
      <w:r>
        <w:rPr>
          <w:rFonts w:ascii="Times New Roman" w:eastAsia="Times New Roman" w:hAnsi="Times New Roman"/>
          <w:lang w:val="pt-BR"/>
        </w:rPr>
        <w:t>taxa de formação</w:t>
      </w:r>
    </w:p>
    <w:tbl>
      <w:tblPr>
        <w:tblStyle w:val="af5"/>
        <w:tblW w:w="0" w:type="auto"/>
        <w:tblCellMar>
          <w:top w:w="58" w:type="dxa"/>
          <w:left w:w="58" w:type="dxa"/>
          <w:bottom w:w="58" w:type="dxa"/>
          <w:right w:w="58" w:type="dxa"/>
        </w:tblCellMar>
        <w:tblLook w:val="0420" w:firstRow="1" w:lastRow="0" w:firstColumn="0" w:lastColumn="0" w:noHBand="0" w:noVBand="1"/>
      </w:tblPr>
      <w:tblGrid>
        <w:gridCol w:w="3111"/>
        <w:gridCol w:w="6239"/>
      </w:tblGrid>
      <w:tr w:rsidR="00C566B2" w:rsidRPr="00C04CDD" w14:paraId="4C19B44C" w14:textId="77777777" w:rsidTr="00B17035">
        <w:trPr>
          <w:tblHeader/>
        </w:trPr>
        <w:tc>
          <w:tcPr>
            <w:tcW w:w="3325" w:type="dxa"/>
            <w:shd w:val="clear" w:color="auto" w:fill="215868" w:themeFill="accent5" w:themeFillShade="80"/>
          </w:tcPr>
          <w:p w14:paraId="360CCA80" w14:textId="77777777" w:rsidR="00B258E4" w:rsidRPr="00CC1CB4" w:rsidRDefault="00000000" w:rsidP="009F3562">
            <w:pPr>
              <w:rPr>
                <w:b/>
                <w:color w:val="FFFFFF" w:themeColor="background1"/>
                <w:sz w:val="22"/>
                <w:szCs w:val="22"/>
                <w:lang w:val="es-ES"/>
              </w:rPr>
            </w:pPr>
            <w:r>
              <w:rPr>
                <w:rFonts w:eastAsia="Times New Roman"/>
                <w:b/>
                <w:bCs/>
                <w:color w:val="FFFFFF"/>
                <w:sz w:val="22"/>
                <w:szCs w:val="22"/>
                <w:lang w:val="pt-BR"/>
              </w:rPr>
              <w:t>Nível de desempenho de formação</w:t>
            </w:r>
          </w:p>
        </w:tc>
        <w:tc>
          <w:tcPr>
            <w:tcW w:w="6817" w:type="dxa"/>
            <w:shd w:val="clear" w:color="auto" w:fill="215868" w:themeFill="accent5" w:themeFillShade="80"/>
          </w:tcPr>
          <w:p w14:paraId="23C15D01" w14:textId="77777777" w:rsidR="00B258E4" w:rsidRPr="00CC1CB4" w:rsidRDefault="00000000" w:rsidP="009F3562">
            <w:pPr>
              <w:rPr>
                <w:b/>
                <w:color w:val="FFFFFF" w:themeColor="background1"/>
                <w:sz w:val="22"/>
                <w:szCs w:val="22"/>
                <w:lang w:val="es-ES"/>
              </w:rPr>
            </w:pPr>
            <w:r>
              <w:rPr>
                <w:rFonts w:eastAsia="Times New Roman"/>
                <w:b/>
                <w:bCs/>
                <w:color w:val="FFFFFF"/>
                <w:sz w:val="22"/>
                <w:szCs w:val="22"/>
                <w:lang w:val="pt-BR"/>
              </w:rPr>
              <w:t>Descrição do nível de desempenho</w:t>
            </w:r>
          </w:p>
        </w:tc>
      </w:tr>
      <w:tr w:rsidR="00C566B2" w:rsidRPr="00C04CDD" w14:paraId="258F610C" w14:textId="77777777" w:rsidTr="00B17035">
        <w:tc>
          <w:tcPr>
            <w:tcW w:w="3325" w:type="dxa"/>
            <w:shd w:val="clear" w:color="auto" w:fill="DBE5F1"/>
          </w:tcPr>
          <w:p w14:paraId="1126A5A6" w14:textId="77777777" w:rsidR="00B258E4" w:rsidRPr="00115AA7" w:rsidRDefault="00000000" w:rsidP="009F3562">
            <w:pPr>
              <w:rPr>
                <w:sz w:val="22"/>
                <w:szCs w:val="22"/>
              </w:rPr>
            </w:pPr>
            <w:r>
              <w:rPr>
                <w:rFonts w:eastAsia="Times New Roman"/>
                <w:sz w:val="22"/>
                <w:szCs w:val="22"/>
                <w:lang w:val="pt-BR"/>
              </w:rPr>
              <w:t>Sem melhoria</w:t>
            </w:r>
          </w:p>
        </w:tc>
        <w:tc>
          <w:tcPr>
            <w:tcW w:w="6817" w:type="dxa"/>
            <w:shd w:val="clear" w:color="auto" w:fill="DBE5F1"/>
          </w:tcPr>
          <w:p w14:paraId="12AD8336" w14:textId="77777777" w:rsidR="00B258E4" w:rsidRPr="00CC1CB4" w:rsidRDefault="00000000" w:rsidP="009F3562">
            <w:pPr>
              <w:rPr>
                <w:sz w:val="22"/>
                <w:szCs w:val="22"/>
                <w:lang w:val="es-ES"/>
              </w:rPr>
            </w:pPr>
            <w:r>
              <w:rPr>
                <w:rFonts w:eastAsia="Times New Roman"/>
                <w:sz w:val="22"/>
                <w:szCs w:val="22"/>
                <w:lang w:val="pt-BR"/>
              </w:rPr>
              <w:t>A taxa de formação não é maior do que no ano anterior.</w:t>
            </w:r>
          </w:p>
        </w:tc>
      </w:tr>
      <w:tr w:rsidR="00C566B2" w:rsidRPr="00C04CDD" w14:paraId="6238833A" w14:textId="77777777" w:rsidTr="00B17035">
        <w:tc>
          <w:tcPr>
            <w:tcW w:w="3325" w:type="dxa"/>
          </w:tcPr>
          <w:p w14:paraId="088AC634" w14:textId="77777777" w:rsidR="00B258E4" w:rsidRPr="00115AA7" w:rsidRDefault="00000000" w:rsidP="009F3562">
            <w:pPr>
              <w:rPr>
                <w:sz w:val="22"/>
                <w:szCs w:val="22"/>
              </w:rPr>
            </w:pPr>
            <w:r>
              <w:rPr>
                <w:rFonts w:eastAsia="Times New Roman"/>
                <w:sz w:val="22"/>
                <w:szCs w:val="22"/>
                <w:lang w:val="pt-BR"/>
              </w:rPr>
              <w:t>Progresso, Objetivo não atingido</w:t>
            </w:r>
          </w:p>
        </w:tc>
        <w:tc>
          <w:tcPr>
            <w:tcW w:w="6817" w:type="dxa"/>
          </w:tcPr>
          <w:p w14:paraId="4EE27F3F" w14:textId="77777777" w:rsidR="00B258E4" w:rsidRPr="00CC1CB4" w:rsidRDefault="00000000" w:rsidP="009F3562">
            <w:pPr>
              <w:rPr>
                <w:sz w:val="22"/>
                <w:szCs w:val="22"/>
                <w:lang w:val="es-ES"/>
              </w:rPr>
            </w:pPr>
            <w:r>
              <w:rPr>
                <w:rFonts w:eastAsia="Times New Roman"/>
                <w:sz w:val="22"/>
                <w:szCs w:val="22"/>
                <w:lang w:val="pt-BR"/>
              </w:rPr>
              <w:t>A taxa de formação é maior do que no ano anterior, mas a meta não foi atingida.</w:t>
            </w:r>
          </w:p>
        </w:tc>
      </w:tr>
      <w:tr w:rsidR="00C566B2" w:rsidRPr="00C04CDD" w14:paraId="31DC9A6E" w14:textId="77777777" w:rsidTr="00B17035">
        <w:tc>
          <w:tcPr>
            <w:tcW w:w="3325" w:type="dxa"/>
            <w:shd w:val="clear" w:color="auto" w:fill="DBE5F1"/>
          </w:tcPr>
          <w:p w14:paraId="2D0F4521" w14:textId="77777777" w:rsidR="00B258E4" w:rsidRPr="00115AA7" w:rsidRDefault="00000000" w:rsidP="009F3562">
            <w:pPr>
              <w:rPr>
                <w:sz w:val="22"/>
                <w:szCs w:val="22"/>
              </w:rPr>
            </w:pPr>
            <w:r>
              <w:rPr>
                <w:rFonts w:eastAsia="Times New Roman"/>
                <w:sz w:val="22"/>
                <w:szCs w:val="22"/>
                <w:lang w:val="pt-BR"/>
              </w:rPr>
              <w:t>Meta atingida</w:t>
            </w:r>
          </w:p>
        </w:tc>
        <w:tc>
          <w:tcPr>
            <w:tcW w:w="6817" w:type="dxa"/>
            <w:shd w:val="clear" w:color="auto" w:fill="DBE5F1"/>
          </w:tcPr>
          <w:p w14:paraId="3DDBBC89" w14:textId="77777777" w:rsidR="00B258E4" w:rsidRPr="00CC1CB4" w:rsidRDefault="00000000" w:rsidP="009F3562">
            <w:pPr>
              <w:rPr>
                <w:sz w:val="22"/>
                <w:szCs w:val="22"/>
                <w:lang w:val="es-ES"/>
              </w:rPr>
            </w:pPr>
            <w:r>
              <w:rPr>
                <w:rFonts w:eastAsia="Times New Roman"/>
                <w:sz w:val="22"/>
                <w:szCs w:val="22"/>
                <w:lang w:val="pt-BR"/>
              </w:rPr>
              <w:t>A taxa de formação é igual ou superior à meta anual.</w:t>
            </w:r>
          </w:p>
        </w:tc>
      </w:tr>
      <w:tr w:rsidR="00C566B2" w14:paraId="52624BD0" w14:textId="77777777" w:rsidTr="00B17035">
        <w:tc>
          <w:tcPr>
            <w:tcW w:w="3325" w:type="dxa"/>
          </w:tcPr>
          <w:p w14:paraId="771D2C73" w14:textId="77777777" w:rsidR="00B258E4" w:rsidRPr="00115AA7" w:rsidRDefault="00000000" w:rsidP="009F3562">
            <w:pPr>
              <w:rPr>
                <w:sz w:val="22"/>
                <w:szCs w:val="22"/>
              </w:rPr>
            </w:pPr>
            <w:r>
              <w:rPr>
                <w:rFonts w:eastAsia="Times New Roman"/>
                <w:sz w:val="22"/>
                <w:szCs w:val="22"/>
                <w:lang w:val="pt-BR"/>
              </w:rPr>
              <w:t>Meta atingida</w:t>
            </w:r>
          </w:p>
        </w:tc>
        <w:tc>
          <w:tcPr>
            <w:tcW w:w="6817" w:type="dxa"/>
          </w:tcPr>
          <w:p w14:paraId="353F2459" w14:textId="77777777" w:rsidR="00B258E4" w:rsidRPr="00115AA7" w:rsidRDefault="00000000" w:rsidP="009F3562">
            <w:pPr>
              <w:rPr>
                <w:sz w:val="22"/>
                <w:szCs w:val="22"/>
              </w:rPr>
            </w:pPr>
            <w:r>
              <w:rPr>
                <w:rFonts w:eastAsia="Times New Roman"/>
                <w:sz w:val="22"/>
                <w:szCs w:val="22"/>
                <w:lang w:val="pt-BR"/>
              </w:rPr>
              <w:t>A taxa de formação é igual ou superior à meta futura.</w:t>
            </w:r>
          </w:p>
        </w:tc>
      </w:tr>
    </w:tbl>
    <w:p w14:paraId="20035078" w14:textId="77777777" w:rsidR="000E78A2" w:rsidRPr="00CC1CB4" w:rsidRDefault="00000000" w:rsidP="00F86F30">
      <w:pPr>
        <w:pStyle w:val="aff0"/>
        <w:rPr>
          <w:rFonts w:ascii="Times New Roman" w:hAnsi="Times New Roman"/>
          <w:lang w:val="es-ES"/>
        </w:rPr>
      </w:pPr>
      <w:r>
        <w:rPr>
          <w:rFonts w:eastAsia="Cambria"/>
          <w:lang w:val="pt-BR"/>
        </w:rPr>
        <w:t xml:space="preserve">Figura A.12: Categorias de nível de desempenho para </w:t>
      </w:r>
      <w:r>
        <w:rPr>
          <w:rFonts w:ascii="Times New Roman" w:eastAsia="Times New Roman" w:hAnsi="Times New Roman"/>
          <w:lang w:val="pt-BR"/>
        </w:rPr>
        <w:t>progresso em direção à proficiência em inglês</w:t>
      </w:r>
    </w:p>
    <w:tbl>
      <w:tblPr>
        <w:tblStyle w:val="af5"/>
        <w:tblW w:w="0" w:type="auto"/>
        <w:tblCellMar>
          <w:top w:w="58" w:type="dxa"/>
          <w:left w:w="58" w:type="dxa"/>
          <w:bottom w:w="58" w:type="dxa"/>
          <w:right w:w="58" w:type="dxa"/>
        </w:tblCellMar>
        <w:tblLook w:val="0420" w:firstRow="1" w:lastRow="0" w:firstColumn="0" w:lastColumn="0" w:noHBand="0" w:noVBand="1"/>
      </w:tblPr>
      <w:tblGrid>
        <w:gridCol w:w="3111"/>
        <w:gridCol w:w="6239"/>
      </w:tblGrid>
      <w:tr w:rsidR="00C566B2" w:rsidRPr="00C04CDD" w14:paraId="4B917A42" w14:textId="77777777" w:rsidTr="00B17035">
        <w:trPr>
          <w:tblHeader/>
        </w:trPr>
        <w:tc>
          <w:tcPr>
            <w:tcW w:w="3325" w:type="dxa"/>
            <w:shd w:val="clear" w:color="auto" w:fill="215868" w:themeFill="accent5" w:themeFillShade="80"/>
          </w:tcPr>
          <w:p w14:paraId="3A32C045" w14:textId="77777777" w:rsidR="001440CE" w:rsidRPr="00CC1CB4" w:rsidRDefault="00000000" w:rsidP="00922E45">
            <w:pPr>
              <w:rPr>
                <w:b/>
                <w:color w:val="FFFFFF" w:themeColor="background1"/>
                <w:sz w:val="22"/>
                <w:szCs w:val="22"/>
                <w:lang w:val="es-ES"/>
              </w:rPr>
            </w:pPr>
            <w:r>
              <w:rPr>
                <w:rFonts w:eastAsia="Times New Roman"/>
                <w:b/>
                <w:bCs/>
                <w:color w:val="FFFFFF"/>
                <w:sz w:val="22"/>
                <w:szCs w:val="22"/>
                <w:lang w:val="pt-BR"/>
              </w:rPr>
              <w:t>Progresso em direção ao nível de desempenho de proficiência em inglês</w:t>
            </w:r>
          </w:p>
        </w:tc>
        <w:tc>
          <w:tcPr>
            <w:tcW w:w="6817" w:type="dxa"/>
            <w:shd w:val="clear" w:color="auto" w:fill="215868" w:themeFill="accent5" w:themeFillShade="80"/>
          </w:tcPr>
          <w:p w14:paraId="4806E524" w14:textId="77777777" w:rsidR="001440CE" w:rsidRPr="00CC1CB4" w:rsidRDefault="00000000" w:rsidP="00922E45">
            <w:pPr>
              <w:rPr>
                <w:b/>
                <w:color w:val="FFFFFF" w:themeColor="background1"/>
                <w:sz w:val="22"/>
                <w:szCs w:val="22"/>
                <w:lang w:val="es-ES"/>
              </w:rPr>
            </w:pPr>
            <w:r>
              <w:rPr>
                <w:rFonts w:eastAsia="Times New Roman"/>
                <w:b/>
                <w:bCs/>
                <w:color w:val="FFFFFF"/>
                <w:sz w:val="22"/>
                <w:szCs w:val="22"/>
                <w:lang w:val="pt-BR"/>
              </w:rPr>
              <w:t>Descrição do nível de desempenho</w:t>
            </w:r>
          </w:p>
        </w:tc>
      </w:tr>
      <w:tr w:rsidR="00C566B2" w:rsidRPr="00C04CDD" w14:paraId="79483F2B" w14:textId="77777777" w:rsidTr="00B17035">
        <w:tc>
          <w:tcPr>
            <w:tcW w:w="3325" w:type="dxa"/>
            <w:shd w:val="clear" w:color="auto" w:fill="DBE5F1"/>
          </w:tcPr>
          <w:p w14:paraId="270C0A33" w14:textId="77777777" w:rsidR="001440CE" w:rsidRPr="00115AA7" w:rsidRDefault="00000000" w:rsidP="00922E45">
            <w:pPr>
              <w:rPr>
                <w:sz w:val="22"/>
                <w:szCs w:val="22"/>
              </w:rPr>
            </w:pPr>
            <w:r>
              <w:rPr>
                <w:rFonts w:eastAsia="Times New Roman"/>
                <w:sz w:val="22"/>
                <w:szCs w:val="22"/>
                <w:lang w:val="pt-BR"/>
              </w:rPr>
              <w:t>Sem melhoria</w:t>
            </w:r>
          </w:p>
        </w:tc>
        <w:tc>
          <w:tcPr>
            <w:tcW w:w="6817" w:type="dxa"/>
            <w:shd w:val="clear" w:color="auto" w:fill="DBE5F1"/>
          </w:tcPr>
          <w:p w14:paraId="13F0004D" w14:textId="77777777" w:rsidR="001440CE" w:rsidRPr="00CC1CB4" w:rsidRDefault="00000000" w:rsidP="00922E45">
            <w:pPr>
              <w:rPr>
                <w:sz w:val="22"/>
                <w:szCs w:val="22"/>
                <w:lang w:val="es-ES"/>
              </w:rPr>
            </w:pPr>
            <w:r>
              <w:rPr>
                <w:rFonts w:eastAsia="Times New Roman"/>
                <w:sz w:val="22"/>
                <w:szCs w:val="22"/>
                <w:lang w:val="pt-BR"/>
              </w:rPr>
              <w:t>O desempenho anual não é superior ao ano anterior.</w:t>
            </w:r>
          </w:p>
        </w:tc>
      </w:tr>
      <w:tr w:rsidR="00C566B2" w:rsidRPr="00C04CDD" w14:paraId="7A3F5B61" w14:textId="77777777" w:rsidTr="00B17035">
        <w:tc>
          <w:tcPr>
            <w:tcW w:w="3325" w:type="dxa"/>
          </w:tcPr>
          <w:p w14:paraId="63AC5379" w14:textId="77777777" w:rsidR="001440CE" w:rsidRPr="00115AA7" w:rsidRDefault="00000000" w:rsidP="00922E45">
            <w:pPr>
              <w:rPr>
                <w:sz w:val="22"/>
                <w:szCs w:val="22"/>
              </w:rPr>
            </w:pPr>
            <w:r>
              <w:rPr>
                <w:rFonts w:eastAsia="Times New Roman"/>
                <w:sz w:val="22"/>
                <w:szCs w:val="22"/>
                <w:lang w:val="pt-BR"/>
              </w:rPr>
              <w:t>Progresso, Objetivo não atingido</w:t>
            </w:r>
          </w:p>
        </w:tc>
        <w:tc>
          <w:tcPr>
            <w:tcW w:w="6817" w:type="dxa"/>
          </w:tcPr>
          <w:p w14:paraId="650B36BA" w14:textId="77777777" w:rsidR="001440CE" w:rsidRPr="00CC1CB4" w:rsidRDefault="00000000" w:rsidP="00922E45">
            <w:pPr>
              <w:rPr>
                <w:sz w:val="22"/>
                <w:szCs w:val="22"/>
                <w:lang w:val="es-ES"/>
              </w:rPr>
            </w:pPr>
            <w:r>
              <w:rPr>
                <w:rFonts w:eastAsia="Times New Roman"/>
                <w:sz w:val="22"/>
                <w:szCs w:val="22"/>
                <w:lang w:val="pt-BR"/>
              </w:rPr>
              <w:t>O desempenho anual é maior do que no ano anterior, mas a meta não foi atingida.</w:t>
            </w:r>
          </w:p>
        </w:tc>
      </w:tr>
      <w:tr w:rsidR="00C566B2" w:rsidRPr="00C04CDD" w14:paraId="5C0E7357" w14:textId="77777777" w:rsidTr="00B17035">
        <w:tc>
          <w:tcPr>
            <w:tcW w:w="3325" w:type="dxa"/>
            <w:shd w:val="clear" w:color="auto" w:fill="DBE5F1"/>
          </w:tcPr>
          <w:p w14:paraId="6BA181F6" w14:textId="77777777" w:rsidR="001440CE" w:rsidRPr="00CC1CB4" w:rsidRDefault="00000000" w:rsidP="001440CE">
            <w:pPr>
              <w:rPr>
                <w:sz w:val="22"/>
                <w:szCs w:val="22"/>
                <w:lang w:val="es-ES"/>
              </w:rPr>
            </w:pPr>
            <w:r>
              <w:rPr>
                <w:rFonts w:eastAsia="Times New Roman"/>
                <w:sz w:val="22"/>
                <w:szCs w:val="22"/>
                <w:lang w:val="pt-BR"/>
              </w:rPr>
              <w:t>Alcançou o alvo dentro do intervalo de confiança</w:t>
            </w:r>
          </w:p>
        </w:tc>
        <w:tc>
          <w:tcPr>
            <w:tcW w:w="6817" w:type="dxa"/>
            <w:shd w:val="clear" w:color="auto" w:fill="DBE5F1"/>
          </w:tcPr>
          <w:p w14:paraId="2E039F99" w14:textId="77777777" w:rsidR="001440CE" w:rsidRPr="00CC1CB4" w:rsidRDefault="00000000" w:rsidP="001440CE">
            <w:pPr>
              <w:rPr>
                <w:sz w:val="22"/>
                <w:szCs w:val="22"/>
                <w:lang w:val="es-ES"/>
              </w:rPr>
            </w:pPr>
            <w:r>
              <w:rPr>
                <w:rFonts w:eastAsia="Times New Roman"/>
                <w:sz w:val="22"/>
                <w:szCs w:val="22"/>
                <w:lang w:val="pt-BR"/>
              </w:rPr>
              <w:t>O desempenho anual atinge a meta dentro de um intervalo de confiança de 90%.</w:t>
            </w:r>
          </w:p>
        </w:tc>
      </w:tr>
      <w:tr w:rsidR="00C566B2" w:rsidRPr="00C04CDD" w14:paraId="2DCDD142" w14:textId="77777777" w:rsidTr="00B17035">
        <w:tc>
          <w:tcPr>
            <w:tcW w:w="3325" w:type="dxa"/>
          </w:tcPr>
          <w:p w14:paraId="316BCABD" w14:textId="77777777" w:rsidR="001440CE" w:rsidRPr="00115AA7" w:rsidRDefault="00000000" w:rsidP="00922E45">
            <w:pPr>
              <w:rPr>
                <w:sz w:val="22"/>
                <w:szCs w:val="22"/>
              </w:rPr>
            </w:pPr>
            <w:r>
              <w:rPr>
                <w:rFonts w:eastAsia="Times New Roman"/>
                <w:sz w:val="22"/>
                <w:szCs w:val="22"/>
                <w:lang w:val="pt-BR"/>
              </w:rPr>
              <w:t>Meta atingida</w:t>
            </w:r>
          </w:p>
        </w:tc>
        <w:tc>
          <w:tcPr>
            <w:tcW w:w="6817" w:type="dxa"/>
          </w:tcPr>
          <w:p w14:paraId="0F4D915A" w14:textId="77777777" w:rsidR="001440CE" w:rsidRPr="00CC1CB4" w:rsidRDefault="00000000" w:rsidP="00922E45">
            <w:pPr>
              <w:rPr>
                <w:sz w:val="22"/>
                <w:szCs w:val="22"/>
                <w:lang w:val="es-ES"/>
              </w:rPr>
            </w:pPr>
            <w:r>
              <w:rPr>
                <w:rFonts w:eastAsia="Times New Roman"/>
                <w:sz w:val="22"/>
                <w:szCs w:val="22"/>
                <w:lang w:val="pt-BR"/>
              </w:rPr>
              <w:t>O desempenho anual está igual ou acima da meta anual.</w:t>
            </w:r>
          </w:p>
        </w:tc>
      </w:tr>
      <w:tr w:rsidR="00C566B2" w:rsidRPr="00C04CDD" w14:paraId="5EDB1D38" w14:textId="77777777" w:rsidTr="00B17035">
        <w:tc>
          <w:tcPr>
            <w:tcW w:w="3325" w:type="dxa"/>
            <w:shd w:val="clear" w:color="auto" w:fill="DBE5F1"/>
          </w:tcPr>
          <w:p w14:paraId="4BE1A738" w14:textId="77777777" w:rsidR="001440CE" w:rsidRPr="00115AA7" w:rsidRDefault="00000000" w:rsidP="00922E45">
            <w:pPr>
              <w:rPr>
                <w:sz w:val="22"/>
                <w:szCs w:val="22"/>
              </w:rPr>
            </w:pPr>
            <w:r>
              <w:rPr>
                <w:rFonts w:eastAsia="Times New Roman"/>
                <w:sz w:val="22"/>
                <w:szCs w:val="22"/>
                <w:lang w:val="pt-BR"/>
              </w:rPr>
              <w:t>Meta atingida</w:t>
            </w:r>
          </w:p>
        </w:tc>
        <w:tc>
          <w:tcPr>
            <w:tcW w:w="6817" w:type="dxa"/>
            <w:shd w:val="clear" w:color="auto" w:fill="DBE5F1"/>
          </w:tcPr>
          <w:p w14:paraId="2AD8EBCF" w14:textId="77777777" w:rsidR="001440CE" w:rsidRPr="00CC1CB4" w:rsidRDefault="00000000" w:rsidP="00922E45">
            <w:pPr>
              <w:rPr>
                <w:sz w:val="22"/>
                <w:szCs w:val="22"/>
                <w:lang w:val="es-ES"/>
              </w:rPr>
            </w:pPr>
            <w:r>
              <w:rPr>
                <w:rFonts w:eastAsia="Times New Roman"/>
                <w:sz w:val="22"/>
                <w:szCs w:val="22"/>
                <w:lang w:val="pt-BR"/>
              </w:rPr>
              <w:t>O desempenho anual está igual ou acima da meta de longo prazo.</w:t>
            </w:r>
          </w:p>
        </w:tc>
      </w:tr>
    </w:tbl>
    <w:p w14:paraId="16FCCFF4" w14:textId="77777777" w:rsidR="00A96A4A" w:rsidRPr="00CC1CB4" w:rsidRDefault="00000000" w:rsidP="00B17035">
      <w:pPr>
        <w:pStyle w:val="aff0"/>
        <w:spacing w:before="240"/>
        <w:rPr>
          <w:lang w:val="es-ES"/>
        </w:rPr>
      </w:pPr>
      <w:r>
        <w:rPr>
          <w:rFonts w:eastAsia="Cambria"/>
          <w:lang w:val="pt-BR"/>
        </w:rPr>
        <w:t>Figura A.13: Categorias de nível de desempenho para progresso acadêmico ou crescimento estudantil</w:t>
      </w:r>
    </w:p>
    <w:tbl>
      <w:tblPr>
        <w:tblStyle w:val="af5"/>
        <w:tblW w:w="0" w:type="auto"/>
        <w:tblCellMar>
          <w:top w:w="58" w:type="dxa"/>
          <w:left w:w="58" w:type="dxa"/>
          <w:bottom w:w="58" w:type="dxa"/>
          <w:right w:w="58" w:type="dxa"/>
        </w:tblCellMar>
        <w:tblLook w:val="0420" w:firstRow="1" w:lastRow="0" w:firstColumn="0" w:lastColumn="0" w:noHBand="0" w:noVBand="1"/>
      </w:tblPr>
      <w:tblGrid>
        <w:gridCol w:w="3111"/>
        <w:gridCol w:w="6239"/>
      </w:tblGrid>
      <w:tr w:rsidR="00C566B2" w:rsidRPr="00C04CDD" w14:paraId="26577F65" w14:textId="77777777" w:rsidTr="00B17035">
        <w:trPr>
          <w:tblHeader/>
        </w:trPr>
        <w:tc>
          <w:tcPr>
            <w:tcW w:w="3325" w:type="dxa"/>
            <w:shd w:val="clear" w:color="auto" w:fill="215868" w:themeFill="accent5" w:themeFillShade="80"/>
          </w:tcPr>
          <w:p w14:paraId="7BC2789D" w14:textId="77777777" w:rsidR="001440CE" w:rsidRPr="00CC1CB4" w:rsidRDefault="00000000" w:rsidP="00922E45">
            <w:pPr>
              <w:rPr>
                <w:b/>
                <w:color w:val="FFFFFF" w:themeColor="background1"/>
                <w:sz w:val="22"/>
                <w:szCs w:val="22"/>
                <w:lang w:val="es-ES"/>
              </w:rPr>
            </w:pPr>
            <w:r>
              <w:rPr>
                <w:rFonts w:eastAsia="Times New Roman"/>
                <w:b/>
                <w:bCs/>
                <w:color w:val="FFFFFF"/>
                <w:sz w:val="22"/>
                <w:szCs w:val="22"/>
                <w:lang w:val="pt-BR"/>
              </w:rPr>
              <w:t>Nível de desempenho de progresso acadêmico</w:t>
            </w:r>
          </w:p>
        </w:tc>
        <w:tc>
          <w:tcPr>
            <w:tcW w:w="6817" w:type="dxa"/>
            <w:shd w:val="clear" w:color="auto" w:fill="215868" w:themeFill="accent5" w:themeFillShade="80"/>
          </w:tcPr>
          <w:p w14:paraId="6E9A08FB" w14:textId="77777777" w:rsidR="001440CE" w:rsidRPr="00CC1CB4" w:rsidRDefault="00000000" w:rsidP="00922E45">
            <w:pPr>
              <w:rPr>
                <w:b/>
                <w:color w:val="FFFFFF" w:themeColor="background1"/>
                <w:sz w:val="22"/>
                <w:szCs w:val="22"/>
                <w:lang w:val="es-ES"/>
              </w:rPr>
            </w:pPr>
            <w:r>
              <w:rPr>
                <w:rFonts w:eastAsia="Times New Roman"/>
                <w:b/>
                <w:bCs/>
                <w:color w:val="FFFFFF"/>
                <w:sz w:val="22"/>
                <w:szCs w:val="22"/>
                <w:lang w:val="pt-BR"/>
              </w:rPr>
              <w:t>Descrição do nível de desempenho</w:t>
            </w:r>
          </w:p>
        </w:tc>
      </w:tr>
      <w:tr w:rsidR="00C566B2" w:rsidRPr="00C04CDD" w14:paraId="711E8833" w14:textId="77777777" w:rsidTr="00B17035">
        <w:tc>
          <w:tcPr>
            <w:tcW w:w="3325" w:type="dxa"/>
            <w:shd w:val="clear" w:color="auto" w:fill="DBE5F1"/>
          </w:tcPr>
          <w:p w14:paraId="05BF0310" w14:textId="77777777" w:rsidR="001440CE" w:rsidRPr="00115AA7" w:rsidRDefault="00000000" w:rsidP="00922E45">
            <w:pPr>
              <w:rPr>
                <w:sz w:val="22"/>
                <w:szCs w:val="22"/>
              </w:rPr>
            </w:pPr>
            <w:r>
              <w:rPr>
                <w:rFonts w:eastAsia="Times New Roman"/>
                <w:sz w:val="22"/>
                <w:szCs w:val="22"/>
                <w:lang w:val="pt-BR"/>
              </w:rPr>
              <w:t>Abaixo do padrão</w:t>
            </w:r>
          </w:p>
        </w:tc>
        <w:tc>
          <w:tcPr>
            <w:tcW w:w="6817" w:type="dxa"/>
            <w:shd w:val="clear" w:color="auto" w:fill="DBE5F1"/>
          </w:tcPr>
          <w:p w14:paraId="0BE5273A" w14:textId="77777777" w:rsidR="001440CE" w:rsidRPr="00CC1CB4" w:rsidRDefault="00000000" w:rsidP="00922E45">
            <w:pPr>
              <w:rPr>
                <w:sz w:val="22"/>
                <w:szCs w:val="22"/>
                <w:lang w:val="es-ES"/>
              </w:rPr>
            </w:pPr>
            <w:r>
              <w:rPr>
                <w:rFonts w:eastAsia="Times New Roman"/>
                <w:sz w:val="22"/>
                <w:szCs w:val="22"/>
                <w:lang w:val="pt-BR"/>
              </w:rPr>
              <w:t>O mSGP está abaixo de 40.</w:t>
            </w:r>
          </w:p>
        </w:tc>
      </w:tr>
      <w:tr w:rsidR="00C566B2" w:rsidRPr="00C04CDD" w14:paraId="0918B578" w14:textId="77777777" w:rsidTr="00B17035">
        <w:tc>
          <w:tcPr>
            <w:tcW w:w="3325" w:type="dxa"/>
          </w:tcPr>
          <w:p w14:paraId="3B5C0C35" w14:textId="77777777" w:rsidR="001440CE" w:rsidRPr="00115AA7" w:rsidRDefault="00000000" w:rsidP="00922E45">
            <w:pPr>
              <w:rPr>
                <w:sz w:val="22"/>
                <w:szCs w:val="22"/>
              </w:rPr>
            </w:pPr>
            <w:r>
              <w:rPr>
                <w:rFonts w:eastAsia="Times New Roman"/>
                <w:sz w:val="22"/>
                <w:szCs w:val="22"/>
                <w:lang w:val="pt-BR"/>
              </w:rPr>
              <w:t>Padrão atendido</w:t>
            </w:r>
          </w:p>
        </w:tc>
        <w:tc>
          <w:tcPr>
            <w:tcW w:w="6817" w:type="dxa"/>
          </w:tcPr>
          <w:p w14:paraId="554D1482" w14:textId="77777777" w:rsidR="001440CE" w:rsidRPr="00CC1CB4" w:rsidRDefault="00000000" w:rsidP="00922E45">
            <w:pPr>
              <w:rPr>
                <w:sz w:val="22"/>
                <w:szCs w:val="22"/>
                <w:lang w:val="es-ES"/>
              </w:rPr>
            </w:pPr>
            <w:r>
              <w:rPr>
                <w:rFonts w:eastAsia="Times New Roman"/>
                <w:sz w:val="22"/>
                <w:szCs w:val="22"/>
                <w:lang w:val="pt-BR"/>
              </w:rPr>
              <w:t>O mSGP está entre 40 e 60.</w:t>
            </w:r>
          </w:p>
        </w:tc>
      </w:tr>
      <w:tr w:rsidR="00C566B2" w:rsidRPr="00856537" w14:paraId="123B3DC9" w14:textId="77777777" w:rsidTr="00B17035">
        <w:tc>
          <w:tcPr>
            <w:tcW w:w="3325" w:type="dxa"/>
            <w:shd w:val="clear" w:color="auto" w:fill="DBE5F1"/>
          </w:tcPr>
          <w:p w14:paraId="13F661D6" w14:textId="77777777" w:rsidR="001440CE" w:rsidRPr="00115AA7" w:rsidRDefault="00000000" w:rsidP="00922E45">
            <w:pPr>
              <w:rPr>
                <w:sz w:val="22"/>
                <w:szCs w:val="22"/>
              </w:rPr>
            </w:pPr>
            <w:r>
              <w:rPr>
                <w:rFonts w:eastAsia="Times New Roman"/>
                <w:sz w:val="22"/>
                <w:szCs w:val="22"/>
                <w:lang w:val="pt-BR"/>
              </w:rPr>
              <w:t>Excede o padrão</w:t>
            </w:r>
          </w:p>
        </w:tc>
        <w:tc>
          <w:tcPr>
            <w:tcW w:w="6817" w:type="dxa"/>
            <w:shd w:val="clear" w:color="auto" w:fill="DBE5F1"/>
          </w:tcPr>
          <w:p w14:paraId="6E140CC8" w14:textId="77777777" w:rsidR="001440CE" w:rsidRPr="00CC1CB4" w:rsidRDefault="00000000" w:rsidP="00922E45">
            <w:pPr>
              <w:rPr>
                <w:sz w:val="22"/>
                <w:szCs w:val="22"/>
                <w:lang w:val="es-ES"/>
              </w:rPr>
            </w:pPr>
            <w:r>
              <w:rPr>
                <w:rFonts w:eastAsia="Times New Roman"/>
                <w:sz w:val="22"/>
                <w:szCs w:val="22"/>
                <w:lang w:val="pt-BR"/>
              </w:rPr>
              <w:t>O mSGP é 60 ou superior.</w:t>
            </w:r>
          </w:p>
        </w:tc>
      </w:tr>
    </w:tbl>
    <w:p w14:paraId="05BDF581" w14:textId="77777777" w:rsidR="00A96A4A" w:rsidRPr="00CC1CB4" w:rsidRDefault="00000000" w:rsidP="00B17035">
      <w:pPr>
        <w:pStyle w:val="aff0"/>
        <w:spacing w:before="240"/>
        <w:rPr>
          <w:lang w:val="es-ES"/>
        </w:rPr>
      </w:pPr>
      <w:r>
        <w:rPr>
          <w:rFonts w:eastAsia="Cambria"/>
          <w:lang w:val="pt-BR"/>
        </w:rPr>
        <w:t>Figura A.14: Categorias de nível de desempenho para absenteísmo crônico</w:t>
      </w:r>
    </w:p>
    <w:tbl>
      <w:tblPr>
        <w:tblStyle w:val="af5"/>
        <w:tblW w:w="0" w:type="auto"/>
        <w:tblCellMar>
          <w:top w:w="58" w:type="dxa"/>
          <w:left w:w="58" w:type="dxa"/>
          <w:bottom w:w="58" w:type="dxa"/>
          <w:right w:w="58" w:type="dxa"/>
        </w:tblCellMar>
        <w:tblLook w:val="0420" w:firstRow="1" w:lastRow="0" w:firstColumn="0" w:lastColumn="0" w:noHBand="0" w:noVBand="1"/>
      </w:tblPr>
      <w:tblGrid>
        <w:gridCol w:w="3111"/>
        <w:gridCol w:w="6239"/>
      </w:tblGrid>
      <w:tr w:rsidR="00C566B2" w:rsidRPr="00C04CDD" w14:paraId="15324CDD" w14:textId="77777777" w:rsidTr="00B17035">
        <w:trPr>
          <w:tblHeader/>
        </w:trPr>
        <w:tc>
          <w:tcPr>
            <w:tcW w:w="3325" w:type="dxa"/>
            <w:shd w:val="clear" w:color="auto" w:fill="215868" w:themeFill="accent5" w:themeFillShade="80"/>
          </w:tcPr>
          <w:p w14:paraId="63801327" w14:textId="77777777" w:rsidR="00ED1E06" w:rsidRPr="00CC1CB4" w:rsidRDefault="00000000" w:rsidP="005D5BD8">
            <w:pPr>
              <w:rPr>
                <w:b/>
                <w:color w:val="FFFFFF" w:themeColor="background1"/>
                <w:sz w:val="22"/>
                <w:szCs w:val="22"/>
                <w:lang w:val="es-ES"/>
              </w:rPr>
            </w:pPr>
            <w:r>
              <w:rPr>
                <w:rFonts w:eastAsia="Times New Roman"/>
                <w:b/>
                <w:bCs/>
                <w:color w:val="FFFFFF"/>
                <w:sz w:val="22"/>
                <w:szCs w:val="22"/>
                <w:lang w:val="pt-BR"/>
              </w:rPr>
              <w:t>Nível de desempenho de absenteísmo crônico</w:t>
            </w:r>
          </w:p>
        </w:tc>
        <w:tc>
          <w:tcPr>
            <w:tcW w:w="6817" w:type="dxa"/>
            <w:shd w:val="clear" w:color="auto" w:fill="215868" w:themeFill="accent5" w:themeFillShade="80"/>
          </w:tcPr>
          <w:p w14:paraId="436BAF56" w14:textId="77777777" w:rsidR="00ED1E06" w:rsidRPr="00CC1CB4" w:rsidRDefault="00000000" w:rsidP="005D5BD8">
            <w:pPr>
              <w:rPr>
                <w:b/>
                <w:color w:val="FFFFFF" w:themeColor="background1"/>
                <w:sz w:val="22"/>
                <w:szCs w:val="22"/>
                <w:lang w:val="es-ES"/>
              </w:rPr>
            </w:pPr>
            <w:r>
              <w:rPr>
                <w:rFonts w:eastAsia="Times New Roman"/>
                <w:b/>
                <w:bCs/>
                <w:color w:val="FFFFFF"/>
                <w:sz w:val="22"/>
                <w:szCs w:val="22"/>
                <w:lang w:val="pt-BR"/>
              </w:rPr>
              <w:t>Descrição do nível de desempenho</w:t>
            </w:r>
          </w:p>
        </w:tc>
      </w:tr>
      <w:tr w:rsidR="00C566B2" w:rsidRPr="00C04CDD" w14:paraId="7E36BB4A" w14:textId="77777777" w:rsidTr="00B17035">
        <w:tc>
          <w:tcPr>
            <w:tcW w:w="3325" w:type="dxa"/>
            <w:shd w:val="clear" w:color="auto" w:fill="DBE5F1"/>
          </w:tcPr>
          <w:p w14:paraId="45BB6CDD" w14:textId="77777777" w:rsidR="00ED1E06" w:rsidRPr="00115AA7" w:rsidRDefault="00000000" w:rsidP="005D5BD8">
            <w:pPr>
              <w:rPr>
                <w:sz w:val="22"/>
                <w:szCs w:val="22"/>
              </w:rPr>
            </w:pPr>
            <w:r>
              <w:rPr>
                <w:rFonts w:eastAsia="Times New Roman"/>
                <w:sz w:val="22"/>
                <w:szCs w:val="22"/>
                <w:lang w:val="pt-BR"/>
              </w:rPr>
              <w:t>Objetivo não atingido</w:t>
            </w:r>
          </w:p>
        </w:tc>
        <w:tc>
          <w:tcPr>
            <w:tcW w:w="6817" w:type="dxa"/>
            <w:shd w:val="clear" w:color="auto" w:fill="DBE5F1"/>
          </w:tcPr>
          <w:p w14:paraId="424C2510" w14:textId="77777777" w:rsidR="00ED1E06" w:rsidRPr="00CC1CB4" w:rsidRDefault="00000000" w:rsidP="005D5BD8">
            <w:pPr>
              <w:rPr>
                <w:sz w:val="22"/>
                <w:szCs w:val="22"/>
                <w:lang w:val="es-ES"/>
              </w:rPr>
            </w:pPr>
            <w:r>
              <w:rPr>
                <w:rFonts w:eastAsia="Times New Roman"/>
                <w:sz w:val="22"/>
                <w:szCs w:val="22"/>
                <w:lang w:val="pt-BR"/>
              </w:rPr>
              <w:t>A taxa de absenteísmo crônico está abaixo da taxa de absenteísmo crônico em todo o estado para as notas atendidas pela escola.</w:t>
            </w:r>
          </w:p>
        </w:tc>
      </w:tr>
      <w:tr w:rsidR="00C566B2" w:rsidRPr="00856537" w14:paraId="493AA3A8" w14:textId="77777777" w:rsidTr="00B17035">
        <w:tc>
          <w:tcPr>
            <w:tcW w:w="3325" w:type="dxa"/>
          </w:tcPr>
          <w:p w14:paraId="14BBF5FA" w14:textId="77777777" w:rsidR="00ED1E06" w:rsidRPr="00115AA7" w:rsidRDefault="00000000" w:rsidP="005D5BD8">
            <w:pPr>
              <w:rPr>
                <w:sz w:val="22"/>
                <w:szCs w:val="22"/>
              </w:rPr>
            </w:pPr>
            <w:r>
              <w:rPr>
                <w:rFonts w:eastAsia="Times New Roman"/>
                <w:sz w:val="22"/>
                <w:szCs w:val="22"/>
                <w:lang w:val="pt-BR"/>
              </w:rPr>
              <w:t>Meta atingida</w:t>
            </w:r>
          </w:p>
        </w:tc>
        <w:tc>
          <w:tcPr>
            <w:tcW w:w="6817" w:type="dxa"/>
          </w:tcPr>
          <w:p w14:paraId="09D84779" w14:textId="77777777" w:rsidR="00ED1E06" w:rsidRPr="00CC1CB4" w:rsidRDefault="00000000" w:rsidP="005D5BD8">
            <w:pPr>
              <w:rPr>
                <w:sz w:val="22"/>
                <w:szCs w:val="22"/>
                <w:lang w:val="es-ES"/>
              </w:rPr>
            </w:pPr>
            <w:r>
              <w:rPr>
                <w:rFonts w:eastAsia="Times New Roman"/>
                <w:sz w:val="22"/>
                <w:szCs w:val="22"/>
                <w:lang w:val="pt-BR"/>
              </w:rPr>
              <w:t>A taxa de absenteísmo crônico é igual ou superior à taxa de absenteísmo crônico em todo o estado para as notas atendidas pela escola.</w:t>
            </w:r>
          </w:p>
        </w:tc>
      </w:tr>
    </w:tbl>
    <w:p w14:paraId="69A52E6F" w14:textId="77777777" w:rsidR="00620345" w:rsidRPr="00CC1CB4" w:rsidRDefault="00000000" w:rsidP="00B17035">
      <w:pPr>
        <w:pStyle w:val="5"/>
        <w:spacing w:before="240"/>
        <w:rPr>
          <w:lang w:val="es-ES"/>
        </w:rPr>
      </w:pPr>
      <w:r>
        <w:rPr>
          <w:rFonts w:ascii="Cambria" w:eastAsia="Cambria" w:hAnsi="Cambria" w:cs="Times New Roman"/>
          <w:bCs/>
          <w:lang w:val="pt-BR"/>
        </w:rPr>
        <w:lastRenderedPageBreak/>
        <w:t>Pontuações somativas</w:t>
      </w:r>
    </w:p>
    <w:p w14:paraId="00F34054" w14:textId="77777777" w:rsidR="00BB780C" w:rsidRPr="00CC1CB4" w:rsidRDefault="00000000" w:rsidP="00620345">
      <w:pPr>
        <w:rPr>
          <w:rFonts w:cs="Times New Roman"/>
          <w:lang w:val="es-ES"/>
        </w:rPr>
      </w:pPr>
      <w:r>
        <w:rPr>
          <w:rFonts w:eastAsia="Times New Roman" w:cs="Times New Roman"/>
          <w:lang w:val="pt-BR"/>
        </w:rPr>
        <w:t>O NJDOE calculará as pontuações somativas com base no desempenho em todos os indicadores. Para cada indicador, uma pontuação do indicador é calculada com base no desempenho geral da escola e no desempenho do grupo de alunos. Os pesos são atribuídos a cada indicador. As classificações somativas são as classificações percentuais das pontuações somativas.</w:t>
      </w:r>
    </w:p>
    <w:p w14:paraId="0EF78E7E" w14:textId="77777777" w:rsidR="00620345" w:rsidRPr="00CC1CB4" w:rsidRDefault="00000000" w:rsidP="00620345">
      <w:pPr>
        <w:rPr>
          <w:rFonts w:cs="Times New Roman"/>
          <w:lang w:val="es-ES"/>
        </w:rPr>
      </w:pPr>
      <w:r>
        <w:rPr>
          <w:rFonts w:eastAsia="Times New Roman" w:cs="Times New Roman"/>
          <w:lang w:val="pt-BR"/>
        </w:rPr>
        <w:t>Para fins de cálculo de pontuações do indicador e classificações somativas, as escolas são comparadas com todas as outras escolas no estado dentro da mesma configuração escolar. As escolas são atribuídas a uma das três categorias com base na extensão do ano e nos dados disponíveis: ensino fundamental/médio, ensino médio e configuração mista. As escolas na configuração primária/média têm dados de progresso acadêmico disponíveis, mas não dados de taxa de formação (por exemplo, escolas que atendem do jardim de infância até o 9º ano). As escolas na configuração do ensino médio têm dados de formação disponíveis, mas não dados de progresso acadêmico (por exemplo, escolas que atendem apenas do 9º ao 12º ano). As escolas na configuração mista têm tanto o progresso acadêmico quanto os dados de formação disponíveis (por exemplo, escolas que atendem do 6º ao 12º ano).</w:t>
      </w:r>
    </w:p>
    <w:p w14:paraId="4A221F30" w14:textId="77777777" w:rsidR="00302F94" w:rsidRPr="00CC1CB4" w:rsidRDefault="00000000" w:rsidP="00186537">
      <w:pPr>
        <w:pStyle w:val="5"/>
        <w:rPr>
          <w:lang w:val="es-ES"/>
        </w:rPr>
      </w:pPr>
      <w:r>
        <w:rPr>
          <w:rFonts w:ascii="Cambria" w:eastAsia="Cambria" w:hAnsi="Cambria" w:cs="Times New Roman"/>
          <w:bCs/>
          <w:lang w:val="pt-BR"/>
        </w:rPr>
        <w:t>Pesos do indicador</w:t>
      </w:r>
    </w:p>
    <w:p w14:paraId="1A13483F" w14:textId="77777777" w:rsidR="00636D84" w:rsidRPr="00CC1CB4" w:rsidRDefault="00000000" w:rsidP="00636D84">
      <w:pPr>
        <w:rPr>
          <w:rFonts w:cs="Times New Roman"/>
          <w:lang w:val="es-ES"/>
        </w:rPr>
      </w:pPr>
      <w:r>
        <w:rPr>
          <w:rFonts w:eastAsia="Times New Roman" w:cs="Times New Roman"/>
          <w:lang w:val="pt-BR"/>
        </w:rPr>
        <w:t>O NJDOE pesará cada medida de acordo com os pesos abaixo ao calcular as pontuações somativas. Muitas escolas não atendem ao tamanho mínimo de 20 alunos para o progresso em direção ao indicador de proficiência em inglês e, nesses casos, esse indicador não será incluído no cálculo da pontuação sumativa. Os pesos nas tabelas a seguir são fornecidos para escolas com e sem o progresso em direção ao indicador de proficiência em inglês. O indicador de persistência do ensino médio será adicionado com peso zero para o ensino médio e escolas de configuração mista a partir do ano letivo de 2024-2025. O NJDOE se envolverá com as partes interessadas e analisará os dados para determinar o peso que será usado para o indicador de persistência do ensino médio para anos futuros, além de fornecer os pesos ajustados em uma futura emenda ao plano estadual.</w:t>
      </w:r>
    </w:p>
    <w:p w14:paraId="70C765E9" w14:textId="77777777" w:rsidR="00831A29" w:rsidRPr="00CC1CB4" w:rsidRDefault="00000000" w:rsidP="00636D84">
      <w:pPr>
        <w:rPr>
          <w:rFonts w:cs="Times New Roman"/>
          <w:lang w:val="es-ES"/>
        </w:rPr>
      </w:pPr>
      <w:r>
        <w:rPr>
          <w:rFonts w:eastAsia="Times New Roman" w:cs="Times New Roman"/>
          <w:lang w:val="pt-BR"/>
        </w:rPr>
        <w:t>Em todos os casos, o peso dos indicadores acadêmicos (progresso acadêmico, realização acadêmica e progresso em direção à proficiência em inglês) é significativamente maior do que o peso da medida de qualidade da escola. Além disso, o peso combinado dos indicadores de progresso acadêmico é maior do que o peso combinado dos indicadores de realização acadêmica, que é resultado do feedback das partes interessadas quando o plano inicial foi desenvolvido em 2017.</w:t>
      </w:r>
    </w:p>
    <w:p w14:paraId="2C9D915C" w14:textId="77777777" w:rsidR="00F528F2" w:rsidRPr="00CC1CB4" w:rsidRDefault="00000000" w:rsidP="00F86F30">
      <w:pPr>
        <w:pStyle w:val="aff0"/>
        <w:rPr>
          <w:lang w:val="es-ES"/>
        </w:rPr>
      </w:pPr>
      <w:r>
        <w:rPr>
          <w:rFonts w:eastAsia="Cambria"/>
          <w:lang w:val="pt-BR"/>
        </w:rPr>
        <w:t>Figura A.15: Pesos do ensino fundamental e médio</w:t>
      </w:r>
    </w:p>
    <w:tbl>
      <w:tblPr>
        <w:tblStyle w:val="4-1"/>
        <w:tblW w:w="9355" w:type="dxa"/>
        <w:tblCellMar>
          <w:top w:w="58" w:type="dxa"/>
          <w:left w:w="58" w:type="dxa"/>
          <w:bottom w:w="58" w:type="dxa"/>
          <w:right w:w="58" w:type="dxa"/>
        </w:tblCellMar>
        <w:tblLook w:val="0420" w:firstRow="1" w:lastRow="0" w:firstColumn="0" w:lastColumn="0" w:noHBand="0" w:noVBand="1"/>
      </w:tblPr>
      <w:tblGrid>
        <w:gridCol w:w="2695"/>
        <w:gridCol w:w="2220"/>
        <w:gridCol w:w="2220"/>
        <w:gridCol w:w="2220"/>
      </w:tblGrid>
      <w:tr w:rsidR="00C566B2" w:rsidRPr="00C04CDD" w14:paraId="5EEDB93C" w14:textId="77777777" w:rsidTr="00C566B2">
        <w:trPr>
          <w:cnfStyle w:val="100000000000" w:firstRow="1" w:lastRow="0" w:firstColumn="0" w:lastColumn="0" w:oddVBand="0" w:evenVBand="0" w:oddHBand="0" w:evenHBand="0" w:firstRowFirstColumn="0" w:firstRowLastColumn="0" w:lastRowFirstColumn="0" w:lastRowLastColumn="0"/>
          <w:trHeight w:val="144"/>
          <w:tblHeader/>
        </w:trPr>
        <w:tc>
          <w:tcPr>
            <w:tcW w:w="2695" w:type="dxa"/>
            <w:tcBorders>
              <w:bottom w:val="single" w:sz="4" w:space="0" w:color="244061" w:themeColor="accent1" w:themeShade="80"/>
              <w:right w:val="single" w:sz="4" w:space="0" w:color="FFFFFF" w:themeColor="background1"/>
            </w:tcBorders>
            <w:shd w:val="clear" w:color="auto" w:fill="215868"/>
            <w:vAlign w:val="center"/>
          </w:tcPr>
          <w:p w14:paraId="33DE37AF" w14:textId="77777777" w:rsidR="008825BB" w:rsidRPr="00997BDD" w:rsidRDefault="00000000" w:rsidP="00E74C7D">
            <w:pPr>
              <w:rPr>
                <w:rFonts w:cs="Times New Roman"/>
                <w:b w:val="0"/>
                <w:bCs w:val="0"/>
                <w:sz w:val="22"/>
                <w:szCs w:val="22"/>
              </w:rPr>
            </w:pPr>
            <w:r>
              <w:rPr>
                <w:rFonts w:eastAsia="Times New Roman" w:cs="Times New Roman"/>
                <w:color w:val="FFFFFF"/>
                <w:sz w:val="22"/>
                <w:szCs w:val="22"/>
                <w:lang w:val="pt-BR"/>
              </w:rPr>
              <w:t>Categoria do indicador</w:t>
            </w:r>
          </w:p>
        </w:tc>
        <w:tc>
          <w:tcPr>
            <w:tcW w:w="2220" w:type="dxa"/>
            <w:tcBorders>
              <w:left w:val="single" w:sz="4" w:space="0" w:color="FFFFFF" w:themeColor="background1"/>
              <w:bottom w:val="single" w:sz="4" w:space="0" w:color="244061" w:themeColor="accent1" w:themeShade="80"/>
              <w:right w:val="single" w:sz="4" w:space="0" w:color="FFFFFF" w:themeColor="background1"/>
            </w:tcBorders>
            <w:shd w:val="clear" w:color="auto" w:fill="215868"/>
            <w:vAlign w:val="center"/>
          </w:tcPr>
          <w:p w14:paraId="6F0B166E" w14:textId="77777777" w:rsidR="008825BB" w:rsidRPr="00997BDD" w:rsidRDefault="00000000" w:rsidP="00D15D83">
            <w:pPr>
              <w:rPr>
                <w:rFonts w:cs="Times New Roman"/>
                <w:bCs w:val="0"/>
                <w:sz w:val="22"/>
                <w:szCs w:val="22"/>
              </w:rPr>
            </w:pPr>
            <w:r>
              <w:rPr>
                <w:rFonts w:eastAsia="Times New Roman" w:cs="Times New Roman"/>
                <w:color w:val="FFFFFF"/>
                <w:sz w:val="22"/>
                <w:szCs w:val="22"/>
                <w:lang w:val="pt-BR"/>
              </w:rPr>
              <w:t>Indicador</w:t>
            </w:r>
          </w:p>
        </w:tc>
        <w:tc>
          <w:tcPr>
            <w:tcW w:w="2220" w:type="dxa"/>
            <w:tcBorders>
              <w:left w:val="single" w:sz="4" w:space="0" w:color="FFFFFF" w:themeColor="background1"/>
              <w:bottom w:val="single" w:sz="4" w:space="0" w:color="244061" w:themeColor="accent1" w:themeShade="80"/>
              <w:right w:val="single" w:sz="4" w:space="0" w:color="FFFFFF" w:themeColor="background1"/>
            </w:tcBorders>
            <w:shd w:val="clear" w:color="auto" w:fill="215868"/>
            <w:vAlign w:val="center"/>
          </w:tcPr>
          <w:p w14:paraId="17685C58" w14:textId="77777777" w:rsidR="008825BB" w:rsidRPr="00CC1CB4" w:rsidRDefault="00000000" w:rsidP="008825BB">
            <w:pPr>
              <w:jc w:val="center"/>
              <w:rPr>
                <w:rFonts w:cs="Times New Roman"/>
                <w:b w:val="0"/>
                <w:bCs w:val="0"/>
                <w:sz w:val="22"/>
                <w:szCs w:val="22"/>
                <w:lang w:val="es-ES"/>
              </w:rPr>
            </w:pPr>
            <w:r>
              <w:rPr>
                <w:rFonts w:eastAsia="Times New Roman" w:cs="Times New Roman"/>
                <w:color w:val="FFFFFF"/>
                <w:sz w:val="22"/>
                <w:szCs w:val="22"/>
                <w:lang w:val="pt-BR"/>
              </w:rPr>
              <w:t>Peso com progresso em direção à proficiência em inglês</w:t>
            </w:r>
          </w:p>
        </w:tc>
        <w:tc>
          <w:tcPr>
            <w:tcW w:w="2220" w:type="dxa"/>
            <w:tcBorders>
              <w:left w:val="single" w:sz="4" w:space="0" w:color="FFFFFF" w:themeColor="background1"/>
              <w:bottom w:val="single" w:sz="4" w:space="0" w:color="244061" w:themeColor="accent1" w:themeShade="80"/>
            </w:tcBorders>
            <w:shd w:val="clear" w:color="auto" w:fill="215868"/>
            <w:vAlign w:val="center"/>
          </w:tcPr>
          <w:p w14:paraId="19AB627B" w14:textId="77777777" w:rsidR="008825BB" w:rsidRPr="00CC1CB4" w:rsidRDefault="00000000" w:rsidP="008825BB">
            <w:pPr>
              <w:jc w:val="center"/>
              <w:rPr>
                <w:rFonts w:cs="Times New Roman"/>
                <w:bCs w:val="0"/>
                <w:sz w:val="22"/>
                <w:szCs w:val="22"/>
                <w:lang w:val="es-ES"/>
              </w:rPr>
            </w:pPr>
            <w:r>
              <w:rPr>
                <w:rFonts w:eastAsia="Times New Roman" w:cs="Times New Roman"/>
                <w:color w:val="FFFFFF"/>
                <w:sz w:val="22"/>
                <w:szCs w:val="22"/>
                <w:lang w:val="pt-BR"/>
              </w:rPr>
              <w:t>Peso sem progresso em direção à proficiência em inglês</w:t>
            </w:r>
          </w:p>
        </w:tc>
      </w:tr>
      <w:tr w:rsidR="00C566B2" w14:paraId="1AEB119D" w14:textId="77777777" w:rsidTr="00C566B2">
        <w:trPr>
          <w:cnfStyle w:val="000000100000" w:firstRow="0" w:lastRow="0" w:firstColumn="0" w:lastColumn="0" w:oddVBand="0" w:evenVBand="0" w:oddHBand="1" w:evenHBand="0" w:firstRowFirstColumn="0" w:firstRowLastColumn="0" w:lastRowFirstColumn="0" w:lastRowLastColumn="0"/>
          <w:trHeight w:val="288"/>
        </w:trPr>
        <w:tc>
          <w:tcPr>
            <w:tcW w:w="26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cPr>
          <w:p w14:paraId="60E8279C" w14:textId="77777777" w:rsidR="008825BB" w:rsidRPr="00997BDD" w:rsidRDefault="00000000" w:rsidP="008825BB">
            <w:pPr>
              <w:contextualSpacing/>
              <w:rPr>
                <w:rFonts w:cs="Times New Roman"/>
                <w:b/>
                <w:sz w:val="22"/>
                <w:szCs w:val="22"/>
              </w:rPr>
            </w:pPr>
            <w:r>
              <w:rPr>
                <w:rFonts w:eastAsia="Times New Roman" w:cs="Times New Roman"/>
                <w:b/>
                <w:bCs/>
                <w:sz w:val="22"/>
                <w:szCs w:val="22"/>
                <w:lang w:val="pt-BR"/>
              </w:rPr>
              <w:t xml:space="preserve"> </w:t>
            </w:r>
            <w:r>
              <w:rPr>
                <w:rFonts w:eastAsia="Times New Roman" w:cs="Times New Roman"/>
                <w:sz w:val="22"/>
                <w:szCs w:val="22"/>
                <w:lang w:val="pt-BR"/>
              </w:rPr>
              <w:t>Progresso acadêmico</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45446C54" w14:textId="77777777" w:rsidR="008825BB" w:rsidRPr="00997BDD" w:rsidRDefault="00000000" w:rsidP="008825BB">
            <w:pPr>
              <w:contextualSpacing/>
              <w:rPr>
                <w:rFonts w:cs="Times New Roman"/>
                <w:sz w:val="22"/>
                <w:szCs w:val="22"/>
              </w:rPr>
            </w:pPr>
            <w:r>
              <w:rPr>
                <w:rFonts w:eastAsia="Times New Roman" w:cs="Times New Roman"/>
                <w:sz w:val="22"/>
                <w:szCs w:val="22"/>
                <w:lang w:val="pt-BR"/>
              </w:rPr>
              <w:t>Crescimento em ELA</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6CFCB87E" w14:textId="77777777" w:rsidR="008825BB" w:rsidRPr="00997BDD" w:rsidRDefault="00000000" w:rsidP="008825BB">
            <w:pPr>
              <w:jc w:val="center"/>
              <w:rPr>
                <w:rFonts w:cs="Times New Roman"/>
                <w:sz w:val="22"/>
                <w:szCs w:val="22"/>
              </w:rPr>
            </w:pPr>
            <w:r>
              <w:rPr>
                <w:rFonts w:eastAsia="Times New Roman" w:cs="Times New Roman"/>
                <w:sz w:val="22"/>
                <w:szCs w:val="22"/>
                <w:lang w:val="pt-BR"/>
              </w:rPr>
              <w:t>20%</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363E9BC8" w14:textId="77777777" w:rsidR="008825BB" w:rsidRPr="00997BDD" w:rsidRDefault="00000000" w:rsidP="008825BB">
            <w:pPr>
              <w:jc w:val="center"/>
              <w:rPr>
                <w:rFonts w:cs="Times New Roman"/>
                <w:sz w:val="22"/>
                <w:szCs w:val="22"/>
              </w:rPr>
            </w:pPr>
            <w:r>
              <w:rPr>
                <w:rFonts w:eastAsia="Times New Roman" w:cs="Times New Roman"/>
                <w:sz w:val="22"/>
                <w:szCs w:val="22"/>
                <w:lang w:val="pt-BR"/>
              </w:rPr>
              <w:t>25%</w:t>
            </w:r>
          </w:p>
        </w:tc>
      </w:tr>
      <w:tr w:rsidR="00C566B2" w14:paraId="0445D36B" w14:textId="77777777" w:rsidTr="00C566B2">
        <w:trPr>
          <w:trHeight w:val="288"/>
        </w:trPr>
        <w:tc>
          <w:tcPr>
            <w:tcW w:w="26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cPr>
          <w:p w14:paraId="470F723A" w14:textId="77777777" w:rsidR="008825BB" w:rsidRPr="00997BDD" w:rsidRDefault="00000000" w:rsidP="008825BB">
            <w:pPr>
              <w:rPr>
                <w:rFonts w:cs="Times New Roman"/>
                <w:b/>
                <w:sz w:val="22"/>
                <w:szCs w:val="22"/>
              </w:rPr>
            </w:pPr>
            <w:r>
              <w:rPr>
                <w:rFonts w:eastAsia="Times New Roman" w:cs="Times New Roman"/>
                <w:b/>
                <w:bCs/>
                <w:sz w:val="22"/>
                <w:szCs w:val="22"/>
                <w:lang w:val="pt-BR"/>
              </w:rPr>
              <w:t xml:space="preserve"> </w:t>
            </w:r>
            <w:r>
              <w:rPr>
                <w:rFonts w:eastAsia="Times New Roman" w:cs="Times New Roman"/>
                <w:sz w:val="22"/>
                <w:szCs w:val="22"/>
                <w:lang w:val="pt-BR"/>
              </w:rPr>
              <w:t>Progresso acadêmico</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369DEBC5" w14:textId="77777777" w:rsidR="008825BB" w:rsidRPr="00997BDD" w:rsidRDefault="00000000" w:rsidP="008825BB">
            <w:pPr>
              <w:rPr>
                <w:rFonts w:cs="Times New Roman"/>
                <w:sz w:val="22"/>
                <w:szCs w:val="22"/>
              </w:rPr>
            </w:pPr>
            <w:r>
              <w:rPr>
                <w:rFonts w:eastAsia="Times New Roman" w:cs="Times New Roman"/>
                <w:sz w:val="22"/>
                <w:szCs w:val="22"/>
                <w:lang w:val="pt-BR"/>
              </w:rPr>
              <w:t>Crescimento em matemática</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636AB018" w14:textId="77777777" w:rsidR="008825BB" w:rsidRPr="00997BDD" w:rsidRDefault="00000000" w:rsidP="008825BB">
            <w:pPr>
              <w:jc w:val="center"/>
              <w:rPr>
                <w:rFonts w:cs="Times New Roman"/>
                <w:sz w:val="22"/>
                <w:szCs w:val="22"/>
              </w:rPr>
            </w:pPr>
            <w:r>
              <w:rPr>
                <w:rFonts w:eastAsia="Times New Roman" w:cs="Times New Roman"/>
                <w:sz w:val="22"/>
                <w:szCs w:val="22"/>
                <w:lang w:val="pt-BR"/>
              </w:rPr>
              <w:t>20%</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0EF26628" w14:textId="77777777" w:rsidR="008825BB" w:rsidRPr="00997BDD" w:rsidRDefault="00000000" w:rsidP="008825BB">
            <w:pPr>
              <w:jc w:val="center"/>
              <w:rPr>
                <w:rFonts w:cs="Times New Roman"/>
                <w:sz w:val="22"/>
                <w:szCs w:val="22"/>
              </w:rPr>
            </w:pPr>
            <w:r>
              <w:rPr>
                <w:rFonts w:eastAsia="Times New Roman" w:cs="Times New Roman"/>
                <w:sz w:val="22"/>
                <w:szCs w:val="22"/>
                <w:lang w:val="pt-BR"/>
              </w:rPr>
              <w:t>25%</w:t>
            </w:r>
          </w:p>
        </w:tc>
      </w:tr>
      <w:tr w:rsidR="00C566B2" w14:paraId="4DC1DFA0" w14:textId="77777777" w:rsidTr="00C566B2">
        <w:trPr>
          <w:cnfStyle w:val="000000100000" w:firstRow="0" w:lastRow="0" w:firstColumn="0" w:lastColumn="0" w:oddVBand="0" w:evenVBand="0" w:oddHBand="1" w:evenHBand="0" w:firstRowFirstColumn="0" w:firstRowLastColumn="0" w:lastRowFirstColumn="0" w:lastRowLastColumn="0"/>
          <w:trHeight w:val="288"/>
        </w:trPr>
        <w:tc>
          <w:tcPr>
            <w:tcW w:w="26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cPr>
          <w:p w14:paraId="05CC5CE8" w14:textId="77777777" w:rsidR="008825BB" w:rsidRPr="00997BDD" w:rsidRDefault="00000000" w:rsidP="008825BB">
            <w:pPr>
              <w:rPr>
                <w:rFonts w:cs="Times New Roman"/>
                <w:b/>
                <w:sz w:val="22"/>
                <w:szCs w:val="22"/>
              </w:rPr>
            </w:pPr>
            <w:r>
              <w:rPr>
                <w:rFonts w:eastAsia="Times New Roman" w:cs="Times New Roman"/>
                <w:b/>
                <w:bCs/>
                <w:sz w:val="22"/>
                <w:szCs w:val="22"/>
                <w:lang w:val="pt-BR"/>
              </w:rPr>
              <w:t xml:space="preserve"> </w:t>
            </w:r>
            <w:r>
              <w:rPr>
                <w:rFonts w:eastAsia="Times New Roman" w:cs="Times New Roman"/>
                <w:sz w:val="22"/>
                <w:szCs w:val="22"/>
                <w:lang w:val="pt-BR"/>
              </w:rPr>
              <w:t>Realização acadêmica</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0C14EA21" w14:textId="77777777" w:rsidR="008825BB" w:rsidRPr="00997BDD" w:rsidRDefault="00000000" w:rsidP="008825BB">
            <w:pPr>
              <w:rPr>
                <w:rFonts w:cs="Times New Roman"/>
                <w:sz w:val="22"/>
                <w:szCs w:val="22"/>
              </w:rPr>
            </w:pPr>
            <w:r>
              <w:rPr>
                <w:rFonts w:eastAsia="Times New Roman" w:cs="Times New Roman"/>
                <w:sz w:val="22"/>
                <w:szCs w:val="22"/>
                <w:lang w:val="pt-BR"/>
              </w:rPr>
              <w:t>Proficiência em ELA</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1966B029" w14:textId="77777777" w:rsidR="008825BB" w:rsidRPr="00997BDD" w:rsidRDefault="00000000" w:rsidP="008825BB">
            <w:pPr>
              <w:jc w:val="center"/>
              <w:rPr>
                <w:rFonts w:cs="Times New Roman"/>
                <w:sz w:val="22"/>
                <w:szCs w:val="22"/>
              </w:rPr>
            </w:pPr>
            <w:r>
              <w:rPr>
                <w:rFonts w:eastAsia="Times New Roman" w:cs="Times New Roman"/>
                <w:sz w:val="22"/>
                <w:szCs w:val="22"/>
                <w:lang w:val="pt-BR"/>
              </w:rPr>
              <w:t>15%</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1380C2E7" w14:textId="77777777" w:rsidR="008825BB" w:rsidRPr="00997BDD" w:rsidRDefault="00000000" w:rsidP="008825BB">
            <w:pPr>
              <w:jc w:val="center"/>
              <w:rPr>
                <w:rFonts w:cs="Times New Roman"/>
                <w:sz w:val="22"/>
                <w:szCs w:val="22"/>
              </w:rPr>
            </w:pPr>
            <w:r>
              <w:rPr>
                <w:rFonts w:eastAsia="Times New Roman" w:cs="Times New Roman"/>
                <w:sz w:val="22"/>
                <w:szCs w:val="22"/>
                <w:lang w:val="pt-BR"/>
              </w:rPr>
              <w:t>17,5%</w:t>
            </w:r>
          </w:p>
        </w:tc>
      </w:tr>
      <w:tr w:rsidR="00C566B2" w14:paraId="6AA9BDFD" w14:textId="77777777" w:rsidTr="00C566B2">
        <w:trPr>
          <w:trHeight w:val="288"/>
        </w:trPr>
        <w:tc>
          <w:tcPr>
            <w:tcW w:w="26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cPr>
          <w:p w14:paraId="21ACD073" w14:textId="77777777" w:rsidR="008825BB" w:rsidRPr="00997BDD" w:rsidRDefault="00000000" w:rsidP="008825BB">
            <w:pPr>
              <w:rPr>
                <w:rFonts w:cs="Times New Roman"/>
                <w:b/>
                <w:sz w:val="22"/>
                <w:szCs w:val="22"/>
              </w:rPr>
            </w:pPr>
            <w:r>
              <w:rPr>
                <w:rFonts w:eastAsia="Times New Roman" w:cs="Times New Roman"/>
                <w:b/>
                <w:bCs/>
                <w:sz w:val="22"/>
                <w:szCs w:val="22"/>
                <w:lang w:val="pt-BR"/>
              </w:rPr>
              <w:lastRenderedPageBreak/>
              <w:t xml:space="preserve"> </w:t>
            </w:r>
            <w:r>
              <w:rPr>
                <w:rFonts w:eastAsia="Times New Roman" w:cs="Times New Roman"/>
                <w:sz w:val="22"/>
                <w:szCs w:val="22"/>
                <w:lang w:val="pt-BR"/>
              </w:rPr>
              <w:t>Realização acadêmica</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7DC57EA6" w14:textId="77777777" w:rsidR="008825BB" w:rsidRPr="00997BDD" w:rsidRDefault="00000000" w:rsidP="008825BB">
            <w:pPr>
              <w:rPr>
                <w:rFonts w:cs="Times New Roman"/>
                <w:sz w:val="22"/>
                <w:szCs w:val="22"/>
              </w:rPr>
            </w:pPr>
            <w:r>
              <w:rPr>
                <w:rFonts w:eastAsia="Times New Roman" w:cs="Times New Roman"/>
                <w:sz w:val="22"/>
                <w:szCs w:val="22"/>
                <w:lang w:val="pt-BR"/>
              </w:rPr>
              <w:t>Proficiência em matemática</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1C98B352" w14:textId="77777777" w:rsidR="008825BB" w:rsidRPr="00997BDD" w:rsidRDefault="00000000" w:rsidP="008825BB">
            <w:pPr>
              <w:jc w:val="center"/>
              <w:rPr>
                <w:rFonts w:cs="Times New Roman"/>
                <w:sz w:val="22"/>
                <w:szCs w:val="22"/>
              </w:rPr>
            </w:pPr>
            <w:r>
              <w:rPr>
                <w:rFonts w:eastAsia="Times New Roman" w:cs="Times New Roman"/>
                <w:sz w:val="22"/>
                <w:szCs w:val="22"/>
                <w:lang w:val="pt-BR"/>
              </w:rPr>
              <w:t>15%</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292424EF" w14:textId="77777777" w:rsidR="008825BB" w:rsidRPr="00997BDD" w:rsidRDefault="00000000" w:rsidP="008825BB">
            <w:pPr>
              <w:jc w:val="center"/>
              <w:rPr>
                <w:rFonts w:cs="Times New Roman"/>
                <w:sz w:val="22"/>
                <w:szCs w:val="22"/>
              </w:rPr>
            </w:pPr>
            <w:r>
              <w:rPr>
                <w:rFonts w:eastAsia="Times New Roman" w:cs="Times New Roman"/>
                <w:sz w:val="22"/>
                <w:szCs w:val="22"/>
                <w:lang w:val="pt-BR"/>
              </w:rPr>
              <w:t>17,5%</w:t>
            </w:r>
          </w:p>
        </w:tc>
      </w:tr>
      <w:tr w:rsidR="00C566B2" w14:paraId="7A79F63A" w14:textId="77777777" w:rsidTr="00C566B2">
        <w:trPr>
          <w:cnfStyle w:val="000000100000" w:firstRow="0" w:lastRow="0" w:firstColumn="0" w:lastColumn="0" w:oddVBand="0" w:evenVBand="0" w:oddHBand="1" w:evenHBand="0" w:firstRowFirstColumn="0" w:firstRowLastColumn="0" w:lastRowFirstColumn="0" w:lastRowLastColumn="0"/>
          <w:trHeight w:val="288"/>
        </w:trPr>
        <w:tc>
          <w:tcPr>
            <w:tcW w:w="26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cPr>
          <w:p w14:paraId="0CEA7299" w14:textId="77777777" w:rsidR="008825BB" w:rsidRPr="00C04CDD" w:rsidRDefault="00000000" w:rsidP="008825BB">
            <w:pPr>
              <w:rPr>
                <w:rFonts w:cs="Times New Roman"/>
                <w:b/>
                <w:sz w:val="22"/>
                <w:szCs w:val="22"/>
                <w:lang w:val="it-CH"/>
              </w:rPr>
            </w:pPr>
            <w:r>
              <w:rPr>
                <w:rFonts w:eastAsia="Times New Roman" w:cs="Times New Roman"/>
                <w:sz w:val="22"/>
                <w:szCs w:val="22"/>
                <w:lang w:val="pt-BR"/>
              </w:rPr>
              <w:t>Progresso</w:t>
            </w:r>
            <w:r>
              <w:rPr>
                <w:rFonts w:eastAsia="Times New Roman" w:cs="Times New Roman"/>
                <w:b/>
                <w:bCs/>
                <w:sz w:val="22"/>
                <w:szCs w:val="22"/>
                <w:lang w:val="pt-BR"/>
              </w:rPr>
              <w:t xml:space="preserve"> </w:t>
            </w:r>
            <w:r>
              <w:rPr>
                <w:rFonts w:eastAsia="Times New Roman" w:cs="Times New Roman"/>
                <w:sz w:val="22"/>
                <w:szCs w:val="22"/>
                <w:lang w:val="pt-BR"/>
              </w:rPr>
              <w:t>em direção à</w:t>
            </w:r>
            <w:r>
              <w:rPr>
                <w:rFonts w:eastAsia="Times New Roman" w:cs="Times New Roman"/>
                <w:b/>
                <w:bCs/>
                <w:sz w:val="22"/>
                <w:szCs w:val="22"/>
                <w:lang w:val="pt-BR"/>
              </w:rPr>
              <w:t xml:space="preserve"> </w:t>
            </w:r>
            <w:r>
              <w:rPr>
                <w:rFonts w:eastAsia="Times New Roman" w:cs="Times New Roman"/>
                <w:sz w:val="22"/>
                <w:szCs w:val="22"/>
                <w:lang w:val="pt-BR"/>
              </w:rPr>
              <w:t>proficiência</w:t>
            </w:r>
            <w:r>
              <w:rPr>
                <w:rFonts w:eastAsia="Times New Roman" w:cs="Times New Roman"/>
                <w:b/>
                <w:bCs/>
                <w:sz w:val="22"/>
                <w:szCs w:val="22"/>
                <w:lang w:val="pt-BR"/>
              </w:rPr>
              <w:t xml:space="preserve"> </w:t>
            </w:r>
            <w:r>
              <w:rPr>
                <w:rFonts w:eastAsia="Times New Roman" w:cs="Times New Roman"/>
                <w:sz w:val="22"/>
                <w:szCs w:val="22"/>
                <w:lang w:val="pt-BR"/>
              </w:rPr>
              <w:t>em</w:t>
            </w:r>
            <w:r>
              <w:rPr>
                <w:rFonts w:eastAsia="Times New Roman" w:cs="Times New Roman"/>
                <w:b/>
                <w:bCs/>
                <w:sz w:val="22"/>
                <w:szCs w:val="22"/>
                <w:lang w:val="pt-BR"/>
              </w:rPr>
              <w:t xml:space="preserve"> </w:t>
            </w:r>
            <w:r>
              <w:rPr>
                <w:rFonts w:eastAsia="Times New Roman" w:cs="Times New Roman"/>
                <w:sz w:val="22"/>
                <w:szCs w:val="22"/>
                <w:lang w:val="pt-BR"/>
              </w:rPr>
              <w:t>inglês</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193B0956" w14:textId="77777777" w:rsidR="008825BB" w:rsidRPr="00C04CDD" w:rsidRDefault="00000000" w:rsidP="008825BB">
            <w:pPr>
              <w:rPr>
                <w:rFonts w:cs="Times New Roman"/>
                <w:sz w:val="22"/>
                <w:szCs w:val="22"/>
                <w:lang w:val="it-CH"/>
              </w:rPr>
            </w:pPr>
            <w:r>
              <w:rPr>
                <w:rFonts w:eastAsia="Times New Roman" w:cs="Times New Roman"/>
                <w:sz w:val="22"/>
                <w:szCs w:val="22"/>
                <w:lang w:val="pt-BR"/>
              </w:rPr>
              <w:t>Progresso em direção à proficiência em inglês</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08E1F319" w14:textId="77777777" w:rsidR="008825BB" w:rsidRPr="00997BDD" w:rsidRDefault="00000000" w:rsidP="008825BB">
            <w:pPr>
              <w:jc w:val="center"/>
              <w:rPr>
                <w:rFonts w:cs="Times New Roman"/>
                <w:sz w:val="22"/>
                <w:szCs w:val="22"/>
              </w:rPr>
            </w:pPr>
            <w:r>
              <w:rPr>
                <w:rFonts w:eastAsia="Times New Roman" w:cs="Times New Roman"/>
                <w:sz w:val="22"/>
                <w:szCs w:val="22"/>
                <w:lang w:val="pt-BR"/>
              </w:rPr>
              <w:t>20%</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5F37CB2A" w14:textId="77777777" w:rsidR="008825BB" w:rsidRPr="00997BDD" w:rsidRDefault="00000000" w:rsidP="008825BB">
            <w:pPr>
              <w:jc w:val="center"/>
              <w:rPr>
                <w:rFonts w:cs="Times New Roman"/>
                <w:sz w:val="22"/>
                <w:szCs w:val="22"/>
              </w:rPr>
            </w:pPr>
            <w:r>
              <w:rPr>
                <w:rFonts w:eastAsia="Times New Roman" w:cs="Times New Roman"/>
                <w:sz w:val="22"/>
                <w:szCs w:val="22"/>
                <w:lang w:val="pt-BR"/>
              </w:rPr>
              <w:t>n/a</w:t>
            </w:r>
          </w:p>
        </w:tc>
      </w:tr>
      <w:tr w:rsidR="00C566B2" w14:paraId="165FBB83" w14:textId="77777777" w:rsidTr="00C566B2">
        <w:trPr>
          <w:trHeight w:val="288"/>
        </w:trPr>
        <w:tc>
          <w:tcPr>
            <w:tcW w:w="26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cPr>
          <w:p w14:paraId="33E80575" w14:textId="77777777" w:rsidR="008825BB" w:rsidRPr="00CC1CB4" w:rsidRDefault="00000000" w:rsidP="008825BB">
            <w:pPr>
              <w:rPr>
                <w:rFonts w:cs="Times New Roman"/>
                <w:b/>
                <w:sz w:val="22"/>
                <w:szCs w:val="22"/>
                <w:lang w:val="es-ES"/>
              </w:rPr>
            </w:pPr>
            <w:r>
              <w:rPr>
                <w:rFonts w:eastAsia="Times New Roman" w:cs="Times New Roman"/>
                <w:b/>
                <w:bCs/>
                <w:sz w:val="22"/>
                <w:szCs w:val="22"/>
                <w:lang w:val="pt-BR"/>
              </w:rPr>
              <w:t xml:space="preserve"> </w:t>
            </w:r>
            <w:r>
              <w:rPr>
                <w:rFonts w:eastAsia="Times New Roman" w:cs="Times New Roman"/>
                <w:sz w:val="22"/>
                <w:szCs w:val="22"/>
                <w:lang w:val="pt-BR"/>
              </w:rPr>
              <w:t>Qualidade escolar</w:t>
            </w:r>
            <w:r>
              <w:rPr>
                <w:rFonts w:eastAsia="Times New Roman" w:cs="Times New Roman"/>
                <w:b/>
                <w:bCs/>
                <w:sz w:val="22"/>
                <w:szCs w:val="22"/>
                <w:lang w:val="pt-BR"/>
              </w:rPr>
              <w:t xml:space="preserve"> </w:t>
            </w:r>
            <w:r>
              <w:rPr>
                <w:rFonts w:eastAsia="Times New Roman" w:cs="Times New Roman"/>
                <w:sz w:val="22"/>
                <w:szCs w:val="22"/>
                <w:lang w:val="pt-BR"/>
              </w:rPr>
              <w:t>ou</w:t>
            </w:r>
            <w:r>
              <w:rPr>
                <w:rFonts w:eastAsia="Times New Roman" w:cs="Times New Roman"/>
                <w:b/>
                <w:bCs/>
                <w:sz w:val="22"/>
                <w:szCs w:val="22"/>
                <w:lang w:val="pt-BR"/>
              </w:rPr>
              <w:t xml:space="preserve"> </w:t>
            </w:r>
            <w:r>
              <w:rPr>
                <w:rFonts w:eastAsia="Times New Roman" w:cs="Times New Roman"/>
                <w:sz w:val="22"/>
                <w:szCs w:val="22"/>
                <w:lang w:val="pt-BR"/>
              </w:rPr>
              <w:t>sucesso do</w:t>
            </w:r>
            <w:r>
              <w:rPr>
                <w:rFonts w:eastAsia="Times New Roman" w:cs="Times New Roman"/>
                <w:b/>
                <w:bCs/>
                <w:sz w:val="22"/>
                <w:szCs w:val="22"/>
                <w:lang w:val="pt-BR"/>
              </w:rPr>
              <w:t xml:space="preserve"> </w:t>
            </w:r>
            <w:r>
              <w:rPr>
                <w:rFonts w:eastAsia="Times New Roman" w:cs="Times New Roman"/>
                <w:sz w:val="22"/>
                <w:szCs w:val="22"/>
                <w:lang w:val="pt-BR"/>
              </w:rPr>
              <w:t>aluno</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6726330B" w14:textId="77777777" w:rsidR="008825BB" w:rsidRPr="00997BDD" w:rsidRDefault="00000000" w:rsidP="008825BB">
            <w:pPr>
              <w:rPr>
                <w:rFonts w:cs="Times New Roman"/>
                <w:sz w:val="22"/>
                <w:szCs w:val="22"/>
              </w:rPr>
            </w:pPr>
            <w:r>
              <w:rPr>
                <w:rFonts w:eastAsia="Times New Roman" w:cs="Times New Roman"/>
                <w:sz w:val="22"/>
                <w:szCs w:val="22"/>
                <w:lang w:val="pt-BR"/>
              </w:rPr>
              <w:t>Absenteísmo crônico</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3F810929" w14:textId="77777777" w:rsidR="008825BB" w:rsidRPr="00997BDD" w:rsidRDefault="00000000" w:rsidP="008825BB">
            <w:pPr>
              <w:jc w:val="center"/>
              <w:rPr>
                <w:rFonts w:cs="Times New Roman"/>
                <w:sz w:val="22"/>
                <w:szCs w:val="22"/>
              </w:rPr>
            </w:pPr>
            <w:r>
              <w:rPr>
                <w:rFonts w:eastAsia="Times New Roman" w:cs="Times New Roman"/>
                <w:sz w:val="22"/>
                <w:szCs w:val="22"/>
                <w:lang w:val="pt-BR"/>
              </w:rPr>
              <w:t>10%</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54492D67" w14:textId="77777777" w:rsidR="008825BB" w:rsidRPr="00997BDD" w:rsidRDefault="00000000" w:rsidP="008825BB">
            <w:pPr>
              <w:jc w:val="center"/>
              <w:rPr>
                <w:rFonts w:cs="Times New Roman"/>
                <w:sz w:val="22"/>
                <w:szCs w:val="22"/>
              </w:rPr>
            </w:pPr>
            <w:r>
              <w:rPr>
                <w:rFonts w:eastAsia="Times New Roman" w:cs="Times New Roman"/>
                <w:sz w:val="22"/>
                <w:szCs w:val="22"/>
                <w:lang w:val="pt-BR"/>
              </w:rPr>
              <w:t>15%</w:t>
            </w:r>
          </w:p>
        </w:tc>
      </w:tr>
    </w:tbl>
    <w:p w14:paraId="71A94410" w14:textId="77777777" w:rsidR="008825BB" w:rsidRPr="00CC1CB4" w:rsidRDefault="00000000" w:rsidP="000335D7">
      <w:pPr>
        <w:pStyle w:val="aff0"/>
        <w:spacing w:before="240"/>
        <w:rPr>
          <w:lang w:val="es-ES"/>
        </w:rPr>
      </w:pPr>
      <w:r>
        <w:rPr>
          <w:rFonts w:eastAsia="Cambria"/>
          <w:lang w:val="pt-BR"/>
        </w:rPr>
        <w:t>Figura A.16: Pesos do ensino médio</w:t>
      </w:r>
    </w:p>
    <w:tbl>
      <w:tblPr>
        <w:tblStyle w:val="4-1"/>
        <w:tblW w:w="9355" w:type="dxa"/>
        <w:tblCellMar>
          <w:top w:w="58" w:type="dxa"/>
          <w:left w:w="58" w:type="dxa"/>
          <w:bottom w:w="58" w:type="dxa"/>
          <w:right w:w="58" w:type="dxa"/>
        </w:tblCellMar>
        <w:tblLook w:val="0420" w:firstRow="1" w:lastRow="0" w:firstColumn="0" w:lastColumn="0" w:noHBand="0" w:noVBand="1"/>
      </w:tblPr>
      <w:tblGrid>
        <w:gridCol w:w="2709"/>
        <w:gridCol w:w="2215"/>
        <w:gridCol w:w="2215"/>
        <w:gridCol w:w="2216"/>
      </w:tblGrid>
      <w:tr w:rsidR="00C566B2" w:rsidRPr="00C04CDD" w14:paraId="00331527" w14:textId="77777777" w:rsidTr="00C566B2">
        <w:trPr>
          <w:cnfStyle w:val="100000000000" w:firstRow="1" w:lastRow="0" w:firstColumn="0" w:lastColumn="0" w:oddVBand="0" w:evenVBand="0" w:oddHBand="0" w:evenHBand="0" w:firstRowFirstColumn="0" w:firstRowLastColumn="0" w:lastRowFirstColumn="0" w:lastRowLastColumn="0"/>
          <w:tblHeader/>
        </w:trPr>
        <w:tc>
          <w:tcPr>
            <w:tcW w:w="2709" w:type="dxa"/>
            <w:tcBorders>
              <w:bottom w:val="single" w:sz="4" w:space="0" w:color="244061" w:themeColor="accent1" w:themeShade="80"/>
              <w:right w:val="single" w:sz="4" w:space="0" w:color="FFFFFF" w:themeColor="background1"/>
            </w:tcBorders>
            <w:shd w:val="clear" w:color="auto" w:fill="215868" w:themeFill="accent5" w:themeFillShade="80"/>
            <w:vAlign w:val="center"/>
          </w:tcPr>
          <w:p w14:paraId="05A511DA" w14:textId="77777777" w:rsidR="008825BB" w:rsidRPr="00997BDD" w:rsidRDefault="00000000" w:rsidP="004507E2">
            <w:pPr>
              <w:rPr>
                <w:rFonts w:cs="Times New Roman"/>
                <w:b w:val="0"/>
                <w:bCs w:val="0"/>
                <w:sz w:val="22"/>
                <w:szCs w:val="22"/>
              </w:rPr>
            </w:pPr>
            <w:r>
              <w:rPr>
                <w:rFonts w:eastAsia="Times New Roman" w:cs="Times New Roman"/>
                <w:color w:val="FFFFFF"/>
                <w:sz w:val="22"/>
                <w:szCs w:val="22"/>
                <w:lang w:val="pt-BR"/>
              </w:rPr>
              <w:t>Categoria do indicador</w:t>
            </w:r>
          </w:p>
        </w:tc>
        <w:tc>
          <w:tcPr>
            <w:tcW w:w="2215" w:type="dxa"/>
            <w:tcBorders>
              <w:left w:val="single" w:sz="4" w:space="0" w:color="FFFFFF" w:themeColor="background1"/>
              <w:bottom w:val="single" w:sz="4" w:space="0" w:color="244061" w:themeColor="accent1" w:themeShade="80"/>
              <w:right w:val="single" w:sz="4" w:space="0" w:color="FFFFFF" w:themeColor="background1"/>
            </w:tcBorders>
            <w:shd w:val="clear" w:color="auto" w:fill="215868" w:themeFill="accent5" w:themeFillShade="80"/>
            <w:vAlign w:val="center"/>
          </w:tcPr>
          <w:p w14:paraId="28AA8B60" w14:textId="77777777" w:rsidR="008825BB" w:rsidRPr="00997BDD" w:rsidRDefault="00000000" w:rsidP="008825BB">
            <w:pPr>
              <w:jc w:val="center"/>
              <w:rPr>
                <w:rFonts w:cs="Times New Roman"/>
                <w:bCs w:val="0"/>
                <w:sz w:val="22"/>
                <w:szCs w:val="22"/>
              </w:rPr>
            </w:pPr>
            <w:r>
              <w:rPr>
                <w:rFonts w:eastAsia="Times New Roman" w:cs="Times New Roman"/>
                <w:color w:val="FFFFFF"/>
                <w:sz w:val="22"/>
                <w:szCs w:val="22"/>
                <w:lang w:val="pt-BR"/>
              </w:rPr>
              <w:t>Indicador</w:t>
            </w:r>
          </w:p>
        </w:tc>
        <w:tc>
          <w:tcPr>
            <w:tcW w:w="2215" w:type="dxa"/>
            <w:tcBorders>
              <w:left w:val="single" w:sz="4" w:space="0" w:color="FFFFFF" w:themeColor="background1"/>
              <w:bottom w:val="single" w:sz="4" w:space="0" w:color="244061" w:themeColor="accent1" w:themeShade="80"/>
              <w:right w:val="single" w:sz="4" w:space="0" w:color="FFFFFF" w:themeColor="background1"/>
            </w:tcBorders>
            <w:shd w:val="clear" w:color="auto" w:fill="215868" w:themeFill="accent5" w:themeFillShade="80"/>
            <w:vAlign w:val="center"/>
          </w:tcPr>
          <w:p w14:paraId="31B197AD" w14:textId="77777777" w:rsidR="008825BB" w:rsidRPr="00CC1CB4" w:rsidRDefault="00000000" w:rsidP="008825BB">
            <w:pPr>
              <w:jc w:val="center"/>
              <w:rPr>
                <w:rFonts w:cs="Times New Roman"/>
                <w:b w:val="0"/>
                <w:bCs w:val="0"/>
                <w:sz w:val="22"/>
                <w:szCs w:val="22"/>
                <w:lang w:val="es-ES"/>
              </w:rPr>
            </w:pPr>
            <w:r>
              <w:rPr>
                <w:rFonts w:eastAsia="Times New Roman" w:cs="Times New Roman"/>
                <w:color w:val="FFFFFF"/>
                <w:sz w:val="22"/>
                <w:szCs w:val="22"/>
                <w:lang w:val="pt-BR"/>
              </w:rPr>
              <w:t>Peso com progresso em direção à proficiência em inglês</w:t>
            </w:r>
          </w:p>
        </w:tc>
        <w:tc>
          <w:tcPr>
            <w:tcW w:w="2216" w:type="dxa"/>
            <w:tcBorders>
              <w:left w:val="single" w:sz="4" w:space="0" w:color="FFFFFF" w:themeColor="background1"/>
              <w:bottom w:val="single" w:sz="4" w:space="0" w:color="244061" w:themeColor="accent1" w:themeShade="80"/>
            </w:tcBorders>
            <w:shd w:val="clear" w:color="auto" w:fill="215868" w:themeFill="accent5" w:themeFillShade="80"/>
            <w:vAlign w:val="center"/>
          </w:tcPr>
          <w:p w14:paraId="05148B5D" w14:textId="77777777" w:rsidR="008825BB" w:rsidRPr="00CC1CB4" w:rsidRDefault="00000000" w:rsidP="008825BB">
            <w:pPr>
              <w:jc w:val="center"/>
              <w:rPr>
                <w:rFonts w:cs="Times New Roman"/>
                <w:bCs w:val="0"/>
                <w:sz w:val="22"/>
                <w:szCs w:val="22"/>
                <w:lang w:val="es-ES"/>
              </w:rPr>
            </w:pPr>
            <w:r>
              <w:rPr>
                <w:rFonts w:eastAsia="Times New Roman" w:cs="Times New Roman"/>
                <w:color w:val="FFFFFF"/>
                <w:sz w:val="22"/>
                <w:szCs w:val="22"/>
                <w:lang w:val="pt-BR"/>
              </w:rPr>
              <w:t>Peso sem progresso em direção à proficiência em inglês</w:t>
            </w:r>
          </w:p>
        </w:tc>
      </w:tr>
      <w:tr w:rsidR="00C566B2" w14:paraId="1D4D8F6A" w14:textId="77777777" w:rsidTr="00C566B2">
        <w:trPr>
          <w:cnfStyle w:val="000000100000" w:firstRow="0" w:lastRow="0" w:firstColumn="0" w:lastColumn="0" w:oddVBand="0" w:evenVBand="0" w:oddHBand="1" w:evenHBand="0" w:firstRowFirstColumn="0" w:firstRowLastColumn="0" w:lastRowFirstColumn="0" w:lastRowLastColumn="0"/>
          <w:trHeight w:val="288"/>
        </w:trPr>
        <w:tc>
          <w:tcPr>
            <w:tcW w:w="2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hemeFill="background1" w:themeFillShade="F2"/>
            <w:vAlign w:val="center"/>
          </w:tcPr>
          <w:p w14:paraId="42BF2CA5" w14:textId="77777777" w:rsidR="008825BB" w:rsidRPr="00997BDD" w:rsidRDefault="00000000" w:rsidP="008825BB">
            <w:pPr>
              <w:rPr>
                <w:rFonts w:cs="Times New Roman"/>
                <w:b/>
                <w:sz w:val="22"/>
                <w:szCs w:val="22"/>
              </w:rPr>
            </w:pPr>
            <w:r>
              <w:rPr>
                <w:rFonts w:eastAsia="Times New Roman" w:cs="Times New Roman"/>
                <w:b/>
                <w:bCs/>
                <w:sz w:val="22"/>
                <w:szCs w:val="22"/>
                <w:lang w:val="pt-BR"/>
              </w:rPr>
              <w:t xml:space="preserve"> </w:t>
            </w:r>
            <w:r>
              <w:rPr>
                <w:rFonts w:eastAsia="Times New Roman" w:cs="Times New Roman"/>
                <w:sz w:val="22"/>
                <w:szCs w:val="22"/>
                <w:lang w:val="pt-BR"/>
              </w:rPr>
              <w:t>Realização acadêmica</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3B20879E" w14:textId="77777777" w:rsidR="008825BB" w:rsidRPr="00997BDD" w:rsidRDefault="00000000" w:rsidP="008825BB">
            <w:pPr>
              <w:rPr>
                <w:rFonts w:cs="Times New Roman"/>
                <w:sz w:val="22"/>
                <w:szCs w:val="22"/>
              </w:rPr>
            </w:pPr>
            <w:r>
              <w:rPr>
                <w:rFonts w:eastAsia="Times New Roman" w:cs="Times New Roman"/>
                <w:sz w:val="22"/>
                <w:szCs w:val="22"/>
                <w:lang w:val="pt-BR"/>
              </w:rPr>
              <w:t>Proficiência em ELA</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69FF79CF" w14:textId="77777777" w:rsidR="008825BB" w:rsidRPr="00997BDD" w:rsidRDefault="00000000" w:rsidP="008825BB">
            <w:pPr>
              <w:jc w:val="center"/>
              <w:rPr>
                <w:rFonts w:cs="Times New Roman"/>
                <w:sz w:val="22"/>
                <w:szCs w:val="22"/>
              </w:rPr>
            </w:pPr>
            <w:r>
              <w:rPr>
                <w:rFonts w:eastAsia="Times New Roman" w:cs="Times New Roman"/>
                <w:sz w:val="22"/>
                <w:szCs w:val="22"/>
                <w:lang w:val="pt-BR"/>
              </w:rPr>
              <w:t>15%</w:t>
            </w:r>
          </w:p>
        </w:tc>
        <w:tc>
          <w:tcPr>
            <w:tcW w:w="221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08F0E9FF" w14:textId="77777777" w:rsidR="008825BB" w:rsidRPr="00997BDD" w:rsidRDefault="00000000" w:rsidP="008825BB">
            <w:pPr>
              <w:jc w:val="center"/>
              <w:rPr>
                <w:rFonts w:cs="Times New Roman"/>
                <w:sz w:val="22"/>
                <w:szCs w:val="22"/>
              </w:rPr>
            </w:pPr>
            <w:r>
              <w:rPr>
                <w:rFonts w:eastAsia="Times New Roman" w:cs="Times New Roman"/>
                <w:sz w:val="22"/>
                <w:szCs w:val="22"/>
                <w:lang w:val="pt-BR"/>
              </w:rPr>
              <w:t>17,5%</w:t>
            </w:r>
          </w:p>
        </w:tc>
      </w:tr>
      <w:tr w:rsidR="00C566B2" w14:paraId="3791CA7B" w14:textId="77777777" w:rsidTr="00C566B2">
        <w:trPr>
          <w:trHeight w:val="288"/>
        </w:trPr>
        <w:tc>
          <w:tcPr>
            <w:tcW w:w="2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hemeFill="background1" w:themeFillShade="F2"/>
            <w:vAlign w:val="center"/>
          </w:tcPr>
          <w:p w14:paraId="43839CB1" w14:textId="77777777" w:rsidR="008825BB" w:rsidRPr="00997BDD" w:rsidRDefault="00000000" w:rsidP="008825BB">
            <w:pPr>
              <w:rPr>
                <w:rFonts w:cs="Times New Roman"/>
                <w:b/>
                <w:sz w:val="22"/>
                <w:szCs w:val="22"/>
              </w:rPr>
            </w:pPr>
            <w:r>
              <w:rPr>
                <w:rFonts w:eastAsia="Times New Roman" w:cs="Times New Roman"/>
                <w:b/>
                <w:bCs/>
                <w:sz w:val="22"/>
                <w:szCs w:val="22"/>
                <w:lang w:val="pt-BR"/>
              </w:rPr>
              <w:t xml:space="preserve"> </w:t>
            </w:r>
            <w:r>
              <w:rPr>
                <w:rFonts w:eastAsia="Times New Roman" w:cs="Times New Roman"/>
                <w:sz w:val="22"/>
                <w:szCs w:val="22"/>
                <w:lang w:val="pt-BR"/>
              </w:rPr>
              <w:t>Realização acadêmica</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2B1EFB35" w14:textId="77777777" w:rsidR="008825BB" w:rsidRPr="00997BDD" w:rsidRDefault="00000000" w:rsidP="008825BB">
            <w:pPr>
              <w:rPr>
                <w:rFonts w:cs="Times New Roman"/>
                <w:sz w:val="22"/>
                <w:szCs w:val="22"/>
              </w:rPr>
            </w:pPr>
            <w:r>
              <w:rPr>
                <w:rFonts w:eastAsia="Times New Roman" w:cs="Times New Roman"/>
                <w:sz w:val="22"/>
                <w:szCs w:val="22"/>
                <w:lang w:val="pt-BR"/>
              </w:rPr>
              <w:t>Proficiência em matemática</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5E97EFFA" w14:textId="77777777" w:rsidR="008825BB" w:rsidRPr="00997BDD" w:rsidRDefault="00000000" w:rsidP="008825BB">
            <w:pPr>
              <w:jc w:val="center"/>
              <w:rPr>
                <w:rFonts w:cs="Times New Roman"/>
                <w:sz w:val="22"/>
                <w:szCs w:val="22"/>
              </w:rPr>
            </w:pPr>
            <w:r>
              <w:rPr>
                <w:rFonts w:eastAsia="Times New Roman" w:cs="Times New Roman"/>
                <w:sz w:val="22"/>
                <w:szCs w:val="22"/>
                <w:lang w:val="pt-BR"/>
              </w:rPr>
              <w:t>15%</w:t>
            </w:r>
          </w:p>
        </w:tc>
        <w:tc>
          <w:tcPr>
            <w:tcW w:w="221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05DE2DDA" w14:textId="77777777" w:rsidR="008825BB" w:rsidRPr="00997BDD" w:rsidRDefault="00000000" w:rsidP="008825BB">
            <w:pPr>
              <w:jc w:val="center"/>
              <w:rPr>
                <w:rFonts w:cs="Times New Roman"/>
                <w:sz w:val="22"/>
                <w:szCs w:val="22"/>
              </w:rPr>
            </w:pPr>
            <w:r>
              <w:rPr>
                <w:rFonts w:eastAsia="Times New Roman" w:cs="Times New Roman"/>
                <w:sz w:val="22"/>
                <w:szCs w:val="22"/>
                <w:lang w:val="pt-BR"/>
              </w:rPr>
              <w:t>17,5%</w:t>
            </w:r>
          </w:p>
        </w:tc>
      </w:tr>
      <w:tr w:rsidR="00C566B2" w14:paraId="5150E8E8" w14:textId="77777777" w:rsidTr="00C566B2">
        <w:trPr>
          <w:cnfStyle w:val="000000100000" w:firstRow="0" w:lastRow="0" w:firstColumn="0" w:lastColumn="0" w:oddVBand="0" w:evenVBand="0" w:oddHBand="1" w:evenHBand="0" w:firstRowFirstColumn="0" w:firstRowLastColumn="0" w:lastRowFirstColumn="0" w:lastRowLastColumn="0"/>
          <w:trHeight w:val="288"/>
        </w:trPr>
        <w:tc>
          <w:tcPr>
            <w:tcW w:w="2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hemeFill="background1" w:themeFillShade="F2"/>
            <w:vAlign w:val="center"/>
          </w:tcPr>
          <w:p w14:paraId="6F1192B1" w14:textId="77777777" w:rsidR="008825BB" w:rsidRPr="00997BDD" w:rsidRDefault="00000000" w:rsidP="008825BB">
            <w:pPr>
              <w:rPr>
                <w:rFonts w:cs="Times New Roman"/>
                <w:b/>
                <w:sz w:val="22"/>
                <w:szCs w:val="22"/>
              </w:rPr>
            </w:pPr>
            <w:r>
              <w:rPr>
                <w:rFonts w:eastAsia="Times New Roman" w:cs="Times New Roman"/>
                <w:sz w:val="22"/>
                <w:szCs w:val="22"/>
                <w:lang w:val="pt-BR"/>
              </w:rPr>
              <w:t>Taxa</w:t>
            </w:r>
            <w:r>
              <w:rPr>
                <w:rFonts w:eastAsia="Times New Roman" w:cs="Times New Roman"/>
                <w:b/>
                <w:bCs/>
                <w:sz w:val="22"/>
                <w:szCs w:val="22"/>
                <w:lang w:val="pt-BR"/>
              </w:rPr>
              <w:t xml:space="preserve"> </w:t>
            </w:r>
            <w:r>
              <w:rPr>
                <w:rFonts w:eastAsia="Times New Roman" w:cs="Times New Roman"/>
                <w:sz w:val="22"/>
                <w:szCs w:val="22"/>
                <w:lang w:val="pt-BR"/>
              </w:rPr>
              <w:t>de formação</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1035917B" w14:textId="77777777" w:rsidR="008825BB" w:rsidRPr="00CC1CB4" w:rsidRDefault="00000000" w:rsidP="008825BB">
            <w:pPr>
              <w:rPr>
                <w:rFonts w:cs="Times New Roman"/>
                <w:sz w:val="22"/>
                <w:szCs w:val="22"/>
                <w:lang w:val="es-ES"/>
              </w:rPr>
            </w:pPr>
            <w:r>
              <w:rPr>
                <w:rFonts w:eastAsia="Times New Roman" w:cs="Times New Roman"/>
                <w:sz w:val="22"/>
                <w:szCs w:val="22"/>
                <w:lang w:val="pt-BR"/>
              </w:rPr>
              <w:t>Taxa de formação de 4 anos</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721AD4DA" w14:textId="77777777" w:rsidR="008825BB" w:rsidRPr="00997BDD" w:rsidRDefault="00000000" w:rsidP="008825BB">
            <w:pPr>
              <w:jc w:val="center"/>
              <w:rPr>
                <w:rFonts w:cs="Times New Roman"/>
                <w:sz w:val="22"/>
                <w:szCs w:val="22"/>
              </w:rPr>
            </w:pPr>
            <w:r>
              <w:rPr>
                <w:rFonts w:eastAsia="Times New Roman" w:cs="Times New Roman"/>
                <w:sz w:val="22"/>
                <w:szCs w:val="22"/>
                <w:lang w:val="pt-BR"/>
              </w:rPr>
              <w:t>20%</w:t>
            </w:r>
          </w:p>
        </w:tc>
        <w:tc>
          <w:tcPr>
            <w:tcW w:w="221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0A649FBE" w14:textId="77777777" w:rsidR="008825BB" w:rsidRPr="00997BDD" w:rsidRDefault="00000000" w:rsidP="008825BB">
            <w:pPr>
              <w:jc w:val="center"/>
              <w:rPr>
                <w:rFonts w:cs="Times New Roman"/>
                <w:sz w:val="22"/>
                <w:szCs w:val="22"/>
              </w:rPr>
            </w:pPr>
            <w:r>
              <w:rPr>
                <w:rFonts w:eastAsia="Times New Roman" w:cs="Times New Roman"/>
                <w:sz w:val="22"/>
                <w:szCs w:val="22"/>
                <w:lang w:val="pt-BR"/>
              </w:rPr>
              <w:t>25%</w:t>
            </w:r>
          </w:p>
        </w:tc>
      </w:tr>
      <w:tr w:rsidR="00C566B2" w14:paraId="7B04AECF" w14:textId="77777777" w:rsidTr="00C566B2">
        <w:trPr>
          <w:trHeight w:val="288"/>
        </w:trPr>
        <w:tc>
          <w:tcPr>
            <w:tcW w:w="2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hemeFill="background1" w:themeFillShade="F2"/>
            <w:vAlign w:val="center"/>
          </w:tcPr>
          <w:p w14:paraId="2803DE8E" w14:textId="77777777" w:rsidR="008825BB" w:rsidRPr="00997BDD" w:rsidRDefault="00000000" w:rsidP="008825BB">
            <w:pPr>
              <w:rPr>
                <w:rFonts w:cs="Times New Roman"/>
                <w:b/>
                <w:sz w:val="22"/>
                <w:szCs w:val="22"/>
              </w:rPr>
            </w:pPr>
            <w:r>
              <w:rPr>
                <w:rFonts w:eastAsia="Times New Roman" w:cs="Times New Roman"/>
                <w:sz w:val="22"/>
                <w:szCs w:val="22"/>
                <w:lang w:val="pt-BR"/>
              </w:rPr>
              <w:t>Taxa</w:t>
            </w:r>
            <w:r>
              <w:rPr>
                <w:rFonts w:eastAsia="Times New Roman" w:cs="Times New Roman"/>
                <w:b/>
                <w:bCs/>
                <w:sz w:val="22"/>
                <w:szCs w:val="22"/>
                <w:lang w:val="pt-BR"/>
              </w:rPr>
              <w:t xml:space="preserve"> </w:t>
            </w:r>
            <w:r>
              <w:rPr>
                <w:rFonts w:eastAsia="Times New Roman" w:cs="Times New Roman"/>
                <w:sz w:val="22"/>
                <w:szCs w:val="22"/>
                <w:lang w:val="pt-BR"/>
              </w:rPr>
              <w:t>de formação</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377DB1FF" w14:textId="77777777" w:rsidR="008825BB" w:rsidRPr="00CC1CB4" w:rsidRDefault="00000000" w:rsidP="008825BB">
            <w:pPr>
              <w:rPr>
                <w:rFonts w:cs="Times New Roman"/>
                <w:sz w:val="22"/>
                <w:szCs w:val="22"/>
                <w:lang w:val="es-ES"/>
              </w:rPr>
            </w:pPr>
            <w:r>
              <w:rPr>
                <w:rFonts w:eastAsia="Times New Roman" w:cs="Times New Roman"/>
                <w:sz w:val="22"/>
                <w:szCs w:val="22"/>
                <w:lang w:val="pt-BR"/>
              </w:rPr>
              <w:t>Taxa de formação de 5 anos</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6C225741" w14:textId="77777777" w:rsidR="008825BB" w:rsidRPr="00997BDD" w:rsidRDefault="00000000" w:rsidP="008825BB">
            <w:pPr>
              <w:jc w:val="center"/>
              <w:rPr>
                <w:rFonts w:cs="Times New Roman"/>
                <w:sz w:val="22"/>
                <w:szCs w:val="22"/>
              </w:rPr>
            </w:pPr>
            <w:r>
              <w:rPr>
                <w:rFonts w:eastAsia="Times New Roman" w:cs="Times New Roman"/>
                <w:sz w:val="22"/>
                <w:szCs w:val="22"/>
                <w:lang w:val="pt-BR"/>
              </w:rPr>
              <w:t>10%</w:t>
            </w:r>
          </w:p>
        </w:tc>
        <w:tc>
          <w:tcPr>
            <w:tcW w:w="221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7C7A4DB9" w14:textId="77777777" w:rsidR="008825BB" w:rsidRPr="00997BDD" w:rsidRDefault="00000000" w:rsidP="008825BB">
            <w:pPr>
              <w:jc w:val="center"/>
              <w:rPr>
                <w:rFonts w:cs="Times New Roman"/>
                <w:sz w:val="22"/>
                <w:szCs w:val="22"/>
              </w:rPr>
            </w:pPr>
            <w:r>
              <w:rPr>
                <w:rFonts w:eastAsia="Times New Roman" w:cs="Times New Roman"/>
                <w:sz w:val="22"/>
                <w:szCs w:val="22"/>
                <w:lang w:val="pt-BR"/>
              </w:rPr>
              <w:t>12,5%</w:t>
            </w:r>
          </w:p>
        </w:tc>
      </w:tr>
      <w:tr w:rsidR="00C566B2" w14:paraId="051F422B" w14:textId="77777777" w:rsidTr="00C566B2">
        <w:trPr>
          <w:cnfStyle w:val="000000100000" w:firstRow="0" w:lastRow="0" w:firstColumn="0" w:lastColumn="0" w:oddVBand="0" w:evenVBand="0" w:oddHBand="1" w:evenHBand="0" w:firstRowFirstColumn="0" w:firstRowLastColumn="0" w:lastRowFirstColumn="0" w:lastRowLastColumn="0"/>
          <w:trHeight w:val="288"/>
        </w:trPr>
        <w:tc>
          <w:tcPr>
            <w:tcW w:w="2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hemeFill="background1" w:themeFillShade="F2"/>
            <w:vAlign w:val="center"/>
          </w:tcPr>
          <w:p w14:paraId="7DB33E18" w14:textId="77777777" w:rsidR="008825BB" w:rsidRPr="00997BDD" w:rsidRDefault="00000000" w:rsidP="008825BB">
            <w:pPr>
              <w:rPr>
                <w:rFonts w:cs="Times New Roman"/>
                <w:b/>
                <w:sz w:val="22"/>
                <w:szCs w:val="22"/>
              </w:rPr>
            </w:pPr>
            <w:r>
              <w:rPr>
                <w:rFonts w:eastAsia="Times New Roman" w:cs="Times New Roman"/>
                <w:sz w:val="22"/>
                <w:szCs w:val="22"/>
                <w:lang w:val="pt-BR"/>
              </w:rPr>
              <w:t>Taxa</w:t>
            </w:r>
            <w:r>
              <w:rPr>
                <w:rFonts w:eastAsia="Times New Roman" w:cs="Times New Roman"/>
                <w:b/>
                <w:bCs/>
                <w:sz w:val="22"/>
                <w:szCs w:val="22"/>
                <w:lang w:val="pt-BR"/>
              </w:rPr>
              <w:t xml:space="preserve"> </w:t>
            </w:r>
            <w:r>
              <w:rPr>
                <w:rFonts w:eastAsia="Times New Roman" w:cs="Times New Roman"/>
                <w:sz w:val="22"/>
                <w:szCs w:val="22"/>
                <w:lang w:val="pt-BR"/>
              </w:rPr>
              <w:t>de formação</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60622B82" w14:textId="77777777" w:rsidR="008825BB" w:rsidRPr="00CC1CB4" w:rsidRDefault="00000000" w:rsidP="008825BB">
            <w:pPr>
              <w:rPr>
                <w:rFonts w:cs="Times New Roman"/>
                <w:sz w:val="22"/>
                <w:szCs w:val="22"/>
                <w:lang w:val="es-ES"/>
              </w:rPr>
            </w:pPr>
            <w:r>
              <w:rPr>
                <w:rFonts w:eastAsia="Times New Roman" w:cs="Times New Roman"/>
                <w:sz w:val="22"/>
                <w:szCs w:val="22"/>
                <w:lang w:val="pt-BR"/>
              </w:rPr>
              <w:t>Taxa de formação de 6 anos</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312BFFC1" w14:textId="77777777" w:rsidR="008825BB" w:rsidRPr="00997BDD" w:rsidRDefault="00000000" w:rsidP="008825BB">
            <w:pPr>
              <w:jc w:val="center"/>
              <w:rPr>
                <w:rFonts w:cs="Times New Roman"/>
                <w:sz w:val="22"/>
                <w:szCs w:val="22"/>
              </w:rPr>
            </w:pPr>
            <w:r>
              <w:rPr>
                <w:rFonts w:eastAsia="Times New Roman" w:cs="Times New Roman"/>
                <w:sz w:val="22"/>
                <w:szCs w:val="22"/>
                <w:lang w:val="pt-BR"/>
              </w:rPr>
              <w:t>10%</w:t>
            </w:r>
          </w:p>
        </w:tc>
        <w:tc>
          <w:tcPr>
            <w:tcW w:w="221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7FFF6DAB" w14:textId="77777777" w:rsidR="008825BB" w:rsidRPr="00997BDD" w:rsidRDefault="00000000" w:rsidP="008825BB">
            <w:pPr>
              <w:jc w:val="center"/>
              <w:rPr>
                <w:rFonts w:cs="Times New Roman"/>
                <w:sz w:val="22"/>
                <w:szCs w:val="22"/>
              </w:rPr>
            </w:pPr>
            <w:r>
              <w:rPr>
                <w:rFonts w:eastAsia="Times New Roman" w:cs="Times New Roman"/>
                <w:sz w:val="22"/>
                <w:szCs w:val="22"/>
                <w:lang w:val="pt-BR"/>
              </w:rPr>
              <w:t>12,5%</w:t>
            </w:r>
          </w:p>
        </w:tc>
      </w:tr>
      <w:tr w:rsidR="00C566B2" w14:paraId="788AA952" w14:textId="77777777" w:rsidTr="00C566B2">
        <w:trPr>
          <w:trHeight w:val="288"/>
        </w:trPr>
        <w:tc>
          <w:tcPr>
            <w:tcW w:w="2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hemeFill="background1" w:themeFillShade="F2"/>
            <w:vAlign w:val="center"/>
          </w:tcPr>
          <w:p w14:paraId="1B3A27A4" w14:textId="77777777" w:rsidR="008825BB" w:rsidRPr="00C04CDD" w:rsidRDefault="00000000" w:rsidP="008825BB">
            <w:pPr>
              <w:rPr>
                <w:rFonts w:cs="Times New Roman"/>
                <w:b/>
                <w:sz w:val="22"/>
                <w:szCs w:val="22"/>
                <w:lang w:val="it-CH"/>
              </w:rPr>
            </w:pPr>
            <w:r>
              <w:rPr>
                <w:rFonts w:eastAsia="Times New Roman" w:cs="Times New Roman"/>
                <w:sz w:val="22"/>
                <w:szCs w:val="22"/>
                <w:lang w:val="pt-BR"/>
              </w:rPr>
              <w:t>Progresso</w:t>
            </w:r>
            <w:r>
              <w:rPr>
                <w:rFonts w:eastAsia="Times New Roman" w:cs="Times New Roman"/>
                <w:b/>
                <w:bCs/>
                <w:sz w:val="22"/>
                <w:szCs w:val="22"/>
                <w:lang w:val="pt-BR"/>
              </w:rPr>
              <w:t xml:space="preserve"> </w:t>
            </w:r>
            <w:r>
              <w:rPr>
                <w:rFonts w:eastAsia="Times New Roman" w:cs="Times New Roman"/>
                <w:sz w:val="22"/>
                <w:szCs w:val="22"/>
                <w:lang w:val="pt-BR"/>
              </w:rPr>
              <w:t>em direção à</w:t>
            </w:r>
            <w:r>
              <w:rPr>
                <w:rFonts w:eastAsia="Times New Roman" w:cs="Times New Roman"/>
                <w:b/>
                <w:bCs/>
                <w:sz w:val="22"/>
                <w:szCs w:val="22"/>
                <w:lang w:val="pt-BR"/>
              </w:rPr>
              <w:t xml:space="preserve"> </w:t>
            </w:r>
            <w:r>
              <w:rPr>
                <w:rFonts w:eastAsia="Times New Roman" w:cs="Times New Roman"/>
                <w:sz w:val="22"/>
                <w:szCs w:val="22"/>
                <w:lang w:val="pt-BR"/>
              </w:rPr>
              <w:t>proficiência</w:t>
            </w:r>
            <w:r>
              <w:rPr>
                <w:rFonts w:eastAsia="Times New Roman" w:cs="Times New Roman"/>
                <w:b/>
                <w:bCs/>
                <w:sz w:val="22"/>
                <w:szCs w:val="22"/>
                <w:lang w:val="pt-BR"/>
              </w:rPr>
              <w:t xml:space="preserve"> </w:t>
            </w:r>
            <w:r>
              <w:rPr>
                <w:rFonts w:eastAsia="Times New Roman" w:cs="Times New Roman"/>
                <w:sz w:val="22"/>
                <w:szCs w:val="22"/>
                <w:lang w:val="pt-BR"/>
              </w:rPr>
              <w:t>em</w:t>
            </w:r>
            <w:r>
              <w:rPr>
                <w:rFonts w:eastAsia="Times New Roman" w:cs="Times New Roman"/>
                <w:b/>
                <w:bCs/>
                <w:sz w:val="22"/>
                <w:szCs w:val="22"/>
                <w:lang w:val="pt-BR"/>
              </w:rPr>
              <w:t xml:space="preserve"> </w:t>
            </w:r>
            <w:r>
              <w:rPr>
                <w:rFonts w:eastAsia="Times New Roman" w:cs="Times New Roman"/>
                <w:sz w:val="22"/>
                <w:szCs w:val="22"/>
                <w:lang w:val="pt-BR"/>
              </w:rPr>
              <w:t>inglês</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210F8503" w14:textId="77777777" w:rsidR="008825BB" w:rsidRPr="00C04CDD" w:rsidRDefault="00000000" w:rsidP="008825BB">
            <w:pPr>
              <w:rPr>
                <w:rFonts w:cs="Times New Roman"/>
                <w:sz w:val="22"/>
                <w:szCs w:val="22"/>
                <w:lang w:val="it-CH"/>
              </w:rPr>
            </w:pPr>
            <w:r>
              <w:rPr>
                <w:rFonts w:eastAsia="Times New Roman" w:cs="Times New Roman"/>
                <w:sz w:val="22"/>
                <w:szCs w:val="22"/>
                <w:lang w:val="pt-BR"/>
              </w:rPr>
              <w:t>Progresso em direção à proficiência em inglês</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6B6E9409" w14:textId="77777777" w:rsidR="008825BB" w:rsidRPr="00997BDD" w:rsidRDefault="00000000" w:rsidP="008825BB">
            <w:pPr>
              <w:jc w:val="center"/>
              <w:rPr>
                <w:rFonts w:cs="Times New Roman"/>
                <w:sz w:val="22"/>
                <w:szCs w:val="22"/>
              </w:rPr>
            </w:pPr>
            <w:r>
              <w:rPr>
                <w:rFonts w:eastAsia="Times New Roman" w:cs="Times New Roman"/>
                <w:sz w:val="22"/>
                <w:szCs w:val="22"/>
                <w:lang w:val="pt-BR"/>
              </w:rPr>
              <w:t>20%</w:t>
            </w:r>
          </w:p>
        </w:tc>
        <w:tc>
          <w:tcPr>
            <w:tcW w:w="221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0C321635" w14:textId="77777777" w:rsidR="008825BB" w:rsidRPr="00997BDD" w:rsidRDefault="00000000" w:rsidP="008825BB">
            <w:pPr>
              <w:jc w:val="center"/>
              <w:rPr>
                <w:rFonts w:cs="Times New Roman"/>
                <w:sz w:val="22"/>
                <w:szCs w:val="22"/>
              </w:rPr>
            </w:pPr>
            <w:r>
              <w:rPr>
                <w:rFonts w:eastAsia="Times New Roman" w:cs="Times New Roman"/>
                <w:sz w:val="22"/>
                <w:szCs w:val="22"/>
                <w:lang w:val="pt-BR"/>
              </w:rPr>
              <w:t>n/a</w:t>
            </w:r>
          </w:p>
        </w:tc>
      </w:tr>
      <w:tr w:rsidR="00C566B2" w14:paraId="3355FA31" w14:textId="77777777" w:rsidTr="00C566B2">
        <w:trPr>
          <w:cnfStyle w:val="000000100000" w:firstRow="0" w:lastRow="0" w:firstColumn="0" w:lastColumn="0" w:oddVBand="0" w:evenVBand="0" w:oddHBand="1" w:evenHBand="0" w:firstRowFirstColumn="0" w:firstRowLastColumn="0" w:lastRowFirstColumn="0" w:lastRowLastColumn="0"/>
          <w:trHeight w:val="288"/>
        </w:trPr>
        <w:tc>
          <w:tcPr>
            <w:tcW w:w="2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hemeFill="background1" w:themeFillShade="F2"/>
            <w:vAlign w:val="center"/>
          </w:tcPr>
          <w:p w14:paraId="7A8EA639" w14:textId="77777777" w:rsidR="008825BB" w:rsidRPr="00CC1CB4" w:rsidRDefault="00000000" w:rsidP="008825BB">
            <w:pPr>
              <w:rPr>
                <w:rFonts w:cs="Times New Roman"/>
                <w:b/>
                <w:sz w:val="22"/>
                <w:szCs w:val="22"/>
                <w:lang w:val="es-ES"/>
              </w:rPr>
            </w:pPr>
            <w:r>
              <w:rPr>
                <w:rFonts w:eastAsia="Times New Roman" w:cs="Times New Roman"/>
                <w:b/>
                <w:bCs/>
                <w:sz w:val="22"/>
                <w:szCs w:val="22"/>
                <w:lang w:val="pt-BR"/>
              </w:rPr>
              <w:t xml:space="preserve"> </w:t>
            </w:r>
            <w:r>
              <w:rPr>
                <w:rFonts w:eastAsia="Times New Roman" w:cs="Times New Roman"/>
                <w:sz w:val="22"/>
                <w:szCs w:val="22"/>
                <w:lang w:val="pt-BR"/>
              </w:rPr>
              <w:t>Qualidade escolar</w:t>
            </w:r>
            <w:r>
              <w:rPr>
                <w:rFonts w:eastAsia="Times New Roman" w:cs="Times New Roman"/>
                <w:b/>
                <w:bCs/>
                <w:sz w:val="22"/>
                <w:szCs w:val="22"/>
                <w:lang w:val="pt-BR"/>
              </w:rPr>
              <w:t xml:space="preserve"> </w:t>
            </w:r>
            <w:r>
              <w:rPr>
                <w:rFonts w:eastAsia="Times New Roman" w:cs="Times New Roman"/>
                <w:sz w:val="22"/>
                <w:szCs w:val="22"/>
                <w:lang w:val="pt-BR"/>
              </w:rPr>
              <w:t>ou</w:t>
            </w:r>
            <w:r>
              <w:rPr>
                <w:rFonts w:eastAsia="Times New Roman" w:cs="Times New Roman"/>
                <w:b/>
                <w:bCs/>
                <w:sz w:val="22"/>
                <w:szCs w:val="22"/>
                <w:lang w:val="pt-BR"/>
              </w:rPr>
              <w:t xml:space="preserve"> </w:t>
            </w:r>
            <w:r>
              <w:rPr>
                <w:rFonts w:eastAsia="Times New Roman" w:cs="Times New Roman"/>
                <w:sz w:val="22"/>
                <w:szCs w:val="22"/>
                <w:lang w:val="pt-BR"/>
              </w:rPr>
              <w:t>sucesso do</w:t>
            </w:r>
            <w:r>
              <w:rPr>
                <w:rFonts w:eastAsia="Times New Roman" w:cs="Times New Roman"/>
                <w:b/>
                <w:bCs/>
                <w:sz w:val="22"/>
                <w:szCs w:val="22"/>
                <w:lang w:val="pt-BR"/>
              </w:rPr>
              <w:t xml:space="preserve"> </w:t>
            </w:r>
            <w:r>
              <w:rPr>
                <w:rFonts w:eastAsia="Times New Roman" w:cs="Times New Roman"/>
                <w:sz w:val="22"/>
                <w:szCs w:val="22"/>
                <w:lang w:val="pt-BR"/>
              </w:rPr>
              <w:t>aluno</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4D8BC73A" w14:textId="77777777" w:rsidR="008825BB" w:rsidRPr="00997BDD" w:rsidRDefault="00000000" w:rsidP="008825BB">
            <w:pPr>
              <w:rPr>
                <w:rFonts w:cs="Times New Roman"/>
                <w:sz w:val="22"/>
                <w:szCs w:val="22"/>
              </w:rPr>
            </w:pPr>
            <w:r>
              <w:rPr>
                <w:rFonts w:eastAsia="Times New Roman" w:cs="Times New Roman"/>
                <w:sz w:val="22"/>
                <w:szCs w:val="22"/>
                <w:lang w:val="pt-BR"/>
              </w:rPr>
              <w:t>Absenteísmo crônico</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0666D2EB" w14:textId="77777777" w:rsidR="008825BB" w:rsidRPr="00997BDD" w:rsidRDefault="00000000" w:rsidP="008825BB">
            <w:pPr>
              <w:jc w:val="center"/>
              <w:rPr>
                <w:rFonts w:cs="Times New Roman"/>
                <w:sz w:val="22"/>
                <w:szCs w:val="22"/>
              </w:rPr>
            </w:pPr>
            <w:r>
              <w:rPr>
                <w:rFonts w:eastAsia="Times New Roman" w:cs="Times New Roman"/>
                <w:sz w:val="22"/>
                <w:szCs w:val="22"/>
                <w:lang w:val="pt-BR"/>
              </w:rPr>
              <w:t>10%</w:t>
            </w:r>
          </w:p>
        </w:tc>
        <w:tc>
          <w:tcPr>
            <w:tcW w:w="221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31B6227E" w14:textId="77777777" w:rsidR="008825BB" w:rsidRPr="00997BDD" w:rsidRDefault="00000000" w:rsidP="008825BB">
            <w:pPr>
              <w:jc w:val="center"/>
              <w:rPr>
                <w:rFonts w:cs="Times New Roman"/>
                <w:sz w:val="22"/>
                <w:szCs w:val="22"/>
              </w:rPr>
            </w:pPr>
            <w:r>
              <w:rPr>
                <w:rFonts w:eastAsia="Times New Roman" w:cs="Times New Roman"/>
                <w:sz w:val="22"/>
                <w:szCs w:val="22"/>
                <w:lang w:val="pt-BR"/>
              </w:rPr>
              <w:t>15%</w:t>
            </w:r>
          </w:p>
        </w:tc>
      </w:tr>
      <w:tr w:rsidR="00C566B2" w14:paraId="276F9B99" w14:textId="77777777" w:rsidTr="00C566B2">
        <w:trPr>
          <w:trHeight w:val="288"/>
        </w:trPr>
        <w:tc>
          <w:tcPr>
            <w:tcW w:w="2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hemeFill="background1" w:themeFillShade="F2"/>
            <w:vAlign w:val="center"/>
          </w:tcPr>
          <w:p w14:paraId="046BE90B" w14:textId="77777777" w:rsidR="00405DFC" w:rsidRPr="00CC1CB4" w:rsidRDefault="00000000" w:rsidP="008825BB">
            <w:pPr>
              <w:rPr>
                <w:rFonts w:cs="Times New Roman"/>
                <w:b/>
                <w:sz w:val="22"/>
                <w:szCs w:val="22"/>
                <w:lang w:val="es-ES"/>
              </w:rPr>
            </w:pPr>
            <w:r>
              <w:rPr>
                <w:rFonts w:eastAsia="Times New Roman" w:cs="Times New Roman"/>
                <w:b/>
                <w:bCs/>
                <w:sz w:val="22"/>
                <w:szCs w:val="22"/>
                <w:lang w:val="pt-BR"/>
              </w:rPr>
              <w:t xml:space="preserve"> </w:t>
            </w:r>
            <w:r>
              <w:rPr>
                <w:rFonts w:eastAsia="Times New Roman" w:cs="Times New Roman"/>
                <w:sz w:val="22"/>
                <w:szCs w:val="22"/>
                <w:lang w:val="pt-BR"/>
              </w:rPr>
              <w:t>Qualidade escolar</w:t>
            </w:r>
            <w:r>
              <w:rPr>
                <w:rFonts w:eastAsia="Times New Roman" w:cs="Times New Roman"/>
                <w:b/>
                <w:bCs/>
                <w:sz w:val="22"/>
                <w:szCs w:val="22"/>
                <w:lang w:val="pt-BR"/>
              </w:rPr>
              <w:t xml:space="preserve"> </w:t>
            </w:r>
            <w:r>
              <w:rPr>
                <w:rFonts w:eastAsia="Times New Roman" w:cs="Times New Roman"/>
                <w:sz w:val="22"/>
                <w:szCs w:val="22"/>
                <w:lang w:val="pt-BR"/>
              </w:rPr>
              <w:t>ou</w:t>
            </w:r>
            <w:r>
              <w:rPr>
                <w:rFonts w:eastAsia="Times New Roman" w:cs="Times New Roman"/>
                <w:b/>
                <w:bCs/>
                <w:sz w:val="22"/>
                <w:szCs w:val="22"/>
                <w:lang w:val="pt-BR"/>
              </w:rPr>
              <w:t xml:space="preserve"> </w:t>
            </w:r>
            <w:r>
              <w:rPr>
                <w:rFonts w:eastAsia="Times New Roman" w:cs="Times New Roman"/>
                <w:sz w:val="22"/>
                <w:szCs w:val="22"/>
                <w:lang w:val="pt-BR"/>
              </w:rPr>
              <w:t>sucesso do</w:t>
            </w:r>
            <w:r>
              <w:rPr>
                <w:rFonts w:eastAsia="Times New Roman" w:cs="Times New Roman"/>
                <w:b/>
                <w:bCs/>
                <w:sz w:val="22"/>
                <w:szCs w:val="22"/>
                <w:lang w:val="pt-BR"/>
              </w:rPr>
              <w:t xml:space="preserve"> </w:t>
            </w:r>
            <w:r>
              <w:rPr>
                <w:rFonts w:eastAsia="Times New Roman" w:cs="Times New Roman"/>
                <w:sz w:val="22"/>
                <w:szCs w:val="22"/>
                <w:lang w:val="pt-BR"/>
              </w:rPr>
              <w:t>aluno</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3AD80A29" w14:textId="77777777" w:rsidR="00405DFC" w:rsidRPr="00997BDD" w:rsidRDefault="00000000" w:rsidP="008825BB">
            <w:pPr>
              <w:rPr>
                <w:rFonts w:cs="Times New Roman"/>
                <w:sz w:val="22"/>
                <w:szCs w:val="22"/>
              </w:rPr>
            </w:pPr>
            <w:r>
              <w:rPr>
                <w:rFonts w:eastAsia="Times New Roman" w:cs="Times New Roman"/>
                <w:sz w:val="22"/>
                <w:szCs w:val="22"/>
                <w:lang w:val="pt-BR"/>
              </w:rPr>
              <w:t>Persistência no ensino médio</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0D0AA575" w14:textId="77777777" w:rsidR="00405DFC" w:rsidRPr="00997BDD" w:rsidRDefault="00000000" w:rsidP="008825BB">
            <w:pPr>
              <w:jc w:val="center"/>
              <w:rPr>
                <w:rFonts w:cs="Times New Roman"/>
                <w:sz w:val="22"/>
                <w:szCs w:val="22"/>
              </w:rPr>
            </w:pPr>
            <w:r>
              <w:rPr>
                <w:rFonts w:eastAsia="Times New Roman" w:cs="Times New Roman"/>
                <w:sz w:val="22"/>
                <w:szCs w:val="22"/>
                <w:lang w:val="pt-BR"/>
              </w:rPr>
              <w:t>0% (a partir de 2024-2025)</w:t>
            </w:r>
          </w:p>
        </w:tc>
        <w:tc>
          <w:tcPr>
            <w:tcW w:w="221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6C7A35D2" w14:textId="77777777" w:rsidR="00405DFC" w:rsidRPr="00997BDD" w:rsidRDefault="00000000" w:rsidP="008825BB">
            <w:pPr>
              <w:jc w:val="center"/>
              <w:rPr>
                <w:rFonts w:cs="Times New Roman"/>
                <w:sz w:val="22"/>
                <w:szCs w:val="22"/>
              </w:rPr>
            </w:pPr>
            <w:r>
              <w:rPr>
                <w:rFonts w:eastAsia="Times New Roman" w:cs="Times New Roman"/>
                <w:sz w:val="22"/>
                <w:szCs w:val="22"/>
                <w:lang w:val="pt-BR"/>
              </w:rPr>
              <w:t>0% (a partir de 2024-2025)</w:t>
            </w:r>
          </w:p>
        </w:tc>
      </w:tr>
    </w:tbl>
    <w:p w14:paraId="7FB0FC0B" w14:textId="77777777" w:rsidR="008825BB" w:rsidRPr="00CC1CB4" w:rsidRDefault="00000000" w:rsidP="000335D7">
      <w:pPr>
        <w:pStyle w:val="aff0"/>
        <w:spacing w:before="240"/>
        <w:rPr>
          <w:lang w:val="es-ES"/>
        </w:rPr>
      </w:pPr>
      <w:r>
        <w:rPr>
          <w:rFonts w:eastAsia="Cambria"/>
          <w:lang w:val="pt-BR"/>
        </w:rPr>
        <w:lastRenderedPageBreak/>
        <w:t>Figura A.17: Pesos da escola de configuração mista</w:t>
      </w:r>
    </w:p>
    <w:tbl>
      <w:tblPr>
        <w:tblStyle w:val="4-1"/>
        <w:tblW w:w="9355"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CellMar>
          <w:top w:w="58" w:type="dxa"/>
          <w:left w:w="58" w:type="dxa"/>
          <w:bottom w:w="58" w:type="dxa"/>
          <w:right w:w="58" w:type="dxa"/>
        </w:tblCellMar>
        <w:tblLook w:val="04A0" w:firstRow="1" w:lastRow="0" w:firstColumn="1" w:lastColumn="0" w:noHBand="0" w:noVBand="1"/>
      </w:tblPr>
      <w:tblGrid>
        <w:gridCol w:w="2695"/>
        <w:gridCol w:w="2220"/>
        <w:gridCol w:w="2220"/>
        <w:gridCol w:w="2220"/>
      </w:tblGrid>
      <w:tr w:rsidR="00C566B2" w:rsidRPr="00C04CDD" w14:paraId="4429A854" w14:textId="77777777" w:rsidTr="00C566B2">
        <w:trPr>
          <w:cnfStyle w:val="100000000000" w:firstRow="1" w:lastRow="0" w:firstColumn="0" w:lastColumn="0" w:oddVBand="0" w:evenVBand="0" w:oddHBand="0" w:evenHBand="0" w:firstRowFirstColumn="0" w:firstRowLastColumn="0" w:lastRowFirstColumn="0" w:lastRowLastColumn="0"/>
          <w:trHeight w:val="537"/>
          <w:tblHeader/>
        </w:trPr>
        <w:tc>
          <w:tcPr>
            <w:cnfStyle w:val="001000000000" w:firstRow="0" w:lastRow="0" w:firstColumn="1" w:lastColumn="0" w:oddVBand="0" w:evenVBand="0" w:oddHBand="0" w:evenHBand="0" w:firstRowFirstColumn="0" w:firstRowLastColumn="0" w:lastRowFirstColumn="0" w:lastRowLastColumn="0"/>
            <w:tcW w:w="2695" w:type="dxa"/>
            <w:tcBorders>
              <w:right w:val="single" w:sz="4" w:space="0" w:color="FFFFFF" w:themeColor="background1"/>
            </w:tcBorders>
            <w:shd w:val="clear" w:color="auto" w:fill="215868"/>
            <w:vAlign w:val="center"/>
          </w:tcPr>
          <w:p w14:paraId="43C22C6E" w14:textId="77777777" w:rsidR="008825BB" w:rsidRPr="00997BDD" w:rsidRDefault="00000000" w:rsidP="008825BB">
            <w:pPr>
              <w:overflowPunct w:val="0"/>
              <w:autoSpaceDE w:val="0"/>
              <w:autoSpaceDN w:val="0"/>
              <w:ind w:left="107"/>
              <w:jc w:val="center"/>
              <w:rPr>
                <w:rFonts w:eastAsia="Calibri" w:cs="Times New Roman"/>
                <w:b w:val="0"/>
                <w:bCs w:val="0"/>
                <w:sz w:val="22"/>
                <w:szCs w:val="22"/>
              </w:rPr>
            </w:pPr>
            <w:r>
              <w:rPr>
                <w:rFonts w:eastAsia="Times New Roman" w:cs="Times New Roman"/>
                <w:color w:val="FFFFFF"/>
                <w:sz w:val="22"/>
                <w:szCs w:val="22"/>
                <w:lang w:val="pt-BR"/>
              </w:rPr>
              <w:t>Categoria do indicador</w:t>
            </w:r>
          </w:p>
        </w:tc>
        <w:tc>
          <w:tcPr>
            <w:tcW w:w="2220" w:type="dxa"/>
            <w:tcBorders>
              <w:left w:val="single" w:sz="4" w:space="0" w:color="FFFFFF" w:themeColor="background1"/>
              <w:right w:val="single" w:sz="4" w:space="0" w:color="FFFFFF" w:themeColor="background1"/>
            </w:tcBorders>
            <w:shd w:val="clear" w:color="auto" w:fill="215868"/>
            <w:vAlign w:val="center"/>
            <w:hideMark/>
          </w:tcPr>
          <w:p w14:paraId="0B2F4A50" w14:textId="77777777" w:rsidR="008825BB" w:rsidRPr="00997BDD" w:rsidRDefault="00000000" w:rsidP="009962E9">
            <w:pPr>
              <w:overflowPunct w:val="0"/>
              <w:autoSpaceDE w:val="0"/>
              <w:autoSpaceDN w:val="0"/>
              <w:ind w:left="107"/>
              <w:cnfStyle w:val="100000000000" w:firstRow="1" w:lastRow="0" w:firstColumn="0" w:lastColumn="0" w:oddVBand="0" w:evenVBand="0" w:oddHBand="0" w:evenHBand="0" w:firstRowFirstColumn="0" w:firstRowLastColumn="0" w:lastRowFirstColumn="0" w:lastRowLastColumn="0"/>
              <w:rPr>
                <w:rFonts w:eastAsia="Calibri" w:cs="Times New Roman"/>
                <w:bCs w:val="0"/>
                <w:sz w:val="22"/>
                <w:szCs w:val="22"/>
              </w:rPr>
            </w:pPr>
            <w:r>
              <w:rPr>
                <w:rFonts w:eastAsia="Times New Roman" w:cs="Times New Roman"/>
                <w:color w:val="FFFFFF"/>
                <w:sz w:val="22"/>
                <w:szCs w:val="22"/>
                <w:lang w:val="pt-BR"/>
              </w:rPr>
              <w:t>Indicador</w:t>
            </w:r>
          </w:p>
        </w:tc>
        <w:tc>
          <w:tcPr>
            <w:tcW w:w="2220" w:type="dxa"/>
            <w:tcBorders>
              <w:left w:val="single" w:sz="4" w:space="0" w:color="FFFFFF" w:themeColor="background1"/>
              <w:right w:val="single" w:sz="4" w:space="0" w:color="FFFFFF" w:themeColor="background1"/>
            </w:tcBorders>
            <w:shd w:val="clear" w:color="auto" w:fill="215868"/>
            <w:vAlign w:val="center"/>
          </w:tcPr>
          <w:p w14:paraId="30428414" w14:textId="77777777" w:rsidR="008825BB" w:rsidRPr="00CC1CB4" w:rsidRDefault="00000000" w:rsidP="002E0DE9">
            <w:pPr>
              <w:overflowPunct w:val="0"/>
              <w:autoSpaceDE w:val="0"/>
              <w:autoSpaceDN w:val="0"/>
              <w:ind w:left="160" w:right="153"/>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sz w:val="22"/>
                <w:szCs w:val="22"/>
                <w:lang w:val="es-ES"/>
              </w:rPr>
            </w:pPr>
            <w:r>
              <w:rPr>
                <w:rFonts w:eastAsia="Times New Roman" w:cs="Times New Roman"/>
                <w:color w:val="FFFFFF"/>
                <w:sz w:val="22"/>
                <w:szCs w:val="22"/>
                <w:lang w:val="pt-BR"/>
              </w:rPr>
              <w:t>Peso com progresso em direção à proficiência em inglês</w:t>
            </w:r>
          </w:p>
        </w:tc>
        <w:tc>
          <w:tcPr>
            <w:tcW w:w="2220" w:type="dxa"/>
            <w:tcBorders>
              <w:left w:val="single" w:sz="4" w:space="0" w:color="FFFFFF" w:themeColor="background1"/>
            </w:tcBorders>
            <w:shd w:val="clear" w:color="auto" w:fill="215868"/>
            <w:vAlign w:val="center"/>
            <w:hideMark/>
          </w:tcPr>
          <w:p w14:paraId="02D1C2C5" w14:textId="77777777" w:rsidR="008825BB" w:rsidRPr="00CC1CB4" w:rsidRDefault="00000000" w:rsidP="002E0DE9">
            <w:pPr>
              <w:overflowPunct w:val="0"/>
              <w:autoSpaceDE w:val="0"/>
              <w:autoSpaceDN w:val="0"/>
              <w:ind w:left="160" w:right="153"/>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sz w:val="22"/>
                <w:szCs w:val="22"/>
                <w:lang w:val="es-ES"/>
              </w:rPr>
            </w:pPr>
            <w:r>
              <w:rPr>
                <w:rFonts w:eastAsia="Times New Roman" w:cs="Times New Roman"/>
                <w:color w:val="FFFFFF"/>
                <w:sz w:val="22"/>
                <w:szCs w:val="22"/>
                <w:lang w:val="pt-BR"/>
              </w:rPr>
              <w:t>Peso sem progresso em direção à proficiência em inglês</w:t>
            </w:r>
          </w:p>
        </w:tc>
      </w:tr>
      <w:tr w:rsidR="00C566B2" w14:paraId="175198D2" w14:textId="77777777" w:rsidTr="00C566B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0D2B712B" w14:textId="77777777" w:rsidR="008825BB" w:rsidRPr="00997BDD" w:rsidRDefault="00000000" w:rsidP="008825BB">
            <w:pPr>
              <w:overflowPunct w:val="0"/>
              <w:autoSpaceDE w:val="0"/>
              <w:autoSpaceDN w:val="0"/>
              <w:ind w:left="107"/>
              <w:rPr>
                <w:rFonts w:eastAsia="Calibri" w:cs="Times New Roman"/>
                <w:bCs w:val="0"/>
                <w:sz w:val="22"/>
                <w:szCs w:val="22"/>
              </w:rPr>
            </w:pPr>
            <w:r>
              <w:rPr>
                <w:rFonts w:eastAsia="Times New Roman" w:cs="Times New Roman"/>
                <w:b w:val="0"/>
                <w:sz w:val="22"/>
                <w:szCs w:val="22"/>
                <w:lang w:val="pt-BR"/>
              </w:rPr>
              <w:t>Progresso acadêmico</w:t>
            </w:r>
          </w:p>
        </w:tc>
        <w:tc>
          <w:tcPr>
            <w:tcW w:w="2220" w:type="dxa"/>
            <w:shd w:val="clear" w:color="auto" w:fill="DBE5F1"/>
            <w:hideMark/>
          </w:tcPr>
          <w:p w14:paraId="56A13026" w14:textId="77777777" w:rsidR="008825BB" w:rsidRPr="00997BDD" w:rsidRDefault="00000000" w:rsidP="008825BB">
            <w:pPr>
              <w:overflowPunct w:val="0"/>
              <w:autoSpaceDE w:val="0"/>
              <w:autoSpaceDN w:val="0"/>
              <w:ind w:left="107"/>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eastAsia="Times New Roman" w:cs="Times New Roman"/>
                <w:sz w:val="22"/>
                <w:szCs w:val="22"/>
                <w:lang w:val="pt-BR"/>
              </w:rPr>
              <w:t>Crescimento em ELA</w:t>
            </w:r>
          </w:p>
        </w:tc>
        <w:tc>
          <w:tcPr>
            <w:tcW w:w="2220" w:type="dxa"/>
            <w:shd w:val="clear" w:color="auto" w:fill="DBE5F1"/>
          </w:tcPr>
          <w:p w14:paraId="00C0FE1F" w14:textId="77777777" w:rsidR="008825BB" w:rsidRPr="00997BDD" w:rsidRDefault="00000000" w:rsidP="008825BB">
            <w:pPr>
              <w:overflowPunct w:val="0"/>
              <w:autoSpaceDE w:val="0"/>
              <w:autoSpaceDN w:val="0"/>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eastAsia="Times New Roman" w:cs="Times New Roman"/>
                <w:sz w:val="22"/>
                <w:szCs w:val="22"/>
                <w:lang w:val="pt-BR"/>
              </w:rPr>
              <w:t>12,5%</w:t>
            </w:r>
          </w:p>
        </w:tc>
        <w:tc>
          <w:tcPr>
            <w:tcW w:w="2220" w:type="dxa"/>
            <w:shd w:val="clear" w:color="auto" w:fill="DBE5F1"/>
            <w:hideMark/>
          </w:tcPr>
          <w:p w14:paraId="06E19659" w14:textId="77777777" w:rsidR="008825BB" w:rsidRPr="00997BDD" w:rsidRDefault="00000000" w:rsidP="008825BB">
            <w:pPr>
              <w:overflowPunct w:val="0"/>
              <w:autoSpaceDE w:val="0"/>
              <w:autoSpaceDN w:val="0"/>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eastAsia="Times New Roman" w:cs="Times New Roman"/>
                <w:sz w:val="22"/>
                <w:szCs w:val="22"/>
                <w:lang w:val="pt-BR"/>
              </w:rPr>
              <w:t>15%</w:t>
            </w:r>
          </w:p>
        </w:tc>
      </w:tr>
      <w:tr w:rsidR="00C566B2" w14:paraId="5D677A59" w14:textId="77777777" w:rsidTr="00C566B2">
        <w:trPr>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30607004" w14:textId="77777777" w:rsidR="008825BB" w:rsidRPr="00997BDD" w:rsidRDefault="00000000" w:rsidP="008825BB">
            <w:pPr>
              <w:overflowPunct w:val="0"/>
              <w:autoSpaceDE w:val="0"/>
              <w:autoSpaceDN w:val="0"/>
              <w:ind w:left="107"/>
              <w:rPr>
                <w:rFonts w:eastAsia="Calibri" w:cs="Times New Roman"/>
                <w:bCs w:val="0"/>
                <w:sz w:val="22"/>
                <w:szCs w:val="22"/>
              </w:rPr>
            </w:pPr>
            <w:r>
              <w:rPr>
                <w:rFonts w:eastAsia="Times New Roman" w:cs="Times New Roman"/>
                <w:b w:val="0"/>
                <w:sz w:val="22"/>
                <w:szCs w:val="22"/>
                <w:lang w:val="pt-BR"/>
              </w:rPr>
              <w:t>Progresso acadêmico</w:t>
            </w:r>
          </w:p>
        </w:tc>
        <w:tc>
          <w:tcPr>
            <w:tcW w:w="2220" w:type="dxa"/>
            <w:hideMark/>
          </w:tcPr>
          <w:p w14:paraId="7EB622BA" w14:textId="77777777" w:rsidR="008825BB" w:rsidRPr="00997BDD" w:rsidRDefault="00000000" w:rsidP="008825BB">
            <w:pPr>
              <w:overflowPunct w:val="0"/>
              <w:autoSpaceDE w:val="0"/>
              <w:autoSpaceDN w:val="0"/>
              <w:ind w:left="107"/>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eastAsia="Times New Roman" w:cs="Times New Roman"/>
                <w:sz w:val="22"/>
                <w:szCs w:val="22"/>
                <w:lang w:val="pt-BR"/>
              </w:rPr>
              <w:t>Crescimento em matemática</w:t>
            </w:r>
          </w:p>
        </w:tc>
        <w:tc>
          <w:tcPr>
            <w:tcW w:w="2220" w:type="dxa"/>
          </w:tcPr>
          <w:p w14:paraId="2C5F36E4" w14:textId="77777777" w:rsidR="008825BB" w:rsidRPr="00997BDD" w:rsidRDefault="00000000" w:rsidP="008825BB">
            <w:pPr>
              <w:overflowPunct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eastAsia="Times New Roman" w:cs="Times New Roman"/>
                <w:sz w:val="22"/>
                <w:szCs w:val="22"/>
                <w:lang w:val="pt-BR"/>
              </w:rPr>
              <w:t>12,5%</w:t>
            </w:r>
          </w:p>
        </w:tc>
        <w:tc>
          <w:tcPr>
            <w:tcW w:w="2220" w:type="dxa"/>
            <w:hideMark/>
          </w:tcPr>
          <w:p w14:paraId="5BC987B1" w14:textId="77777777" w:rsidR="008825BB" w:rsidRPr="00997BDD" w:rsidRDefault="00000000" w:rsidP="008825BB">
            <w:pPr>
              <w:overflowPunct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eastAsia="Times New Roman" w:cs="Times New Roman"/>
                <w:sz w:val="22"/>
                <w:szCs w:val="22"/>
                <w:lang w:val="pt-BR"/>
              </w:rPr>
              <w:t>15%</w:t>
            </w:r>
          </w:p>
        </w:tc>
      </w:tr>
      <w:tr w:rsidR="00C566B2" w14:paraId="2857A358" w14:textId="77777777" w:rsidTr="00C566B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65CD9B7F" w14:textId="77777777" w:rsidR="008825BB" w:rsidRPr="00997BDD" w:rsidRDefault="00000000" w:rsidP="008825BB">
            <w:pPr>
              <w:overflowPunct w:val="0"/>
              <w:autoSpaceDE w:val="0"/>
              <w:autoSpaceDN w:val="0"/>
              <w:ind w:left="107"/>
              <w:rPr>
                <w:rFonts w:eastAsia="Calibri" w:cs="Times New Roman"/>
                <w:bCs w:val="0"/>
                <w:sz w:val="22"/>
                <w:szCs w:val="22"/>
              </w:rPr>
            </w:pPr>
            <w:r>
              <w:rPr>
                <w:rFonts w:eastAsia="Times New Roman" w:cs="Times New Roman"/>
                <w:b w:val="0"/>
                <w:sz w:val="22"/>
                <w:szCs w:val="22"/>
                <w:lang w:val="pt-BR"/>
              </w:rPr>
              <w:t>Realização acadêmica</w:t>
            </w:r>
          </w:p>
        </w:tc>
        <w:tc>
          <w:tcPr>
            <w:tcW w:w="2220" w:type="dxa"/>
            <w:shd w:val="clear" w:color="auto" w:fill="DBE5F1"/>
            <w:hideMark/>
          </w:tcPr>
          <w:p w14:paraId="1BD337F2" w14:textId="77777777" w:rsidR="008825BB" w:rsidRPr="00997BDD" w:rsidRDefault="00000000" w:rsidP="008825BB">
            <w:pPr>
              <w:overflowPunct w:val="0"/>
              <w:autoSpaceDE w:val="0"/>
              <w:autoSpaceDN w:val="0"/>
              <w:ind w:left="107"/>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eastAsia="Times New Roman" w:cs="Times New Roman"/>
                <w:sz w:val="22"/>
                <w:szCs w:val="22"/>
                <w:lang w:val="pt-BR"/>
              </w:rPr>
              <w:t>Proficiência em ELA</w:t>
            </w:r>
          </w:p>
        </w:tc>
        <w:tc>
          <w:tcPr>
            <w:tcW w:w="2220" w:type="dxa"/>
            <w:shd w:val="clear" w:color="auto" w:fill="DBE5F1"/>
          </w:tcPr>
          <w:p w14:paraId="11160C78" w14:textId="77777777" w:rsidR="008825BB" w:rsidRPr="00997BDD" w:rsidRDefault="00000000" w:rsidP="008825BB">
            <w:pPr>
              <w:overflowPunct w:val="0"/>
              <w:autoSpaceDE w:val="0"/>
              <w:autoSpaceDN w:val="0"/>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eastAsia="Times New Roman" w:cs="Times New Roman"/>
                <w:sz w:val="22"/>
                <w:szCs w:val="22"/>
                <w:lang w:val="pt-BR"/>
              </w:rPr>
              <w:t>10%</w:t>
            </w:r>
          </w:p>
        </w:tc>
        <w:tc>
          <w:tcPr>
            <w:tcW w:w="2220" w:type="dxa"/>
            <w:shd w:val="clear" w:color="auto" w:fill="DBE5F1"/>
            <w:hideMark/>
          </w:tcPr>
          <w:p w14:paraId="15E90AFF" w14:textId="77777777" w:rsidR="008825BB" w:rsidRPr="00997BDD" w:rsidRDefault="00000000" w:rsidP="008825BB">
            <w:pPr>
              <w:overflowPunct w:val="0"/>
              <w:autoSpaceDE w:val="0"/>
              <w:autoSpaceDN w:val="0"/>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eastAsia="Times New Roman" w:cs="Times New Roman"/>
                <w:sz w:val="22"/>
                <w:szCs w:val="22"/>
                <w:lang w:val="pt-BR"/>
              </w:rPr>
              <w:t>12,5%</w:t>
            </w:r>
          </w:p>
        </w:tc>
      </w:tr>
      <w:tr w:rsidR="00C566B2" w14:paraId="45D8FCD9" w14:textId="77777777" w:rsidTr="00C566B2">
        <w:trPr>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45221E1E" w14:textId="77777777" w:rsidR="008825BB" w:rsidRPr="00997BDD" w:rsidRDefault="00000000" w:rsidP="008825BB">
            <w:pPr>
              <w:overflowPunct w:val="0"/>
              <w:autoSpaceDE w:val="0"/>
              <w:autoSpaceDN w:val="0"/>
              <w:ind w:left="107"/>
              <w:rPr>
                <w:rFonts w:eastAsia="Calibri" w:cs="Times New Roman"/>
                <w:bCs w:val="0"/>
                <w:sz w:val="22"/>
                <w:szCs w:val="22"/>
              </w:rPr>
            </w:pPr>
            <w:r>
              <w:rPr>
                <w:rFonts w:eastAsia="Times New Roman" w:cs="Times New Roman"/>
                <w:b w:val="0"/>
                <w:sz w:val="22"/>
                <w:szCs w:val="22"/>
                <w:lang w:val="pt-BR"/>
              </w:rPr>
              <w:t>Realização acadêmica</w:t>
            </w:r>
          </w:p>
        </w:tc>
        <w:tc>
          <w:tcPr>
            <w:tcW w:w="2220" w:type="dxa"/>
            <w:hideMark/>
          </w:tcPr>
          <w:p w14:paraId="48EA32C0" w14:textId="77777777" w:rsidR="008825BB" w:rsidRPr="00997BDD" w:rsidRDefault="00000000" w:rsidP="008825BB">
            <w:pPr>
              <w:overflowPunct w:val="0"/>
              <w:autoSpaceDE w:val="0"/>
              <w:autoSpaceDN w:val="0"/>
              <w:ind w:left="107"/>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eastAsia="Times New Roman" w:cs="Times New Roman"/>
                <w:sz w:val="22"/>
                <w:szCs w:val="22"/>
                <w:lang w:val="pt-BR"/>
              </w:rPr>
              <w:t>Proficiência em matemática</w:t>
            </w:r>
          </w:p>
        </w:tc>
        <w:tc>
          <w:tcPr>
            <w:tcW w:w="2220" w:type="dxa"/>
          </w:tcPr>
          <w:p w14:paraId="5BA9BF06" w14:textId="77777777" w:rsidR="008825BB" w:rsidRPr="00997BDD" w:rsidRDefault="00000000" w:rsidP="008825BB">
            <w:pPr>
              <w:overflowPunct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eastAsia="Times New Roman" w:cs="Times New Roman"/>
                <w:sz w:val="22"/>
                <w:szCs w:val="22"/>
                <w:lang w:val="pt-BR"/>
              </w:rPr>
              <w:t>10%</w:t>
            </w:r>
          </w:p>
        </w:tc>
        <w:tc>
          <w:tcPr>
            <w:tcW w:w="2220" w:type="dxa"/>
            <w:hideMark/>
          </w:tcPr>
          <w:p w14:paraId="1A1229C4" w14:textId="77777777" w:rsidR="008825BB" w:rsidRPr="00997BDD" w:rsidRDefault="00000000" w:rsidP="008825BB">
            <w:pPr>
              <w:overflowPunct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eastAsia="Times New Roman" w:cs="Times New Roman"/>
                <w:sz w:val="22"/>
                <w:szCs w:val="22"/>
                <w:lang w:val="pt-BR"/>
              </w:rPr>
              <w:t>12,5%</w:t>
            </w:r>
          </w:p>
        </w:tc>
      </w:tr>
      <w:tr w:rsidR="00C566B2" w14:paraId="66F111A2" w14:textId="77777777" w:rsidTr="00C566B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3068F6F6" w14:textId="77777777" w:rsidR="008825BB" w:rsidRPr="00997BDD" w:rsidRDefault="00000000" w:rsidP="008825BB">
            <w:pPr>
              <w:overflowPunct w:val="0"/>
              <w:autoSpaceDE w:val="0"/>
              <w:autoSpaceDN w:val="0"/>
              <w:ind w:left="107"/>
              <w:rPr>
                <w:rFonts w:eastAsia="Calibri" w:cs="Times New Roman"/>
                <w:bCs w:val="0"/>
                <w:sz w:val="22"/>
                <w:szCs w:val="22"/>
              </w:rPr>
            </w:pPr>
            <w:r>
              <w:rPr>
                <w:rFonts w:eastAsia="Times New Roman" w:cs="Times New Roman"/>
                <w:b w:val="0"/>
                <w:sz w:val="22"/>
                <w:szCs w:val="22"/>
                <w:lang w:val="pt-BR"/>
              </w:rPr>
              <w:t>Taxa de formação</w:t>
            </w:r>
          </w:p>
        </w:tc>
        <w:tc>
          <w:tcPr>
            <w:tcW w:w="2220" w:type="dxa"/>
            <w:shd w:val="clear" w:color="auto" w:fill="DBE5F1"/>
            <w:hideMark/>
          </w:tcPr>
          <w:p w14:paraId="45D704F2" w14:textId="77777777" w:rsidR="008825BB" w:rsidRPr="00CC1CB4" w:rsidRDefault="00000000" w:rsidP="008825BB">
            <w:pPr>
              <w:overflowPunct w:val="0"/>
              <w:autoSpaceDE w:val="0"/>
              <w:autoSpaceDN w:val="0"/>
              <w:ind w:left="107"/>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lang w:val="es-ES"/>
              </w:rPr>
            </w:pPr>
            <w:r>
              <w:rPr>
                <w:rFonts w:eastAsia="Times New Roman" w:cs="Times New Roman"/>
                <w:sz w:val="22"/>
                <w:szCs w:val="22"/>
                <w:lang w:val="pt-BR"/>
              </w:rPr>
              <w:t>Taxa de formação de 4 anos</w:t>
            </w:r>
          </w:p>
        </w:tc>
        <w:tc>
          <w:tcPr>
            <w:tcW w:w="2220" w:type="dxa"/>
            <w:shd w:val="clear" w:color="auto" w:fill="DBE5F1"/>
          </w:tcPr>
          <w:p w14:paraId="64E59FFD" w14:textId="77777777" w:rsidR="008825BB" w:rsidRPr="00997BDD" w:rsidRDefault="00000000" w:rsidP="008825BB">
            <w:pPr>
              <w:overflowPunct w:val="0"/>
              <w:autoSpaceDE w:val="0"/>
              <w:autoSpaceDN w:val="0"/>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eastAsia="Times New Roman" w:cs="Times New Roman"/>
                <w:sz w:val="22"/>
                <w:szCs w:val="22"/>
                <w:lang w:val="pt-BR"/>
              </w:rPr>
              <w:t>12,5%</w:t>
            </w:r>
          </w:p>
        </w:tc>
        <w:tc>
          <w:tcPr>
            <w:tcW w:w="2220" w:type="dxa"/>
            <w:shd w:val="clear" w:color="auto" w:fill="DBE5F1"/>
            <w:hideMark/>
          </w:tcPr>
          <w:p w14:paraId="58379236" w14:textId="77777777" w:rsidR="008825BB" w:rsidRPr="00997BDD" w:rsidRDefault="00000000" w:rsidP="008825BB">
            <w:pPr>
              <w:overflowPunct w:val="0"/>
              <w:autoSpaceDE w:val="0"/>
              <w:autoSpaceDN w:val="0"/>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eastAsia="Times New Roman" w:cs="Times New Roman"/>
                <w:sz w:val="22"/>
                <w:szCs w:val="22"/>
                <w:lang w:val="pt-BR"/>
              </w:rPr>
              <w:t>15%</w:t>
            </w:r>
          </w:p>
        </w:tc>
      </w:tr>
      <w:tr w:rsidR="00C566B2" w14:paraId="77E208A0" w14:textId="77777777" w:rsidTr="00C566B2">
        <w:trPr>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493E62E5" w14:textId="77777777" w:rsidR="008825BB" w:rsidRPr="00997BDD" w:rsidRDefault="00000000" w:rsidP="008825BB">
            <w:pPr>
              <w:overflowPunct w:val="0"/>
              <w:autoSpaceDE w:val="0"/>
              <w:autoSpaceDN w:val="0"/>
              <w:ind w:left="107"/>
              <w:rPr>
                <w:rFonts w:eastAsia="Calibri" w:cs="Times New Roman"/>
                <w:bCs w:val="0"/>
                <w:sz w:val="22"/>
                <w:szCs w:val="22"/>
              </w:rPr>
            </w:pPr>
            <w:r>
              <w:rPr>
                <w:rFonts w:eastAsia="Times New Roman" w:cs="Times New Roman"/>
                <w:b w:val="0"/>
                <w:sz w:val="22"/>
                <w:szCs w:val="22"/>
                <w:lang w:val="pt-BR"/>
              </w:rPr>
              <w:t>Taxa de formação</w:t>
            </w:r>
          </w:p>
        </w:tc>
        <w:tc>
          <w:tcPr>
            <w:tcW w:w="2220" w:type="dxa"/>
            <w:hideMark/>
          </w:tcPr>
          <w:p w14:paraId="7964CC5F" w14:textId="77777777" w:rsidR="008825BB" w:rsidRPr="00CC1CB4" w:rsidRDefault="00000000" w:rsidP="008825BB">
            <w:pPr>
              <w:overflowPunct w:val="0"/>
              <w:autoSpaceDE w:val="0"/>
              <w:autoSpaceDN w:val="0"/>
              <w:ind w:left="107"/>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lang w:val="es-ES"/>
              </w:rPr>
            </w:pPr>
            <w:r>
              <w:rPr>
                <w:rFonts w:eastAsia="Times New Roman" w:cs="Times New Roman"/>
                <w:sz w:val="22"/>
                <w:szCs w:val="22"/>
                <w:lang w:val="pt-BR"/>
              </w:rPr>
              <w:t>Taxa de formação de 5 anos</w:t>
            </w:r>
          </w:p>
        </w:tc>
        <w:tc>
          <w:tcPr>
            <w:tcW w:w="2220" w:type="dxa"/>
          </w:tcPr>
          <w:p w14:paraId="2B0148E8" w14:textId="77777777" w:rsidR="008825BB" w:rsidRPr="00997BDD" w:rsidRDefault="00000000" w:rsidP="008825BB">
            <w:pPr>
              <w:overflowPunct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eastAsia="Times New Roman" w:cs="Times New Roman"/>
                <w:sz w:val="22"/>
                <w:szCs w:val="22"/>
                <w:lang w:val="pt-BR"/>
              </w:rPr>
              <w:t>6,25%</w:t>
            </w:r>
          </w:p>
        </w:tc>
        <w:tc>
          <w:tcPr>
            <w:tcW w:w="2220" w:type="dxa"/>
            <w:hideMark/>
          </w:tcPr>
          <w:p w14:paraId="6B56B170" w14:textId="77777777" w:rsidR="008825BB" w:rsidRPr="00997BDD" w:rsidRDefault="00000000" w:rsidP="008825BB">
            <w:pPr>
              <w:overflowPunct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eastAsia="Times New Roman" w:cs="Times New Roman"/>
                <w:sz w:val="22"/>
                <w:szCs w:val="22"/>
                <w:lang w:val="pt-BR"/>
              </w:rPr>
              <w:t>7,5%</w:t>
            </w:r>
          </w:p>
        </w:tc>
      </w:tr>
      <w:tr w:rsidR="00C566B2" w14:paraId="28952554" w14:textId="77777777" w:rsidTr="00C566B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3571D48B" w14:textId="77777777" w:rsidR="008825BB" w:rsidRPr="00997BDD" w:rsidRDefault="00000000" w:rsidP="008825BB">
            <w:pPr>
              <w:overflowPunct w:val="0"/>
              <w:autoSpaceDE w:val="0"/>
              <w:autoSpaceDN w:val="0"/>
              <w:ind w:left="107"/>
              <w:rPr>
                <w:rFonts w:eastAsia="Calibri" w:cs="Times New Roman"/>
                <w:bCs w:val="0"/>
                <w:sz w:val="22"/>
                <w:szCs w:val="22"/>
              </w:rPr>
            </w:pPr>
            <w:r>
              <w:rPr>
                <w:rFonts w:eastAsia="Times New Roman" w:cs="Times New Roman"/>
                <w:b w:val="0"/>
                <w:sz w:val="22"/>
                <w:szCs w:val="22"/>
                <w:lang w:val="pt-BR"/>
              </w:rPr>
              <w:t>Taxa de formação</w:t>
            </w:r>
          </w:p>
        </w:tc>
        <w:tc>
          <w:tcPr>
            <w:tcW w:w="2220" w:type="dxa"/>
            <w:shd w:val="clear" w:color="auto" w:fill="DBE5F1"/>
          </w:tcPr>
          <w:p w14:paraId="6AF39A0E" w14:textId="77777777" w:rsidR="008825BB" w:rsidRPr="00CC1CB4" w:rsidRDefault="00000000" w:rsidP="008825BB">
            <w:pPr>
              <w:overflowPunct w:val="0"/>
              <w:autoSpaceDE w:val="0"/>
              <w:autoSpaceDN w:val="0"/>
              <w:ind w:left="107"/>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lang w:val="es-ES"/>
              </w:rPr>
            </w:pPr>
            <w:r>
              <w:rPr>
                <w:rFonts w:eastAsia="Times New Roman" w:cs="Times New Roman"/>
                <w:sz w:val="22"/>
                <w:szCs w:val="22"/>
                <w:lang w:val="pt-BR"/>
              </w:rPr>
              <w:t>Taxa de formação de 6 anos</w:t>
            </w:r>
          </w:p>
        </w:tc>
        <w:tc>
          <w:tcPr>
            <w:tcW w:w="2220" w:type="dxa"/>
            <w:shd w:val="clear" w:color="auto" w:fill="DBE5F1"/>
          </w:tcPr>
          <w:p w14:paraId="1E6A08D1" w14:textId="77777777" w:rsidR="008825BB" w:rsidRPr="00997BDD" w:rsidRDefault="00000000" w:rsidP="006215C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eastAsia="Times New Roman" w:cs="Times New Roman"/>
                <w:sz w:val="22"/>
                <w:szCs w:val="22"/>
                <w:lang w:val="pt-BR"/>
              </w:rPr>
              <w:t>6,25%</w:t>
            </w:r>
          </w:p>
        </w:tc>
        <w:tc>
          <w:tcPr>
            <w:tcW w:w="2220" w:type="dxa"/>
            <w:shd w:val="clear" w:color="auto" w:fill="DBE5F1"/>
          </w:tcPr>
          <w:p w14:paraId="64E10BF8" w14:textId="77777777" w:rsidR="008825BB" w:rsidRPr="00997BDD" w:rsidRDefault="00000000" w:rsidP="008825BB">
            <w:pPr>
              <w:overflowPunct w:val="0"/>
              <w:autoSpaceDE w:val="0"/>
              <w:autoSpaceDN w:val="0"/>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eastAsia="Times New Roman" w:cs="Times New Roman"/>
                <w:sz w:val="22"/>
                <w:szCs w:val="22"/>
                <w:lang w:val="pt-BR"/>
              </w:rPr>
              <w:t>7,5%</w:t>
            </w:r>
          </w:p>
        </w:tc>
      </w:tr>
      <w:tr w:rsidR="00C566B2" w14:paraId="5A432652" w14:textId="77777777" w:rsidTr="00C566B2">
        <w:trPr>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7CC5C122" w14:textId="77777777" w:rsidR="008825BB" w:rsidRPr="00C04CDD" w:rsidRDefault="00000000" w:rsidP="008825BB">
            <w:pPr>
              <w:overflowPunct w:val="0"/>
              <w:autoSpaceDE w:val="0"/>
              <w:autoSpaceDN w:val="0"/>
              <w:ind w:left="107"/>
              <w:rPr>
                <w:rFonts w:eastAsia="Calibri" w:cs="Times New Roman"/>
                <w:bCs w:val="0"/>
                <w:sz w:val="22"/>
                <w:szCs w:val="22"/>
                <w:lang w:val="it-CH"/>
              </w:rPr>
            </w:pPr>
            <w:r>
              <w:rPr>
                <w:rFonts w:eastAsia="Times New Roman" w:cs="Times New Roman"/>
                <w:b w:val="0"/>
                <w:sz w:val="22"/>
                <w:szCs w:val="22"/>
                <w:lang w:val="pt-BR"/>
              </w:rPr>
              <w:t>Progresso em direção à proficiência em inglês</w:t>
            </w:r>
          </w:p>
        </w:tc>
        <w:tc>
          <w:tcPr>
            <w:tcW w:w="2220" w:type="dxa"/>
            <w:hideMark/>
          </w:tcPr>
          <w:p w14:paraId="498F2957" w14:textId="77777777" w:rsidR="008825BB" w:rsidRPr="00C04CDD" w:rsidRDefault="00000000" w:rsidP="008825BB">
            <w:pPr>
              <w:overflowPunct w:val="0"/>
              <w:autoSpaceDE w:val="0"/>
              <w:autoSpaceDN w:val="0"/>
              <w:ind w:left="107"/>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lang w:val="it-CH"/>
              </w:rPr>
            </w:pPr>
            <w:r>
              <w:rPr>
                <w:rFonts w:eastAsia="Times New Roman" w:cs="Times New Roman"/>
                <w:sz w:val="22"/>
                <w:szCs w:val="22"/>
                <w:lang w:val="pt-BR"/>
              </w:rPr>
              <w:t>Progresso em direção à proficiência em inglês</w:t>
            </w:r>
          </w:p>
        </w:tc>
        <w:tc>
          <w:tcPr>
            <w:tcW w:w="2220" w:type="dxa"/>
          </w:tcPr>
          <w:p w14:paraId="1431CF57" w14:textId="77777777" w:rsidR="008825BB" w:rsidRPr="00997BDD" w:rsidRDefault="00000000" w:rsidP="008825BB">
            <w:pPr>
              <w:overflowPunct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eastAsia="Times New Roman" w:cs="Times New Roman"/>
                <w:sz w:val="22"/>
                <w:szCs w:val="22"/>
                <w:lang w:val="pt-BR"/>
              </w:rPr>
              <w:t>20%</w:t>
            </w:r>
          </w:p>
        </w:tc>
        <w:tc>
          <w:tcPr>
            <w:tcW w:w="2220" w:type="dxa"/>
            <w:hideMark/>
          </w:tcPr>
          <w:p w14:paraId="55EC0330" w14:textId="77777777" w:rsidR="008825BB" w:rsidRPr="00997BDD" w:rsidRDefault="00000000" w:rsidP="008825BB">
            <w:pPr>
              <w:overflowPunct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eastAsia="Times New Roman" w:cs="Times New Roman"/>
                <w:sz w:val="22"/>
                <w:szCs w:val="22"/>
                <w:lang w:val="pt-BR"/>
              </w:rPr>
              <w:t>n/a</w:t>
            </w:r>
          </w:p>
        </w:tc>
      </w:tr>
      <w:tr w:rsidR="00C566B2" w14:paraId="5388B16C" w14:textId="77777777" w:rsidTr="00C566B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5D22087B" w14:textId="77777777" w:rsidR="008825BB" w:rsidRPr="00CC1CB4" w:rsidRDefault="00000000" w:rsidP="008825BB">
            <w:pPr>
              <w:overflowPunct w:val="0"/>
              <w:autoSpaceDE w:val="0"/>
              <w:autoSpaceDN w:val="0"/>
              <w:ind w:left="107"/>
              <w:rPr>
                <w:rFonts w:eastAsia="Calibri" w:cs="Times New Roman"/>
                <w:bCs w:val="0"/>
                <w:sz w:val="22"/>
                <w:szCs w:val="22"/>
                <w:lang w:val="es-ES"/>
              </w:rPr>
            </w:pPr>
            <w:r>
              <w:rPr>
                <w:rFonts w:eastAsia="Times New Roman" w:cs="Times New Roman"/>
                <w:b w:val="0"/>
                <w:sz w:val="22"/>
                <w:szCs w:val="22"/>
                <w:lang w:val="pt-BR"/>
              </w:rPr>
              <w:t>Qualidade escolar ou sucesso do aluno</w:t>
            </w:r>
          </w:p>
        </w:tc>
        <w:tc>
          <w:tcPr>
            <w:tcW w:w="2220" w:type="dxa"/>
            <w:shd w:val="clear" w:color="auto" w:fill="DBE5F1"/>
            <w:hideMark/>
          </w:tcPr>
          <w:p w14:paraId="7DAC37B6" w14:textId="77777777" w:rsidR="008825BB" w:rsidRPr="00997BDD" w:rsidRDefault="00000000" w:rsidP="008825BB">
            <w:pPr>
              <w:overflowPunct w:val="0"/>
              <w:autoSpaceDE w:val="0"/>
              <w:autoSpaceDN w:val="0"/>
              <w:ind w:left="107"/>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eastAsia="Times New Roman" w:cs="Times New Roman"/>
                <w:sz w:val="22"/>
                <w:szCs w:val="22"/>
                <w:lang w:val="pt-BR"/>
              </w:rPr>
              <w:t>Absenteísmo crônico</w:t>
            </w:r>
          </w:p>
        </w:tc>
        <w:tc>
          <w:tcPr>
            <w:tcW w:w="2220" w:type="dxa"/>
            <w:shd w:val="clear" w:color="auto" w:fill="DBE5F1"/>
          </w:tcPr>
          <w:p w14:paraId="52E249EF" w14:textId="77777777" w:rsidR="008825BB" w:rsidRPr="00997BDD" w:rsidRDefault="00000000" w:rsidP="008825BB">
            <w:pPr>
              <w:overflowPunct w:val="0"/>
              <w:autoSpaceDE w:val="0"/>
              <w:autoSpaceDN w:val="0"/>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eastAsia="Times New Roman" w:cs="Times New Roman"/>
                <w:sz w:val="22"/>
                <w:szCs w:val="22"/>
                <w:lang w:val="pt-BR"/>
              </w:rPr>
              <w:t>10%</w:t>
            </w:r>
          </w:p>
        </w:tc>
        <w:tc>
          <w:tcPr>
            <w:tcW w:w="2220" w:type="dxa"/>
            <w:shd w:val="clear" w:color="auto" w:fill="DBE5F1"/>
            <w:hideMark/>
          </w:tcPr>
          <w:p w14:paraId="4E3B49BD" w14:textId="77777777" w:rsidR="008825BB" w:rsidRPr="00997BDD" w:rsidRDefault="00000000" w:rsidP="008825BB">
            <w:pPr>
              <w:overflowPunct w:val="0"/>
              <w:autoSpaceDE w:val="0"/>
              <w:autoSpaceDN w:val="0"/>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eastAsia="Times New Roman" w:cs="Times New Roman"/>
                <w:sz w:val="22"/>
                <w:szCs w:val="22"/>
                <w:lang w:val="pt-BR"/>
              </w:rPr>
              <w:t>15%</w:t>
            </w:r>
          </w:p>
        </w:tc>
      </w:tr>
      <w:tr w:rsidR="00C566B2" w14:paraId="71DC0598" w14:textId="77777777" w:rsidTr="00C566B2">
        <w:trPr>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3E0B6D4D" w14:textId="77777777" w:rsidR="003369A5" w:rsidRPr="00CC1CB4" w:rsidRDefault="00000000" w:rsidP="003369A5">
            <w:pPr>
              <w:overflowPunct w:val="0"/>
              <w:autoSpaceDE w:val="0"/>
              <w:autoSpaceDN w:val="0"/>
              <w:ind w:left="107"/>
              <w:rPr>
                <w:rFonts w:cs="Times New Roman"/>
                <w:bCs w:val="0"/>
                <w:sz w:val="22"/>
                <w:szCs w:val="22"/>
                <w:lang w:val="es-ES"/>
              </w:rPr>
            </w:pPr>
            <w:r>
              <w:rPr>
                <w:rFonts w:eastAsia="Times New Roman" w:cs="Times New Roman"/>
                <w:b w:val="0"/>
                <w:sz w:val="22"/>
                <w:szCs w:val="22"/>
                <w:lang w:val="pt-BR"/>
              </w:rPr>
              <w:t>Qualidade escolar ou sucesso do aluno</w:t>
            </w:r>
          </w:p>
        </w:tc>
        <w:tc>
          <w:tcPr>
            <w:tcW w:w="2220" w:type="dxa"/>
          </w:tcPr>
          <w:p w14:paraId="576D007B" w14:textId="77777777" w:rsidR="003369A5" w:rsidRPr="00997BDD" w:rsidRDefault="00000000" w:rsidP="003369A5">
            <w:pPr>
              <w:overflowPunct w:val="0"/>
              <w:autoSpaceDE w:val="0"/>
              <w:autoSpaceDN w:val="0"/>
              <w:ind w:left="107"/>
              <w:cnfStyle w:val="000000000000" w:firstRow="0" w:lastRow="0" w:firstColumn="0" w:lastColumn="0" w:oddVBand="0" w:evenVBand="0" w:oddHBand="0" w:evenHBand="0" w:firstRowFirstColumn="0" w:firstRowLastColumn="0" w:lastRowFirstColumn="0" w:lastRowLastColumn="0"/>
              <w:rPr>
                <w:rFonts w:cs="Times New Roman"/>
                <w:sz w:val="22"/>
                <w:szCs w:val="22"/>
              </w:rPr>
            </w:pPr>
            <w:r>
              <w:rPr>
                <w:rFonts w:eastAsia="Times New Roman" w:cs="Times New Roman"/>
                <w:sz w:val="22"/>
                <w:szCs w:val="22"/>
                <w:lang w:val="pt-BR"/>
              </w:rPr>
              <w:t>Persistência no ensino médio</w:t>
            </w:r>
          </w:p>
        </w:tc>
        <w:tc>
          <w:tcPr>
            <w:tcW w:w="2220" w:type="dxa"/>
          </w:tcPr>
          <w:p w14:paraId="0BB862E7" w14:textId="77777777" w:rsidR="003369A5" w:rsidRPr="00997BDD" w:rsidRDefault="00000000" w:rsidP="003369A5">
            <w:pPr>
              <w:overflowPunct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eastAsia="Times New Roman" w:cs="Times New Roman"/>
                <w:sz w:val="22"/>
                <w:szCs w:val="22"/>
                <w:lang w:val="pt-BR"/>
              </w:rPr>
              <w:t>0% (a partir de 2024-2025)</w:t>
            </w:r>
          </w:p>
        </w:tc>
        <w:tc>
          <w:tcPr>
            <w:tcW w:w="2220" w:type="dxa"/>
          </w:tcPr>
          <w:p w14:paraId="3BB6E0D4" w14:textId="77777777" w:rsidR="003369A5" w:rsidRPr="00997BDD" w:rsidRDefault="00000000" w:rsidP="003369A5">
            <w:pPr>
              <w:overflowPunct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eastAsia="Times New Roman" w:cs="Times New Roman"/>
                <w:sz w:val="22"/>
                <w:szCs w:val="22"/>
                <w:lang w:val="pt-BR"/>
              </w:rPr>
              <w:t>0% (a partir de 2024-2025)</w:t>
            </w:r>
          </w:p>
        </w:tc>
      </w:tr>
    </w:tbl>
    <w:p w14:paraId="20CF9D98" w14:textId="77777777" w:rsidR="00652869" w:rsidRPr="00CC1CB4" w:rsidRDefault="00000000" w:rsidP="00194058">
      <w:pPr>
        <w:pStyle w:val="5"/>
        <w:spacing w:before="240"/>
        <w:rPr>
          <w:lang w:val="es-ES"/>
        </w:rPr>
      </w:pPr>
      <w:r>
        <w:rPr>
          <w:rFonts w:ascii="Cambria" w:eastAsia="Cambria" w:hAnsi="Cambria" w:cs="Times New Roman"/>
          <w:bCs/>
          <w:lang w:val="pt-BR"/>
        </w:rPr>
        <w:t>Metodologia do indicador e da pontuação somativa</w:t>
      </w:r>
    </w:p>
    <w:p w14:paraId="57DD8FFB" w14:textId="77777777" w:rsidR="00496E03" w:rsidRPr="00CC1CB4" w:rsidRDefault="00000000" w:rsidP="00496E03">
      <w:pPr>
        <w:rPr>
          <w:rFonts w:cs="Times New Roman"/>
          <w:lang w:val="es-ES"/>
        </w:rPr>
      </w:pPr>
      <w:r>
        <w:rPr>
          <w:rFonts w:eastAsia="Times New Roman" w:cs="Times New Roman"/>
          <w:lang w:val="pt-BR"/>
        </w:rPr>
        <w:t>O NJDOE calculará as pontuações do indicador, as pontuações somativas e as classificações somativas usando as etapas a seguir.</w:t>
      </w:r>
    </w:p>
    <w:p w14:paraId="69E98020" w14:textId="77777777" w:rsidR="000335D7" w:rsidRPr="00CC1CB4" w:rsidRDefault="00000000" w:rsidP="000335D7">
      <w:pPr>
        <w:pStyle w:val="6"/>
        <w:rPr>
          <w:lang w:val="es-ES"/>
        </w:rPr>
      </w:pPr>
      <w:r>
        <w:rPr>
          <w:rFonts w:ascii="Cambria" w:eastAsia="Cambria" w:hAnsi="Cambria" w:cs="Arial"/>
          <w:lang w:val="pt-BR"/>
        </w:rPr>
        <w:t>1. Converter valores de indicador bruto para pontuações padrão</w:t>
      </w:r>
    </w:p>
    <w:p w14:paraId="3DE533B3" w14:textId="77777777" w:rsidR="00496E03" w:rsidRPr="00CC1CB4" w:rsidRDefault="00000000" w:rsidP="000335D7">
      <w:pPr>
        <w:spacing w:after="240"/>
        <w:rPr>
          <w:rFonts w:cs="Times New Roman"/>
          <w:lang w:val="es-ES"/>
        </w:rPr>
      </w:pPr>
      <w:r>
        <w:rPr>
          <w:rFonts w:eastAsia="Times New Roman" w:cs="Times New Roman"/>
          <w:lang w:val="pt-BR"/>
        </w:rPr>
        <w:t>Cada escola e o desempenho bruto de cada grupo de alunos em cada indicador (por exemplo, taxa de proficiência em ELA ou taxa de formação de quatro anos) serão convertidos em uma pontuação z padronizada, que representa como cada escola e cada grupo de alunos se saiu no indicador em relação a outras escolas e outros grupos de alunos em todo o estado. Os cálculos são feitos separadamente para cada configuração escolar, para que as escolas sejam comparadas com outras escolas com a mesma configuração escolar.</w:t>
      </w:r>
    </w:p>
    <w:p w14:paraId="1CFD3F55" w14:textId="77777777" w:rsidR="000335D7" w:rsidRPr="00CC1CB4" w:rsidRDefault="00000000" w:rsidP="000335D7">
      <w:pPr>
        <w:pStyle w:val="6"/>
        <w:rPr>
          <w:lang w:val="es-ES"/>
        </w:rPr>
      </w:pPr>
      <w:r>
        <w:rPr>
          <w:rFonts w:ascii="Cambria" w:eastAsia="Cambria" w:hAnsi="Cambria" w:cs="Arial"/>
          <w:lang w:val="pt-BR"/>
        </w:rPr>
        <w:lastRenderedPageBreak/>
        <w:t>2. Determinar as pontuações do indicador</w:t>
      </w:r>
    </w:p>
    <w:p w14:paraId="3A736989" w14:textId="77777777" w:rsidR="00496E03" w:rsidRPr="00CC1CB4" w:rsidRDefault="00000000" w:rsidP="000335D7">
      <w:pPr>
        <w:spacing w:after="240"/>
        <w:rPr>
          <w:rFonts w:cs="Times New Roman"/>
          <w:lang w:val="es-ES"/>
        </w:rPr>
      </w:pPr>
      <w:r>
        <w:rPr>
          <w:rFonts w:eastAsia="Times New Roman" w:cs="Times New Roman"/>
          <w:lang w:val="pt-BR"/>
        </w:rPr>
        <w:t>Para cada indicador, a média das pontuações z para todos os grupos de alunos é calculada. A média da pontuação z do grupo estudantil é então calculada com a pontuação z da escola para fornecer uma pontuação padrão geral para o indicador. Metade dessa pontuação padronizada é baseada no desempenho em toda a escola, e a outra metade é calculada igualmente em todos os grupos de alunos. Essa pontuação padrão geral é então convertida em uma classificação de percentil que reflete o desempenho de cada escola em relação a todas as escolas dentro da mesma configuração escolar. Essa classificação de percentil é chamada de pontuação do indicador.</w:t>
      </w:r>
    </w:p>
    <w:p w14:paraId="78A47572" w14:textId="77777777" w:rsidR="000335D7" w:rsidRPr="00CC1CB4" w:rsidRDefault="00000000" w:rsidP="000335D7">
      <w:pPr>
        <w:pStyle w:val="6"/>
        <w:rPr>
          <w:lang w:val="es-ES"/>
        </w:rPr>
      </w:pPr>
      <w:r>
        <w:rPr>
          <w:rFonts w:ascii="Cambria" w:eastAsia="Cambria" w:hAnsi="Cambria" w:cs="Arial"/>
          <w:i w:val="0"/>
          <w:iCs w:val="0"/>
          <w:lang w:val="pt-BR"/>
        </w:rPr>
        <w:t>3.</w:t>
      </w:r>
      <w:r>
        <w:rPr>
          <w:rFonts w:ascii="Cambria" w:eastAsia="Cambria" w:hAnsi="Cambria" w:cs="Arial"/>
          <w:lang w:val="pt-BR"/>
        </w:rPr>
        <w:t xml:space="preserve"> Calcular a pontuação somativa aplicando o peso (acima) às pontuações do indicador</w:t>
      </w:r>
    </w:p>
    <w:p w14:paraId="583A9DF5" w14:textId="77777777" w:rsidR="00496E03" w:rsidRPr="00CC1CB4" w:rsidRDefault="00000000" w:rsidP="000335D7">
      <w:pPr>
        <w:spacing w:after="240"/>
        <w:rPr>
          <w:rFonts w:cs="Times New Roman"/>
          <w:lang w:val="es-ES"/>
        </w:rPr>
      </w:pPr>
      <w:r>
        <w:rPr>
          <w:rFonts w:eastAsia="Times New Roman" w:cs="Times New Roman"/>
          <w:lang w:val="pt-BR"/>
        </w:rPr>
        <w:t>As pontuações do indicador serão multiplicadas pelos pesos correspondentes para determinar os pontos ganhos por cada escola em relação à pontuação somativa. Os pontos ganhos para cada indicador serão somados para calcular a pontuação somativa.</w:t>
      </w:r>
    </w:p>
    <w:p w14:paraId="5BCAB078" w14:textId="77777777" w:rsidR="000335D7" w:rsidRPr="00CC1CB4" w:rsidRDefault="00000000" w:rsidP="000335D7">
      <w:pPr>
        <w:pStyle w:val="6"/>
        <w:rPr>
          <w:lang w:val="es-ES"/>
        </w:rPr>
      </w:pPr>
      <w:r>
        <w:rPr>
          <w:rFonts w:ascii="Cambria" w:eastAsia="Cambria" w:hAnsi="Cambria" w:cs="Arial"/>
          <w:i w:val="0"/>
          <w:iCs w:val="0"/>
          <w:lang w:val="pt-BR"/>
        </w:rPr>
        <w:t>4.</w:t>
      </w:r>
      <w:r>
        <w:rPr>
          <w:rFonts w:ascii="Cambria" w:eastAsia="Cambria" w:hAnsi="Cambria" w:cs="Arial"/>
          <w:lang w:val="pt-BR"/>
        </w:rPr>
        <w:t xml:space="preserve"> Calcular classificação somativa</w:t>
      </w:r>
    </w:p>
    <w:p w14:paraId="09E0DE16" w14:textId="77777777" w:rsidR="00496E03" w:rsidRPr="00CC1CB4" w:rsidRDefault="00000000" w:rsidP="000335D7">
      <w:pPr>
        <w:spacing w:after="240"/>
        <w:rPr>
          <w:rFonts w:cs="Times New Roman"/>
          <w:lang w:val="es-ES"/>
        </w:rPr>
      </w:pPr>
      <w:r>
        <w:rPr>
          <w:rFonts w:eastAsia="Times New Roman" w:cs="Times New Roman"/>
          <w:lang w:val="pt-BR"/>
        </w:rPr>
        <w:t>A pontuação somativa será convertida em uma classificação somativa, que representa uma classificação percentual da pontuação somativa em comparação com escolas com a mesma configuração escolar.</w:t>
      </w:r>
    </w:p>
    <w:p w14:paraId="12B4BA73" w14:textId="77777777" w:rsidR="00333BDC" w:rsidRPr="00CC1CB4" w:rsidRDefault="00000000" w:rsidP="6B71CBC4">
      <w:pPr>
        <w:rPr>
          <w:rFonts w:cs="Times New Roman"/>
          <w:lang w:val="es-ES"/>
        </w:rPr>
      </w:pPr>
      <w:r>
        <w:rPr>
          <w:rFonts w:eastAsia="Times New Roman" w:cs="Times New Roman"/>
          <w:lang w:val="pt-BR"/>
        </w:rPr>
        <w:t>A tabela a seguir fornece um exemplo de como as pontuações do indicador seriam calculadas para absenteísmo crônico para uma escola de ensino fundamental. Os dados nesta tabela são apenas para fins ilustrativos e as amostras de pontuações z não representam com precisão o percentil no qual os níveis de desempenho bruto declarados cairiam.</w:t>
      </w:r>
    </w:p>
    <w:p w14:paraId="3A619A0E" w14:textId="77777777" w:rsidR="00496E03" w:rsidRPr="00CC1CB4" w:rsidRDefault="00000000" w:rsidP="00F86F30">
      <w:pPr>
        <w:pStyle w:val="aff0"/>
        <w:rPr>
          <w:rFonts w:ascii="Times New Roman" w:hAnsi="Times New Roman"/>
          <w:lang w:val="es-ES"/>
        </w:rPr>
      </w:pPr>
      <w:r>
        <w:rPr>
          <w:rFonts w:eastAsia="Cambria"/>
          <w:lang w:val="pt-BR"/>
        </w:rPr>
        <w:t>Figura A.18: Exemplo: Cálculo de uma pontuação do indicador (absenteísmo crônico)</w:t>
      </w:r>
    </w:p>
    <w:tbl>
      <w:tblPr>
        <w:tblStyle w:val="af5"/>
        <w:tblW w:w="0" w:type="auto"/>
        <w:tblCellMar>
          <w:top w:w="29" w:type="dxa"/>
          <w:left w:w="115" w:type="dxa"/>
          <w:bottom w:w="86" w:type="dxa"/>
          <w:right w:w="115" w:type="dxa"/>
        </w:tblCellMar>
        <w:tblLook w:val="0420" w:firstRow="1" w:lastRow="0" w:firstColumn="0" w:lastColumn="0" w:noHBand="0" w:noVBand="1"/>
      </w:tblPr>
      <w:tblGrid>
        <w:gridCol w:w="4785"/>
        <w:gridCol w:w="2417"/>
        <w:gridCol w:w="2148"/>
      </w:tblGrid>
      <w:tr w:rsidR="00C566B2" w14:paraId="778672F9" w14:textId="77777777" w:rsidTr="00F61971">
        <w:trPr>
          <w:trHeight w:val="733"/>
          <w:tblHeader/>
        </w:trPr>
        <w:tc>
          <w:tcPr>
            <w:tcW w:w="5215" w:type="dxa"/>
            <w:tcBorders>
              <w:right w:val="single" w:sz="4" w:space="0" w:color="FFFFFF" w:themeColor="background1"/>
            </w:tcBorders>
            <w:shd w:val="clear" w:color="auto" w:fill="215868"/>
          </w:tcPr>
          <w:p w14:paraId="4D5FE17A" w14:textId="77777777" w:rsidR="00496E03" w:rsidRPr="00997BDD" w:rsidRDefault="00000000">
            <w:pPr>
              <w:rPr>
                <w:b/>
                <w:bCs/>
                <w:color w:val="FFFFFF" w:themeColor="background1"/>
                <w:sz w:val="22"/>
                <w:szCs w:val="22"/>
              </w:rPr>
            </w:pPr>
            <w:r>
              <w:rPr>
                <w:rFonts w:eastAsia="Times New Roman"/>
                <w:b/>
                <w:bCs/>
                <w:color w:val="FFFFFF"/>
                <w:sz w:val="22"/>
                <w:szCs w:val="22"/>
                <w:lang w:val="pt-BR"/>
              </w:rPr>
              <w:t>Grupo de estudantes</w:t>
            </w:r>
          </w:p>
        </w:tc>
        <w:tc>
          <w:tcPr>
            <w:tcW w:w="2610" w:type="dxa"/>
            <w:tcBorders>
              <w:left w:val="single" w:sz="4" w:space="0" w:color="FFFFFF" w:themeColor="background1"/>
              <w:right w:val="single" w:sz="4" w:space="0" w:color="FFFFFF" w:themeColor="background1"/>
            </w:tcBorders>
            <w:shd w:val="clear" w:color="auto" w:fill="215868" w:themeFill="accent5" w:themeFillShade="80"/>
          </w:tcPr>
          <w:p w14:paraId="7259EFB7" w14:textId="77777777" w:rsidR="00496E03" w:rsidRPr="00CC1CB4" w:rsidRDefault="00000000">
            <w:pPr>
              <w:rPr>
                <w:b/>
                <w:bCs/>
                <w:color w:val="FFFFFF" w:themeColor="background1"/>
                <w:sz w:val="22"/>
                <w:szCs w:val="22"/>
                <w:lang w:val="es-ES"/>
              </w:rPr>
            </w:pPr>
            <w:r>
              <w:rPr>
                <w:rFonts w:eastAsia="Times New Roman"/>
                <w:b/>
                <w:bCs/>
                <w:color w:val="FFFFFF"/>
                <w:sz w:val="22"/>
                <w:szCs w:val="22"/>
                <w:lang w:val="pt-BR"/>
              </w:rPr>
              <w:t>Taxa de ausência não crônica</w:t>
            </w:r>
          </w:p>
        </w:tc>
        <w:tc>
          <w:tcPr>
            <w:tcW w:w="2250" w:type="dxa"/>
            <w:tcBorders>
              <w:left w:val="single" w:sz="4" w:space="0" w:color="FFFFFF" w:themeColor="background1"/>
            </w:tcBorders>
            <w:shd w:val="clear" w:color="auto" w:fill="215868" w:themeFill="accent5" w:themeFillShade="80"/>
          </w:tcPr>
          <w:p w14:paraId="7F4E3CFB" w14:textId="77777777" w:rsidR="00496E03" w:rsidRPr="00997BDD" w:rsidRDefault="00000000">
            <w:pPr>
              <w:rPr>
                <w:b/>
                <w:bCs/>
                <w:color w:val="FFFFFF" w:themeColor="background1"/>
                <w:sz w:val="22"/>
                <w:szCs w:val="22"/>
              </w:rPr>
            </w:pPr>
            <w:r>
              <w:rPr>
                <w:rFonts w:eastAsia="Times New Roman"/>
                <w:b/>
                <w:bCs/>
                <w:color w:val="FFFFFF"/>
                <w:sz w:val="22"/>
                <w:szCs w:val="22"/>
                <w:lang w:val="pt-BR"/>
              </w:rPr>
              <w:t>Pontuação Z padronizada</w:t>
            </w:r>
          </w:p>
        </w:tc>
      </w:tr>
      <w:tr w:rsidR="00C566B2" w14:paraId="315876B8" w14:textId="77777777" w:rsidTr="00F61971">
        <w:trPr>
          <w:trHeight w:val="222"/>
          <w:tblHeader/>
        </w:trPr>
        <w:tc>
          <w:tcPr>
            <w:tcW w:w="5215" w:type="dxa"/>
            <w:shd w:val="clear" w:color="auto" w:fill="F2F2F2"/>
          </w:tcPr>
          <w:p w14:paraId="7BF5BC28" w14:textId="77777777" w:rsidR="00496E03" w:rsidRPr="00997BDD" w:rsidRDefault="00000000">
            <w:pPr>
              <w:rPr>
                <w:sz w:val="22"/>
                <w:szCs w:val="22"/>
              </w:rPr>
            </w:pPr>
            <w:r>
              <w:rPr>
                <w:rFonts w:eastAsia="Times New Roman"/>
                <w:sz w:val="22"/>
                <w:szCs w:val="22"/>
                <w:lang w:val="pt-BR"/>
              </w:rPr>
              <w:t>Todos os alunos</w:t>
            </w:r>
          </w:p>
        </w:tc>
        <w:tc>
          <w:tcPr>
            <w:tcW w:w="2610" w:type="dxa"/>
            <w:shd w:val="clear" w:color="auto" w:fill="auto"/>
          </w:tcPr>
          <w:p w14:paraId="1D40348F" w14:textId="77777777" w:rsidR="00496E03" w:rsidRPr="00997BDD" w:rsidRDefault="00000000" w:rsidP="006215CC">
            <w:pPr>
              <w:jc w:val="center"/>
              <w:rPr>
                <w:sz w:val="22"/>
                <w:szCs w:val="22"/>
              </w:rPr>
            </w:pPr>
            <w:r>
              <w:rPr>
                <w:rFonts w:eastAsia="Times New Roman"/>
                <w:sz w:val="22"/>
                <w:szCs w:val="22"/>
                <w:lang w:val="pt-BR"/>
              </w:rPr>
              <w:t>98,2%</w:t>
            </w:r>
          </w:p>
        </w:tc>
        <w:tc>
          <w:tcPr>
            <w:tcW w:w="2250" w:type="dxa"/>
            <w:shd w:val="clear" w:color="auto" w:fill="auto"/>
          </w:tcPr>
          <w:p w14:paraId="432D0653" w14:textId="77777777" w:rsidR="00496E03" w:rsidRPr="00997BDD" w:rsidRDefault="00000000" w:rsidP="006215CC">
            <w:pPr>
              <w:jc w:val="center"/>
              <w:rPr>
                <w:sz w:val="22"/>
                <w:szCs w:val="22"/>
              </w:rPr>
            </w:pPr>
            <w:r>
              <w:rPr>
                <w:rFonts w:eastAsia="Times New Roman"/>
                <w:sz w:val="22"/>
                <w:szCs w:val="22"/>
                <w:lang w:val="pt-BR"/>
              </w:rPr>
              <w:t>2,8</w:t>
            </w:r>
          </w:p>
        </w:tc>
      </w:tr>
      <w:tr w:rsidR="00C566B2" w14:paraId="5FE729CA" w14:textId="77777777" w:rsidTr="00F61971">
        <w:trPr>
          <w:trHeight w:val="213"/>
          <w:tblHeader/>
        </w:trPr>
        <w:tc>
          <w:tcPr>
            <w:tcW w:w="5215" w:type="dxa"/>
            <w:shd w:val="clear" w:color="auto" w:fill="F2F2F2"/>
          </w:tcPr>
          <w:p w14:paraId="29CF3F25" w14:textId="77777777" w:rsidR="00496E03" w:rsidRPr="00997BDD" w:rsidRDefault="00000000">
            <w:pPr>
              <w:rPr>
                <w:sz w:val="22"/>
                <w:szCs w:val="22"/>
              </w:rPr>
            </w:pPr>
            <w:r>
              <w:rPr>
                <w:rFonts w:eastAsia="Times New Roman"/>
                <w:sz w:val="22"/>
                <w:szCs w:val="22"/>
                <w:lang w:val="pt-BR"/>
              </w:rPr>
              <w:t>Estudantes economicamente desfavorecidos</w:t>
            </w:r>
          </w:p>
        </w:tc>
        <w:tc>
          <w:tcPr>
            <w:tcW w:w="2610" w:type="dxa"/>
            <w:shd w:val="clear" w:color="auto" w:fill="DBE5F1"/>
          </w:tcPr>
          <w:p w14:paraId="0EB6412A" w14:textId="77777777" w:rsidR="00496E03" w:rsidRPr="00997BDD" w:rsidRDefault="00000000" w:rsidP="006215CC">
            <w:pPr>
              <w:jc w:val="center"/>
              <w:rPr>
                <w:b/>
                <w:sz w:val="22"/>
                <w:szCs w:val="22"/>
              </w:rPr>
            </w:pPr>
            <w:r>
              <w:rPr>
                <w:rFonts w:eastAsia="Times New Roman"/>
                <w:sz w:val="22"/>
                <w:szCs w:val="22"/>
                <w:lang w:val="pt-BR"/>
              </w:rPr>
              <w:t>93,5 %</w:t>
            </w:r>
          </w:p>
        </w:tc>
        <w:tc>
          <w:tcPr>
            <w:tcW w:w="2250" w:type="dxa"/>
            <w:shd w:val="clear" w:color="auto" w:fill="DBE5F1"/>
          </w:tcPr>
          <w:p w14:paraId="00EEB01E" w14:textId="77777777" w:rsidR="00496E03" w:rsidRPr="00997BDD" w:rsidRDefault="00000000" w:rsidP="006215CC">
            <w:pPr>
              <w:jc w:val="center"/>
              <w:rPr>
                <w:sz w:val="22"/>
                <w:szCs w:val="22"/>
              </w:rPr>
            </w:pPr>
            <w:r>
              <w:rPr>
                <w:rFonts w:eastAsia="Times New Roman"/>
                <w:sz w:val="22"/>
                <w:szCs w:val="22"/>
                <w:lang w:val="pt-BR"/>
              </w:rPr>
              <w:t>2,5</w:t>
            </w:r>
          </w:p>
        </w:tc>
      </w:tr>
      <w:tr w:rsidR="00C566B2" w14:paraId="5F2491E0" w14:textId="77777777" w:rsidTr="00F61971">
        <w:trPr>
          <w:trHeight w:val="168"/>
          <w:tblHeader/>
        </w:trPr>
        <w:tc>
          <w:tcPr>
            <w:tcW w:w="5215" w:type="dxa"/>
            <w:shd w:val="clear" w:color="auto" w:fill="F2F2F2"/>
          </w:tcPr>
          <w:p w14:paraId="423B21BF" w14:textId="77777777" w:rsidR="00496E03" w:rsidRPr="00997BDD" w:rsidRDefault="00000000">
            <w:pPr>
              <w:rPr>
                <w:b/>
                <w:sz w:val="22"/>
                <w:szCs w:val="22"/>
              </w:rPr>
            </w:pPr>
            <w:r>
              <w:rPr>
                <w:rFonts w:eastAsia="Times New Roman"/>
                <w:sz w:val="22"/>
                <w:szCs w:val="22"/>
                <w:lang w:val="pt-BR"/>
              </w:rPr>
              <w:t>Alunos com deficiências</w:t>
            </w:r>
          </w:p>
        </w:tc>
        <w:tc>
          <w:tcPr>
            <w:tcW w:w="2610" w:type="dxa"/>
            <w:shd w:val="clear" w:color="auto" w:fill="auto"/>
          </w:tcPr>
          <w:p w14:paraId="718A68E3" w14:textId="77777777" w:rsidR="00496E03" w:rsidRPr="00997BDD" w:rsidRDefault="00000000" w:rsidP="006215CC">
            <w:pPr>
              <w:jc w:val="center"/>
              <w:rPr>
                <w:b/>
                <w:sz w:val="22"/>
                <w:szCs w:val="22"/>
              </w:rPr>
            </w:pPr>
            <w:r>
              <w:rPr>
                <w:rFonts w:eastAsia="Times New Roman"/>
                <w:sz w:val="22"/>
                <w:szCs w:val="22"/>
                <w:lang w:val="pt-BR"/>
              </w:rPr>
              <w:t>97,8 %</w:t>
            </w:r>
          </w:p>
        </w:tc>
        <w:tc>
          <w:tcPr>
            <w:tcW w:w="2250" w:type="dxa"/>
            <w:shd w:val="clear" w:color="auto" w:fill="auto"/>
          </w:tcPr>
          <w:p w14:paraId="65E6B7C3" w14:textId="77777777" w:rsidR="00496E03" w:rsidRPr="00997BDD" w:rsidRDefault="00000000" w:rsidP="006215CC">
            <w:pPr>
              <w:jc w:val="center"/>
              <w:rPr>
                <w:sz w:val="22"/>
                <w:szCs w:val="22"/>
              </w:rPr>
            </w:pPr>
            <w:r>
              <w:rPr>
                <w:rFonts w:eastAsia="Times New Roman"/>
                <w:sz w:val="22"/>
                <w:szCs w:val="22"/>
                <w:lang w:val="pt-BR"/>
              </w:rPr>
              <w:t>3,1</w:t>
            </w:r>
          </w:p>
        </w:tc>
      </w:tr>
      <w:tr w:rsidR="00C566B2" w14:paraId="521C186A" w14:textId="77777777" w:rsidTr="00F61971">
        <w:trPr>
          <w:trHeight w:val="177"/>
          <w:tblHeader/>
        </w:trPr>
        <w:tc>
          <w:tcPr>
            <w:tcW w:w="5215" w:type="dxa"/>
            <w:shd w:val="clear" w:color="auto" w:fill="F2F2F2"/>
          </w:tcPr>
          <w:p w14:paraId="18FD16A5" w14:textId="77777777" w:rsidR="00496E03" w:rsidRPr="00997BDD" w:rsidRDefault="00000000">
            <w:pPr>
              <w:rPr>
                <w:b/>
                <w:sz w:val="22"/>
                <w:szCs w:val="22"/>
              </w:rPr>
            </w:pPr>
            <w:r>
              <w:rPr>
                <w:rFonts w:eastAsia="Times New Roman"/>
                <w:sz w:val="22"/>
                <w:szCs w:val="22"/>
                <w:lang w:val="pt-BR"/>
              </w:rPr>
              <w:t>Alunos multilíngues</w:t>
            </w:r>
          </w:p>
        </w:tc>
        <w:tc>
          <w:tcPr>
            <w:tcW w:w="2610" w:type="dxa"/>
            <w:shd w:val="clear" w:color="auto" w:fill="DBE5F1"/>
          </w:tcPr>
          <w:p w14:paraId="405A6A5E" w14:textId="77777777" w:rsidR="00496E03" w:rsidRPr="00997BDD" w:rsidRDefault="00000000" w:rsidP="006215CC">
            <w:pPr>
              <w:jc w:val="center"/>
              <w:rPr>
                <w:b/>
                <w:sz w:val="22"/>
                <w:szCs w:val="22"/>
              </w:rPr>
            </w:pPr>
            <w:r>
              <w:rPr>
                <w:rFonts w:eastAsia="Times New Roman"/>
                <w:sz w:val="22"/>
                <w:szCs w:val="22"/>
                <w:lang w:val="pt-BR"/>
              </w:rPr>
              <w:t>98,7 %</w:t>
            </w:r>
          </w:p>
        </w:tc>
        <w:tc>
          <w:tcPr>
            <w:tcW w:w="2250" w:type="dxa"/>
            <w:shd w:val="clear" w:color="auto" w:fill="DBE5F1"/>
          </w:tcPr>
          <w:p w14:paraId="67AF7B5A" w14:textId="77777777" w:rsidR="00496E03" w:rsidRPr="00997BDD" w:rsidRDefault="00000000" w:rsidP="006215CC">
            <w:pPr>
              <w:jc w:val="center"/>
              <w:rPr>
                <w:sz w:val="22"/>
                <w:szCs w:val="22"/>
              </w:rPr>
            </w:pPr>
            <w:r>
              <w:rPr>
                <w:rFonts w:eastAsia="Times New Roman"/>
                <w:sz w:val="22"/>
                <w:szCs w:val="22"/>
                <w:lang w:val="pt-BR"/>
              </w:rPr>
              <w:t>3,2</w:t>
            </w:r>
          </w:p>
        </w:tc>
      </w:tr>
      <w:tr w:rsidR="00C566B2" w:rsidRPr="00C04CDD" w14:paraId="4362F388" w14:textId="77777777" w:rsidTr="00F61971">
        <w:trPr>
          <w:trHeight w:val="429"/>
          <w:tblHeader/>
        </w:trPr>
        <w:tc>
          <w:tcPr>
            <w:tcW w:w="5215" w:type="dxa"/>
            <w:shd w:val="clear" w:color="auto" w:fill="F2F2F2"/>
          </w:tcPr>
          <w:p w14:paraId="1AE189DB" w14:textId="77777777" w:rsidR="00496E03" w:rsidRPr="00CC1CB4" w:rsidRDefault="00000000">
            <w:pPr>
              <w:rPr>
                <w:b/>
                <w:sz w:val="22"/>
                <w:szCs w:val="22"/>
                <w:lang w:val="es-ES"/>
              </w:rPr>
            </w:pPr>
            <w:r>
              <w:rPr>
                <w:rFonts w:eastAsia="Times New Roman"/>
                <w:sz w:val="22"/>
                <w:szCs w:val="22"/>
                <w:lang w:val="pt-BR"/>
              </w:rPr>
              <w:t>Indígena americano ou nativo do Alasca</w:t>
            </w:r>
          </w:p>
        </w:tc>
        <w:tc>
          <w:tcPr>
            <w:tcW w:w="2610" w:type="dxa"/>
            <w:shd w:val="clear" w:color="auto" w:fill="auto"/>
          </w:tcPr>
          <w:p w14:paraId="597246E3" w14:textId="77777777" w:rsidR="00496E03" w:rsidRPr="00CC1CB4" w:rsidRDefault="00000000" w:rsidP="006215CC">
            <w:pPr>
              <w:jc w:val="center"/>
              <w:rPr>
                <w:b/>
                <w:sz w:val="22"/>
                <w:szCs w:val="22"/>
                <w:lang w:val="es-ES"/>
              </w:rPr>
            </w:pPr>
            <w:r>
              <w:rPr>
                <w:rFonts w:eastAsia="Times New Roman"/>
                <w:sz w:val="22"/>
                <w:szCs w:val="22"/>
                <w:lang w:val="pt-BR"/>
              </w:rPr>
              <w:t>n/a</w:t>
            </w:r>
            <w:r>
              <w:rPr>
                <w:rFonts w:eastAsia="Times New Roman"/>
                <w:sz w:val="22"/>
                <w:szCs w:val="22"/>
                <w:lang w:val="pt-BR"/>
              </w:rPr>
              <w:br/>
              <w:t xml:space="preserve">(não atendeu ao número </w:t>
            </w:r>
            <w:r>
              <w:rPr>
                <w:rFonts w:eastAsia="Times New Roman"/>
                <w:i/>
                <w:iCs/>
                <w:sz w:val="22"/>
                <w:szCs w:val="22"/>
                <w:lang w:val="pt-BR"/>
              </w:rPr>
              <w:t>n</w:t>
            </w:r>
            <w:r>
              <w:rPr>
                <w:rFonts w:eastAsia="Times New Roman"/>
                <w:sz w:val="22"/>
                <w:szCs w:val="22"/>
                <w:lang w:val="pt-BR"/>
              </w:rPr>
              <w:t>)</w:t>
            </w:r>
          </w:p>
        </w:tc>
        <w:tc>
          <w:tcPr>
            <w:tcW w:w="2250" w:type="dxa"/>
            <w:shd w:val="clear" w:color="auto" w:fill="auto"/>
          </w:tcPr>
          <w:p w14:paraId="10165260" w14:textId="77777777" w:rsidR="00496E03" w:rsidRPr="00CC1CB4" w:rsidRDefault="00000000" w:rsidP="006215CC">
            <w:pPr>
              <w:jc w:val="center"/>
              <w:rPr>
                <w:b/>
                <w:sz w:val="22"/>
                <w:szCs w:val="22"/>
                <w:lang w:val="es-ES"/>
              </w:rPr>
            </w:pPr>
            <w:r>
              <w:rPr>
                <w:rFonts w:eastAsia="Times New Roman"/>
                <w:sz w:val="22"/>
                <w:szCs w:val="22"/>
                <w:lang w:val="pt-BR"/>
              </w:rPr>
              <w:t>n/a</w:t>
            </w:r>
            <w:r>
              <w:rPr>
                <w:rFonts w:eastAsia="Times New Roman"/>
                <w:sz w:val="22"/>
                <w:szCs w:val="22"/>
                <w:lang w:val="pt-BR"/>
              </w:rPr>
              <w:br/>
              <w:t xml:space="preserve">(não atendeu ao número </w:t>
            </w:r>
            <w:r>
              <w:rPr>
                <w:rFonts w:eastAsia="Times New Roman"/>
                <w:i/>
                <w:iCs/>
                <w:sz w:val="22"/>
                <w:szCs w:val="22"/>
                <w:lang w:val="pt-BR"/>
              </w:rPr>
              <w:t>n</w:t>
            </w:r>
            <w:r>
              <w:rPr>
                <w:rFonts w:eastAsia="Times New Roman"/>
                <w:sz w:val="22"/>
                <w:szCs w:val="22"/>
                <w:lang w:val="pt-BR"/>
              </w:rPr>
              <w:t>)</w:t>
            </w:r>
          </w:p>
        </w:tc>
      </w:tr>
      <w:tr w:rsidR="00C566B2" w14:paraId="35690CA3" w14:textId="77777777" w:rsidTr="00F61971">
        <w:trPr>
          <w:trHeight w:val="294"/>
          <w:tblHeader/>
        </w:trPr>
        <w:tc>
          <w:tcPr>
            <w:tcW w:w="5215" w:type="dxa"/>
            <w:shd w:val="clear" w:color="auto" w:fill="F2F2F2"/>
          </w:tcPr>
          <w:p w14:paraId="46258D42" w14:textId="77777777" w:rsidR="00496E03" w:rsidRPr="00CC1CB4" w:rsidRDefault="00000000">
            <w:pPr>
              <w:rPr>
                <w:rStyle w:val="Red"/>
                <w:color w:val="auto"/>
                <w:sz w:val="22"/>
                <w:szCs w:val="22"/>
                <w:lang w:val="es-ES"/>
              </w:rPr>
            </w:pPr>
            <w:r>
              <w:rPr>
                <w:rFonts w:eastAsia="Times New Roman"/>
                <w:sz w:val="22"/>
                <w:szCs w:val="22"/>
                <w:lang w:val="pt-BR"/>
              </w:rPr>
              <w:t>Asiático, havaiano nativo ou das ilhas do Pacífico</w:t>
            </w:r>
          </w:p>
        </w:tc>
        <w:tc>
          <w:tcPr>
            <w:tcW w:w="2610" w:type="dxa"/>
            <w:shd w:val="clear" w:color="auto" w:fill="DBE5F1"/>
          </w:tcPr>
          <w:p w14:paraId="29A9098D" w14:textId="77777777" w:rsidR="00496E03" w:rsidRPr="00997BDD" w:rsidRDefault="00000000" w:rsidP="006215CC">
            <w:pPr>
              <w:jc w:val="center"/>
              <w:rPr>
                <w:b/>
                <w:sz w:val="22"/>
                <w:szCs w:val="22"/>
              </w:rPr>
            </w:pPr>
            <w:r>
              <w:rPr>
                <w:rFonts w:eastAsia="Times New Roman"/>
                <w:sz w:val="22"/>
                <w:szCs w:val="22"/>
                <w:lang w:val="pt-BR"/>
              </w:rPr>
              <w:t>97,4 %</w:t>
            </w:r>
          </w:p>
        </w:tc>
        <w:tc>
          <w:tcPr>
            <w:tcW w:w="2250" w:type="dxa"/>
            <w:shd w:val="clear" w:color="auto" w:fill="DBE5F1"/>
          </w:tcPr>
          <w:p w14:paraId="54E02144" w14:textId="77777777" w:rsidR="00496E03" w:rsidRPr="00997BDD" w:rsidRDefault="00000000" w:rsidP="006215CC">
            <w:pPr>
              <w:jc w:val="center"/>
              <w:rPr>
                <w:b/>
                <w:sz w:val="22"/>
                <w:szCs w:val="22"/>
              </w:rPr>
            </w:pPr>
            <w:r>
              <w:rPr>
                <w:rFonts w:eastAsia="Times New Roman"/>
                <w:sz w:val="22"/>
                <w:szCs w:val="22"/>
                <w:lang w:val="pt-BR"/>
              </w:rPr>
              <w:t>1,8</w:t>
            </w:r>
          </w:p>
        </w:tc>
      </w:tr>
      <w:tr w:rsidR="00C566B2" w14:paraId="7EB59944" w14:textId="77777777" w:rsidTr="00F61971">
        <w:trPr>
          <w:trHeight w:val="303"/>
          <w:tblHeader/>
        </w:trPr>
        <w:tc>
          <w:tcPr>
            <w:tcW w:w="5215" w:type="dxa"/>
            <w:shd w:val="clear" w:color="auto" w:fill="F2F2F2"/>
          </w:tcPr>
          <w:p w14:paraId="1A16A860" w14:textId="77777777" w:rsidR="00496E03" w:rsidRPr="00997BDD" w:rsidRDefault="00000000">
            <w:pPr>
              <w:rPr>
                <w:b/>
                <w:sz w:val="22"/>
                <w:szCs w:val="22"/>
              </w:rPr>
            </w:pPr>
            <w:r>
              <w:rPr>
                <w:rFonts w:eastAsia="Times New Roman"/>
                <w:sz w:val="22"/>
                <w:szCs w:val="22"/>
                <w:lang w:val="pt-BR"/>
              </w:rPr>
              <w:t>Negro ou afro-americano</w:t>
            </w:r>
          </w:p>
        </w:tc>
        <w:tc>
          <w:tcPr>
            <w:tcW w:w="2610" w:type="dxa"/>
            <w:shd w:val="clear" w:color="auto" w:fill="auto"/>
          </w:tcPr>
          <w:p w14:paraId="72463893" w14:textId="77777777" w:rsidR="00496E03" w:rsidRPr="00997BDD" w:rsidRDefault="00000000" w:rsidP="006215CC">
            <w:pPr>
              <w:jc w:val="center"/>
              <w:rPr>
                <w:b/>
                <w:sz w:val="22"/>
                <w:szCs w:val="22"/>
              </w:rPr>
            </w:pPr>
            <w:r>
              <w:rPr>
                <w:rFonts w:eastAsia="Times New Roman"/>
                <w:sz w:val="22"/>
                <w:szCs w:val="22"/>
                <w:lang w:val="pt-BR"/>
              </w:rPr>
              <w:t>99,5 %</w:t>
            </w:r>
          </w:p>
        </w:tc>
        <w:tc>
          <w:tcPr>
            <w:tcW w:w="2250" w:type="dxa"/>
            <w:shd w:val="clear" w:color="auto" w:fill="auto"/>
          </w:tcPr>
          <w:p w14:paraId="0AF5471B" w14:textId="77777777" w:rsidR="00496E03" w:rsidRPr="00997BDD" w:rsidRDefault="00000000" w:rsidP="006215CC">
            <w:pPr>
              <w:jc w:val="center"/>
              <w:rPr>
                <w:b/>
                <w:sz w:val="22"/>
                <w:szCs w:val="22"/>
              </w:rPr>
            </w:pPr>
            <w:r>
              <w:rPr>
                <w:rFonts w:eastAsia="Times New Roman"/>
                <w:sz w:val="22"/>
                <w:szCs w:val="22"/>
                <w:lang w:val="pt-BR"/>
              </w:rPr>
              <w:t>3,0</w:t>
            </w:r>
          </w:p>
        </w:tc>
      </w:tr>
      <w:tr w:rsidR="00C566B2" w14:paraId="6D02A8E0" w14:textId="77777777" w:rsidTr="00F61971">
        <w:trPr>
          <w:trHeight w:val="258"/>
          <w:tblHeader/>
        </w:trPr>
        <w:tc>
          <w:tcPr>
            <w:tcW w:w="5215" w:type="dxa"/>
            <w:shd w:val="clear" w:color="auto" w:fill="F2F2F2"/>
          </w:tcPr>
          <w:p w14:paraId="17C5CA54" w14:textId="77777777" w:rsidR="00496E03" w:rsidRPr="00997BDD" w:rsidRDefault="00000000">
            <w:pPr>
              <w:rPr>
                <w:b/>
                <w:sz w:val="22"/>
                <w:szCs w:val="22"/>
              </w:rPr>
            </w:pPr>
            <w:r>
              <w:rPr>
                <w:rFonts w:eastAsia="Times New Roman"/>
                <w:sz w:val="22"/>
                <w:szCs w:val="22"/>
                <w:lang w:val="pt-BR"/>
              </w:rPr>
              <w:t>hispânico/latino;</w:t>
            </w:r>
          </w:p>
        </w:tc>
        <w:tc>
          <w:tcPr>
            <w:tcW w:w="2610" w:type="dxa"/>
            <w:shd w:val="clear" w:color="auto" w:fill="DBE5F1"/>
          </w:tcPr>
          <w:p w14:paraId="19EFBF7A" w14:textId="77777777" w:rsidR="00496E03" w:rsidRPr="00997BDD" w:rsidRDefault="00000000" w:rsidP="006215CC">
            <w:pPr>
              <w:jc w:val="center"/>
              <w:rPr>
                <w:b/>
                <w:sz w:val="22"/>
                <w:szCs w:val="22"/>
              </w:rPr>
            </w:pPr>
            <w:r>
              <w:rPr>
                <w:rFonts w:eastAsia="Times New Roman"/>
                <w:sz w:val="22"/>
                <w:szCs w:val="22"/>
                <w:lang w:val="pt-BR"/>
              </w:rPr>
              <w:t>96,9 %</w:t>
            </w:r>
          </w:p>
        </w:tc>
        <w:tc>
          <w:tcPr>
            <w:tcW w:w="2250" w:type="dxa"/>
            <w:shd w:val="clear" w:color="auto" w:fill="DBE5F1"/>
          </w:tcPr>
          <w:p w14:paraId="1D915F53" w14:textId="77777777" w:rsidR="00496E03" w:rsidRPr="00997BDD" w:rsidRDefault="00000000" w:rsidP="006215CC">
            <w:pPr>
              <w:jc w:val="center"/>
              <w:rPr>
                <w:b/>
                <w:sz w:val="22"/>
                <w:szCs w:val="22"/>
              </w:rPr>
            </w:pPr>
            <w:r>
              <w:rPr>
                <w:rFonts w:eastAsia="Times New Roman"/>
                <w:sz w:val="22"/>
                <w:szCs w:val="22"/>
                <w:lang w:val="pt-BR"/>
              </w:rPr>
              <w:t>2,9</w:t>
            </w:r>
          </w:p>
        </w:tc>
      </w:tr>
      <w:tr w:rsidR="00C566B2" w14:paraId="34025C36" w14:textId="77777777" w:rsidTr="00F61971">
        <w:trPr>
          <w:trHeight w:val="231"/>
          <w:tblHeader/>
        </w:trPr>
        <w:tc>
          <w:tcPr>
            <w:tcW w:w="5215" w:type="dxa"/>
            <w:shd w:val="clear" w:color="auto" w:fill="F2F2F2"/>
          </w:tcPr>
          <w:p w14:paraId="1A157C48" w14:textId="77777777" w:rsidR="00496E03" w:rsidRPr="00997BDD" w:rsidRDefault="00000000">
            <w:pPr>
              <w:rPr>
                <w:sz w:val="22"/>
                <w:szCs w:val="22"/>
              </w:rPr>
            </w:pPr>
            <w:r>
              <w:rPr>
                <w:rFonts w:eastAsia="Times New Roman"/>
                <w:sz w:val="22"/>
                <w:szCs w:val="22"/>
                <w:lang w:val="pt-BR"/>
              </w:rPr>
              <w:t>Branco</w:t>
            </w:r>
          </w:p>
        </w:tc>
        <w:tc>
          <w:tcPr>
            <w:tcW w:w="2610" w:type="dxa"/>
            <w:shd w:val="clear" w:color="auto" w:fill="auto"/>
          </w:tcPr>
          <w:p w14:paraId="454DA701" w14:textId="77777777" w:rsidR="00496E03" w:rsidRPr="00997BDD" w:rsidRDefault="00000000" w:rsidP="006215CC">
            <w:pPr>
              <w:jc w:val="center"/>
              <w:rPr>
                <w:sz w:val="22"/>
                <w:szCs w:val="22"/>
              </w:rPr>
            </w:pPr>
            <w:r>
              <w:rPr>
                <w:rFonts w:eastAsia="Times New Roman"/>
                <w:sz w:val="22"/>
                <w:szCs w:val="22"/>
                <w:lang w:val="pt-BR"/>
              </w:rPr>
              <w:t>97,4%</w:t>
            </w:r>
          </w:p>
        </w:tc>
        <w:tc>
          <w:tcPr>
            <w:tcW w:w="2250" w:type="dxa"/>
            <w:shd w:val="clear" w:color="auto" w:fill="auto"/>
          </w:tcPr>
          <w:p w14:paraId="4F0CAAD4" w14:textId="77777777" w:rsidR="00496E03" w:rsidRPr="00997BDD" w:rsidRDefault="00000000" w:rsidP="006215CC">
            <w:pPr>
              <w:jc w:val="center"/>
              <w:rPr>
                <w:b/>
                <w:sz w:val="22"/>
                <w:szCs w:val="22"/>
              </w:rPr>
            </w:pPr>
            <w:r>
              <w:rPr>
                <w:rFonts w:eastAsia="Times New Roman"/>
                <w:sz w:val="22"/>
                <w:szCs w:val="22"/>
                <w:lang w:val="pt-BR"/>
              </w:rPr>
              <w:t>2,0</w:t>
            </w:r>
          </w:p>
        </w:tc>
      </w:tr>
      <w:tr w:rsidR="00C566B2" w14:paraId="0129559E" w14:textId="77777777" w:rsidTr="00F61971">
        <w:trPr>
          <w:trHeight w:val="278"/>
          <w:tblHeader/>
        </w:trPr>
        <w:tc>
          <w:tcPr>
            <w:tcW w:w="5215" w:type="dxa"/>
            <w:shd w:val="clear" w:color="auto" w:fill="F2F2F2"/>
          </w:tcPr>
          <w:p w14:paraId="59984B3F" w14:textId="77777777" w:rsidR="00496E03" w:rsidRPr="00997BDD" w:rsidRDefault="00000000">
            <w:pPr>
              <w:rPr>
                <w:sz w:val="22"/>
                <w:szCs w:val="22"/>
              </w:rPr>
            </w:pPr>
            <w:r>
              <w:rPr>
                <w:rFonts w:eastAsia="Times New Roman"/>
                <w:sz w:val="22"/>
                <w:szCs w:val="22"/>
                <w:lang w:val="pt-BR"/>
              </w:rPr>
              <w:t>Duas ou mais raças</w:t>
            </w:r>
          </w:p>
        </w:tc>
        <w:tc>
          <w:tcPr>
            <w:tcW w:w="2610" w:type="dxa"/>
            <w:shd w:val="clear" w:color="auto" w:fill="DBE5F1"/>
          </w:tcPr>
          <w:p w14:paraId="428BA29A" w14:textId="77777777" w:rsidR="00496E03" w:rsidRPr="00997BDD" w:rsidRDefault="00000000" w:rsidP="006215CC">
            <w:pPr>
              <w:jc w:val="center"/>
              <w:rPr>
                <w:sz w:val="22"/>
                <w:szCs w:val="22"/>
              </w:rPr>
            </w:pPr>
            <w:r>
              <w:rPr>
                <w:rFonts w:eastAsia="Times New Roman"/>
                <w:sz w:val="22"/>
                <w:szCs w:val="22"/>
                <w:lang w:val="pt-BR"/>
              </w:rPr>
              <w:t>94,1%</w:t>
            </w:r>
          </w:p>
        </w:tc>
        <w:tc>
          <w:tcPr>
            <w:tcW w:w="2250" w:type="dxa"/>
            <w:shd w:val="clear" w:color="auto" w:fill="DBE5F1"/>
          </w:tcPr>
          <w:p w14:paraId="01E9CB4F" w14:textId="77777777" w:rsidR="00496E03" w:rsidRPr="00997BDD" w:rsidRDefault="00000000" w:rsidP="006215CC">
            <w:pPr>
              <w:jc w:val="center"/>
              <w:rPr>
                <w:b/>
                <w:sz w:val="22"/>
                <w:szCs w:val="22"/>
              </w:rPr>
            </w:pPr>
            <w:r>
              <w:rPr>
                <w:rFonts w:eastAsia="Times New Roman"/>
                <w:sz w:val="22"/>
                <w:szCs w:val="22"/>
                <w:lang w:val="pt-BR"/>
              </w:rPr>
              <w:t>1,9</w:t>
            </w:r>
          </w:p>
        </w:tc>
      </w:tr>
    </w:tbl>
    <w:p w14:paraId="29C63F8E" w14:textId="77777777" w:rsidR="00CA7C0B" w:rsidRPr="00CC1CB4" w:rsidRDefault="00000000" w:rsidP="00F61971">
      <w:pPr>
        <w:spacing w:before="120"/>
        <w:rPr>
          <w:rStyle w:val="af9"/>
          <w:rFonts w:cs="Times New Roman"/>
          <w:b w:val="0"/>
          <w:bCs w:val="0"/>
          <w:sz w:val="22"/>
          <w:lang w:val="es-ES"/>
        </w:rPr>
      </w:pPr>
      <w:r>
        <w:rPr>
          <w:rStyle w:val="af9"/>
          <w:rFonts w:eastAsia="Times New Roman" w:cs="Times New Roman"/>
          <w:b w:val="0"/>
          <w:bCs w:val="0"/>
          <w:color w:val="000000"/>
          <w:sz w:val="22"/>
          <w:lang w:val="pt-BR"/>
        </w:rPr>
        <w:lastRenderedPageBreak/>
        <w:t xml:space="preserve">Esta tabela mostra as taxas de absenteísmo não crônicas para cada grupo de alunos e as pontuações z correspondentes. Primeiro, a pontuação </w:t>
      </w:r>
      <w:r>
        <w:rPr>
          <w:rStyle w:val="af9"/>
          <w:rFonts w:eastAsia="Times New Roman" w:cs="Times New Roman"/>
          <w:b w:val="0"/>
          <w:bCs w:val="0"/>
          <w:i/>
          <w:iCs/>
          <w:color w:val="000000"/>
          <w:sz w:val="22"/>
          <w:lang w:val="pt-BR"/>
        </w:rPr>
        <w:t>z</w:t>
      </w:r>
      <w:r>
        <w:rPr>
          <w:rStyle w:val="af9"/>
          <w:rFonts w:eastAsia="Times New Roman" w:cs="Times New Roman"/>
          <w:b w:val="0"/>
          <w:bCs w:val="0"/>
          <w:color w:val="000000"/>
          <w:sz w:val="22"/>
          <w:lang w:val="pt-BR"/>
        </w:rPr>
        <w:t xml:space="preserve"> média do grupo de alunos seria calculada pela média de todas as pontuações z padronizadas para grupos de alunos que atendam a um número </w:t>
      </w:r>
      <w:r>
        <w:rPr>
          <w:rStyle w:val="af9"/>
          <w:rFonts w:eastAsia="Times New Roman" w:cs="Times New Roman"/>
          <w:b w:val="0"/>
          <w:bCs w:val="0"/>
          <w:i/>
          <w:iCs/>
          <w:color w:val="000000"/>
          <w:sz w:val="22"/>
          <w:lang w:val="pt-BR"/>
        </w:rPr>
        <w:t>n</w:t>
      </w:r>
      <w:r>
        <w:rPr>
          <w:rStyle w:val="af9"/>
          <w:rFonts w:eastAsia="Times New Roman" w:cs="Times New Roman"/>
          <w:b w:val="0"/>
          <w:bCs w:val="0"/>
          <w:color w:val="000000"/>
          <w:sz w:val="22"/>
          <w:lang w:val="pt-BR"/>
        </w:rPr>
        <w:t xml:space="preserve"> diferente do grupo de “todos os alunos”. Isso resulta em uma pontuação z média do grupo de alunos de 2,55. A pontuação z média do grupo de alunos de 2,55 seria então calculada com a pontuação z para todos os alunos de 2,8 para obter uma pontuação padronizada geral de 2,68. </w:t>
      </w:r>
    </w:p>
    <w:p w14:paraId="3580FB0E" w14:textId="77777777" w:rsidR="008E6100" w:rsidRPr="00CC1CB4" w:rsidRDefault="00000000" w:rsidP="0060439C">
      <w:pPr>
        <w:rPr>
          <w:rStyle w:val="af9"/>
          <w:rFonts w:cs="Times New Roman"/>
          <w:b w:val="0"/>
          <w:sz w:val="22"/>
          <w:lang w:val="es-ES"/>
        </w:rPr>
      </w:pPr>
      <w:r>
        <w:rPr>
          <w:rStyle w:val="af9"/>
          <w:rFonts w:eastAsia="Times New Roman" w:cs="Times New Roman"/>
          <w:b w:val="0"/>
          <w:bCs w:val="0"/>
          <w:color w:val="000000"/>
          <w:sz w:val="22"/>
          <w:lang w:val="pt-BR"/>
        </w:rPr>
        <w:t>A pontuação do indicador seria então classificada com as pontuações do indicador de absenteísmo crônico para todas as outras escolas de ensino fundamental e médio e a classificação percentil seria calculada. Por exemplo, se a pontuação padronizada geral da escola de 2,68 fosse igual ou superior a 85% de outras escolas de ensino fundamental e médio, a pontuação do indicador da escola para absenteísmo crônico seria de 85.</w:t>
      </w:r>
    </w:p>
    <w:p w14:paraId="302C11EE" w14:textId="77777777" w:rsidR="007650D6" w:rsidRPr="00CC1CB4" w:rsidRDefault="00000000" w:rsidP="00461BA8">
      <w:pPr>
        <w:rPr>
          <w:rStyle w:val="af9"/>
          <w:rFonts w:cs="Times New Roman"/>
          <w:b w:val="0"/>
          <w:sz w:val="22"/>
          <w:lang w:val="es-ES"/>
        </w:rPr>
      </w:pPr>
      <w:r>
        <w:rPr>
          <w:rStyle w:val="af9"/>
          <w:rFonts w:eastAsia="Times New Roman" w:cs="Times New Roman"/>
          <w:b w:val="0"/>
          <w:bCs w:val="0"/>
          <w:color w:val="000000"/>
          <w:sz w:val="22"/>
          <w:lang w:val="pt-BR"/>
        </w:rPr>
        <w:t>A tabela a seguir mostra exemplos de pontuações e pesos dos indicadores para uma escola de ensino médio.</w:t>
      </w:r>
    </w:p>
    <w:p w14:paraId="25B89E58" w14:textId="77777777" w:rsidR="00496E03" w:rsidRPr="00CC1CB4" w:rsidRDefault="00000000" w:rsidP="00F86F30">
      <w:pPr>
        <w:pStyle w:val="aff0"/>
        <w:rPr>
          <w:rFonts w:ascii="Times New Roman" w:hAnsi="Times New Roman"/>
          <w:lang w:val="es-ES"/>
        </w:rPr>
      </w:pPr>
      <w:r>
        <w:rPr>
          <w:rFonts w:eastAsia="Cambria"/>
          <w:lang w:val="pt-BR"/>
        </w:rPr>
        <w:t xml:space="preserve">Figura A.19: Exemplo: Cálculo de uma </w:t>
      </w:r>
      <w:r>
        <w:rPr>
          <w:rFonts w:ascii="Times New Roman" w:eastAsia="Times New Roman" w:hAnsi="Times New Roman"/>
          <w:lang w:val="pt-BR"/>
        </w:rPr>
        <w:t>pontuação somativa e classificação para uma escola de ensino</w:t>
      </w:r>
      <w:r>
        <w:rPr>
          <w:rFonts w:eastAsia="Cambria"/>
          <w:lang w:val="pt-BR"/>
        </w:rPr>
        <w:t xml:space="preserve"> médio</w:t>
      </w:r>
    </w:p>
    <w:tbl>
      <w:tblPr>
        <w:tblStyle w:val="2-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875"/>
        <w:gridCol w:w="2160"/>
        <w:gridCol w:w="1350"/>
        <w:gridCol w:w="1170"/>
        <w:gridCol w:w="1800"/>
      </w:tblGrid>
      <w:tr w:rsidR="00C566B2" w:rsidRPr="00856537" w14:paraId="406A01B0" w14:textId="77777777" w:rsidTr="00C566B2">
        <w:trPr>
          <w:cnfStyle w:val="100000000000" w:firstRow="1" w:lastRow="0" w:firstColumn="0" w:lastColumn="0" w:oddVBand="0" w:evenVBand="0" w:oddHBand="0" w:evenHBand="0" w:firstRowFirstColumn="0" w:firstRowLastColumn="0" w:lastRowFirstColumn="0" w:lastRowLastColumn="0"/>
          <w:tblHeader/>
        </w:trPr>
        <w:tc>
          <w:tcPr>
            <w:tcW w:w="2875" w:type="dxa"/>
            <w:tcBorders>
              <w:right w:val="single" w:sz="4" w:space="0" w:color="FFFFFF" w:themeColor="background1"/>
            </w:tcBorders>
            <w:shd w:val="clear" w:color="auto" w:fill="215868" w:themeFill="accent5" w:themeFillShade="80"/>
          </w:tcPr>
          <w:p w14:paraId="369F695D" w14:textId="77777777" w:rsidR="00C962C4" w:rsidRPr="00997BDD" w:rsidRDefault="00000000" w:rsidP="009068C2">
            <w:pPr>
              <w:spacing w:after="120"/>
              <w:rPr>
                <w:b w:val="0"/>
                <w:bCs w:val="0"/>
                <w:color w:val="FFFFFF" w:themeColor="background1"/>
                <w:sz w:val="22"/>
                <w:szCs w:val="22"/>
              </w:rPr>
            </w:pPr>
            <w:r>
              <w:rPr>
                <w:rFonts w:eastAsia="Times New Roman"/>
                <w:color w:val="FFFFFF"/>
                <w:sz w:val="22"/>
                <w:szCs w:val="22"/>
                <w:lang w:val="pt-BR"/>
              </w:rPr>
              <w:t>Categoria do indicador</w:t>
            </w:r>
          </w:p>
        </w:tc>
        <w:tc>
          <w:tcPr>
            <w:tcW w:w="2160" w:type="dxa"/>
            <w:tcBorders>
              <w:left w:val="single" w:sz="4" w:space="0" w:color="FFFFFF" w:themeColor="background1"/>
              <w:right w:val="single" w:sz="4" w:space="0" w:color="FFFFFF" w:themeColor="background1"/>
            </w:tcBorders>
            <w:shd w:val="clear" w:color="auto" w:fill="215868" w:themeFill="accent5" w:themeFillShade="80"/>
          </w:tcPr>
          <w:p w14:paraId="1C99F4FF" w14:textId="77777777" w:rsidR="00286705" w:rsidRPr="00997BDD" w:rsidRDefault="00000000" w:rsidP="009068C2">
            <w:pPr>
              <w:spacing w:after="120"/>
              <w:rPr>
                <w:b w:val="0"/>
                <w:bCs w:val="0"/>
                <w:color w:val="FFFFFF" w:themeColor="background1"/>
                <w:sz w:val="22"/>
                <w:szCs w:val="22"/>
              </w:rPr>
            </w:pPr>
            <w:r>
              <w:rPr>
                <w:rFonts w:eastAsia="Times New Roman"/>
                <w:color w:val="FFFFFF"/>
                <w:sz w:val="22"/>
                <w:szCs w:val="22"/>
                <w:lang w:val="pt-BR"/>
              </w:rPr>
              <w:t>Indicador</w:t>
            </w:r>
          </w:p>
        </w:tc>
        <w:tc>
          <w:tcPr>
            <w:tcW w:w="1350" w:type="dxa"/>
            <w:tcBorders>
              <w:left w:val="single" w:sz="4" w:space="0" w:color="FFFFFF" w:themeColor="background1"/>
              <w:right w:val="single" w:sz="4" w:space="0" w:color="FFFFFF" w:themeColor="background1"/>
            </w:tcBorders>
            <w:shd w:val="clear" w:color="auto" w:fill="215868" w:themeFill="accent5" w:themeFillShade="80"/>
          </w:tcPr>
          <w:p w14:paraId="595896CE" w14:textId="77777777" w:rsidR="00286705" w:rsidRPr="00997BDD" w:rsidRDefault="00000000" w:rsidP="009068C2">
            <w:pPr>
              <w:spacing w:after="120"/>
              <w:rPr>
                <w:b w:val="0"/>
                <w:bCs w:val="0"/>
                <w:color w:val="FFFFFF" w:themeColor="background1"/>
                <w:sz w:val="22"/>
                <w:szCs w:val="22"/>
              </w:rPr>
            </w:pPr>
            <w:r>
              <w:rPr>
                <w:rFonts w:eastAsia="Times New Roman"/>
                <w:color w:val="FFFFFF"/>
                <w:sz w:val="22"/>
                <w:szCs w:val="22"/>
                <w:lang w:val="pt-BR"/>
              </w:rPr>
              <w:t>Pontuação do indicador</w:t>
            </w:r>
          </w:p>
        </w:tc>
        <w:tc>
          <w:tcPr>
            <w:tcW w:w="1170" w:type="dxa"/>
            <w:tcBorders>
              <w:left w:val="single" w:sz="4" w:space="0" w:color="FFFFFF" w:themeColor="background1"/>
              <w:right w:val="single" w:sz="4" w:space="0" w:color="FFFFFF" w:themeColor="background1"/>
            </w:tcBorders>
            <w:shd w:val="clear" w:color="auto" w:fill="215868" w:themeFill="accent5" w:themeFillShade="80"/>
          </w:tcPr>
          <w:p w14:paraId="369E3135" w14:textId="77777777" w:rsidR="00286705" w:rsidRPr="00997BDD" w:rsidRDefault="00000000" w:rsidP="009068C2">
            <w:pPr>
              <w:spacing w:after="120"/>
              <w:rPr>
                <w:b w:val="0"/>
                <w:bCs w:val="0"/>
                <w:color w:val="FFFFFF" w:themeColor="background1"/>
                <w:sz w:val="22"/>
                <w:szCs w:val="22"/>
              </w:rPr>
            </w:pPr>
            <w:r>
              <w:rPr>
                <w:rFonts w:eastAsia="Times New Roman"/>
                <w:color w:val="FFFFFF"/>
                <w:sz w:val="22"/>
                <w:szCs w:val="22"/>
                <w:lang w:val="pt-BR"/>
              </w:rPr>
              <w:t>Peso</w:t>
            </w:r>
          </w:p>
        </w:tc>
        <w:tc>
          <w:tcPr>
            <w:tcW w:w="1800" w:type="dxa"/>
            <w:tcBorders>
              <w:left w:val="single" w:sz="4" w:space="0" w:color="FFFFFF" w:themeColor="background1"/>
            </w:tcBorders>
            <w:shd w:val="clear" w:color="auto" w:fill="215868" w:themeFill="accent5" w:themeFillShade="80"/>
          </w:tcPr>
          <w:p w14:paraId="6DD285F5" w14:textId="77777777" w:rsidR="00286705" w:rsidRPr="00CC1CB4" w:rsidRDefault="00000000" w:rsidP="009068C2">
            <w:pPr>
              <w:spacing w:after="120"/>
              <w:rPr>
                <w:b w:val="0"/>
                <w:bCs w:val="0"/>
                <w:color w:val="FFFFFF" w:themeColor="background1"/>
                <w:sz w:val="22"/>
                <w:szCs w:val="22"/>
                <w:lang w:val="es-ES"/>
              </w:rPr>
            </w:pPr>
            <w:r>
              <w:rPr>
                <w:rFonts w:eastAsia="Times New Roman"/>
                <w:color w:val="FFFFFF"/>
                <w:sz w:val="22"/>
                <w:szCs w:val="22"/>
                <w:lang w:val="pt-BR"/>
              </w:rPr>
              <w:t xml:space="preserve">Pontos ganhos em relação à pontuação somativa (pontuação do indicador </w:t>
            </w:r>
            <w:r>
              <w:rPr>
                <w:rFonts w:eastAsia="Times New Roman"/>
                <w:b w:val="0"/>
                <w:bCs w:val="0"/>
                <w:color w:val="FFFFFF"/>
                <w:sz w:val="22"/>
                <w:szCs w:val="22"/>
                <w:lang w:val="pt-BR"/>
              </w:rPr>
              <w:t>×</w:t>
            </w:r>
            <w:r>
              <w:rPr>
                <w:rFonts w:eastAsia="Times New Roman"/>
                <w:color w:val="FFFFFF"/>
                <w:sz w:val="22"/>
                <w:szCs w:val="22"/>
                <w:lang w:val="pt-BR"/>
              </w:rPr>
              <w:t xml:space="preserve"> ponderação)</w:t>
            </w:r>
          </w:p>
        </w:tc>
      </w:tr>
      <w:tr w:rsidR="00C566B2" w14:paraId="485497FC" w14:textId="77777777" w:rsidTr="00C566B2">
        <w:trPr>
          <w:cnfStyle w:val="000000100000" w:firstRow="0" w:lastRow="0" w:firstColumn="0" w:lastColumn="0" w:oddVBand="0" w:evenVBand="0" w:oddHBand="1" w:evenHBand="0" w:firstRowFirstColumn="0" w:firstRowLastColumn="0" w:lastRowFirstColumn="0" w:lastRowLastColumn="0"/>
        </w:trPr>
        <w:tc>
          <w:tcPr>
            <w:tcW w:w="2875" w:type="dxa"/>
            <w:shd w:val="clear" w:color="auto" w:fill="DBE5F1"/>
            <w:vAlign w:val="center"/>
          </w:tcPr>
          <w:p w14:paraId="3DCF962D" w14:textId="77777777" w:rsidR="00C962C4" w:rsidRPr="00997BDD" w:rsidRDefault="00000000" w:rsidP="006642F6">
            <w:pPr>
              <w:spacing w:after="120"/>
              <w:rPr>
                <w:b/>
                <w:sz w:val="22"/>
                <w:szCs w:val="22"/>
              </w:rPr>
            </w:pPr>
            <w:r>
              <w:rPr>
                <w:rFonts w:eastAsia="Times New Roman"/>
                <w:b/>
                <w:bCs/>
                <w:sz w:val="22"/>
                <w:szCs w:val="22"/>
                <w:lang w:val="pt-BR"/>
              </w:rPr>
              <w:t xml:space="preserve"> </w:t>
            </w:r>
            <w:r>
              <w:rPr>
                <w:rFonts w:eastAsia="Times New Roman"/>
                <w:sz w:val="22"/>
                <w:szCs w:val="22"/>
                <w:lang w:val="pt-BR"/>
              </w:rPr>
              <w:t>Realização acadêmica</w:t>
            </w:r>
          </w:p>
        </w:tc>
        <w:tc>
          <w:tcPr>
            <w:tcW w:w="2160" w:type="dxa"/>
            <w:shd w:val="clear" w:color="auto" w:fill="DBE5F1"/>
            <w:vAlign w:val="center"/>
          </w:tcPr>
          <w:p w14:paraId="5FC122FF" w14:textId="77777777" w:rsidR="00286705" w:rsidRPr="00997BDD" w:rsidRDefault="00000000" w:rsidP="006642F6">
            <w:pPr>
              <w:spacing w:after="120"/>
              <w:rPr>
                <w:sz w:val="22"/>
                <w:szCs w:val="22"/>
              </w:rPr>
            </w:pPr>
            <w:r>
              <w:rPr>
                <w:rFonts w:eastAsia="Times New Roman"/>
                <w:sz w:val="22"/>
                <w:szCs w:val="22"/>
                <w:lang w:val="pt-BR"/>
              </w:rPr>
              <w:t>Proficiência em ELA</w:t>
            </w:r>
          </w:p>
        </w:tc>
        <w:tc>
          <w:tcPr>
            <w:tcW w:w="1350" w:type="dxa"/>
            <w:shd w:val="clear" w:color="auto" w:fill="DBE5F1"/>
            <w:vAlign w:val="center"/>
          </w:tcPr>
          <w:p w14:paraId="0F688AFF" w14:textId="77777777" w:rsidR="00286705" w:rsidRPr="00997BDD" w:rsidRDefault="00000000" w:rsidP="00AC07E1">
            <w:pPr>
              <w:spacing w:after="120"/>
              <w:jc w:val="center"/>
              <w:rPr>
                <w:sz w:val="22"/>
                <w:szCs w:val="22"/>
              </w:rPr>
            </w:pPr>
            <w:r>
              <w:rPr>
                <w:rFonts w:eastAsia="Times New Roman"/>
                <w:sz w:val="22"/>
                <w:szCs w:val="22"/>
                <w:lang w:val="pt-BR"/>
              </w:rPr>
              <w:t>62,23</w:t>
            </w:r>
          </w:p>
        </w:tc>
        <w:tc>
          <w:tcPr>
            <w:tcW w:w="1170" w:type="dxa"/>
            <w:shd w:val="clear" w:color="auto" w:fill="DBE5F1"/>
            <w:vAlign w:val="center"/>
          </w:tcPr>
          <w:p w14:paraId="38A923DE" w14:textId="77777777" w:rsidR="00286705" w:rsidRPr="00997BDD" w:rsidRDefault="00000000" w:rsidP="00AC07E1">
            <w:pPr>
              <w:spacing w:after="120"/>
              <w:jc w:val="center"/>
              <w:rPr>
                <w:sz w:val="22"/>
                <w:szCs w:val="22"/>
              </w:rPr>
            </w:pPr>
            <w:r>
              <w:rPr>
                <w:rFonts w:eastAsia="Times New Roman"/>
                <w:sz w:val="22"/>
                <w:szCs w:val="22"/>
                <w:lang w:val="pt-BR"/>
              </w:rPr>
              <w:t>15%</w:t>
            </w:r>
          </w:p>
        </w:tc>
        <w:tc>
          <w:tcPr>
            <w:tcW w:w="1800" w:type="dxa"/>
            <w:shd w:val="clear" w:color="auto" w:fill="DBE5F1"/>
            <w:vAlign w:val="center"/>
          </w:tcPr>
          <w:p w14:paraId="4BD1BD36" w14:textId="77777777" w:rsidR="00286705" w:rsidRPr="00997BDD" w:rsidRDefault="00000000" w:rsidP="00AC07E1">
            <w:pPr>
              <w:spacing w:after="120"/>
              <w:jc w:val="center"/>
              <w:rPr>
                <w:sz w:val="22"/>
                <w:szCs w:val="22"/>
              </w:rPr>
            </w:pPr>
            <w:r>
              <w:rPr>
                <w:rFonts w:eastAsia="Times New Roman"/>
                <w:sz w:val="22"/>
                <w:szCs w:val="22"/>
                <w:lang w:val="pt-BR"/>
              </w:rPr>
              <w:t>9,33</w:t>
            </w:r>
          </w:p>
        </w:tc>
      </w:tr>
      <w:tr w:rsidR="00C566B2" w14:paraId="16B16894" w14:textId="77777777" w:rsidTr="00C566B2">
        <w:tc>
          <w:tcPr>
            <w:tcW w:w="2875" w:type="dxa"/>
            <w:vAlign w:val="center"/>
          </w:tcPr>
          <w:p w14:paraId="70577071" w14:textId="77777777" w:rsidR="00C962C4" w:rsidRPr="00997BDD" w:rsidRDefault="00000000" w:rsidP="006642F6">
            <w:pPr>
              <w:spacing w:after="120"/>
              <w:rPr>
                <w:b/>
                <w:sz w:val="22"/>
                <w:szCs w:val="22"/>
              </w:rPr>
            </w:pPr>
            <w:r>
              <w:rPr>
                <w:rFonts w:eastAsia="Times New Roman"/>
                <w:b/>
                <w:bCs/>
                <w:sz w:val="22"/>
                <w:szCs w:val="22"/>
                <w:lang w:val="pt-BR"/>
              </w:rPr>
              <w:t xml:space="preserve"> </w:t>
            </w:r>
            <w:r>
              <w:rPr>
                <w:rFonts w:eastAsia="Times New Roman"/>
                <w:sz w:val="22"/>
                <w:szCs w:val="22"/>
                <w:lang w:val="pt-BR"/>
              </w:rPr>
              <w:t>Realização acadêmica</w:t>
            </w:r>
          </w:p>
        </w:tc>
        <w:tc>
          <w:tcPr>
            <w:tcW w:w="2160" w:type="dxa"/>
            <w:vAlign w:val="center"/>
          </w:tcPr>
          <w:p w14:paraId="65818D58" w14:textId="77777777" w:rsidR="00286705" w:rsidRPr="00997BDD" w:rsidRDefault="00000000" w:rsidP="006642F6">
            <w:pPr>
              <w:spacing w:after="120"/>
              <w:rPr>
                <w:sz w:val="22"/>
                <w:szCs w:val="22"/>
              </w:rPr>
            </w:pPr>
            <w:r>
              <w:rPr>
                <w:rFonts w:eastAsia="Times New Roman"/>
                <w:sz w:val="22"/>
                <w:szCs w:val="22"/>
                <w:lang w:val="pt-BR"/>
              </w:rPr>
              <w:t>Proficiência em matemática</w:t>
            </w:r>
          </w:p>
        </w:tc>
        <w:tc>
          <w:tcPr>
            <w:tcW w:w="1350" w:type="dxa"/>
            <w:vAlign w:val="center"/>
          </w:tcPr>
          <w:p w14:paraId="36185132" w14:textId="77777777" w:rsidR="00286705" w:rsidRPr="00997BDD" w:rsidRDefault="00000000" w:rsidP="00AC07E1">
            <w:pPr>
              <w:spacing w:after="120"/>
              <w:jc w:val="center"/>
              <w:rPr>
                <w:sz w:val="22"/>
                <w:szCs w:val="22"/>
              </w:rPr>
            </w:pPr>
            <w:r>
              <w:rPr>
                <w:rFonts w:eastAsia="Times New Roman"/>
                <w:sz w:val="22"/>
                <w:szCs w:val="22"/>
                <w:lang w:val="pt-BR"/>
              </w:rPr>
              <w:t>66,67</w:t>
            </w:r>
          </w:p>
        </w:tc>
        <w:tc>
          <w:tcPr>
            <w:tcW w:w="1170" w:type="dxa"/>
            <w:vAlign w:val="center"/>
          </w:tcPr>
          <w:p w14:paraId="5DEFB80A" w14:textId="77777777" w:rsidR="00286705" w:rsidRPr="00997BDD" w:rsidRDefault="00000000" w:rsidP="00AC07E1">
            <w:pPr>
              <w:spacing w:after="120"/>
              <w:jc w:val="center"/>
              <w:rPr>
                <w:sz w:val="22"/>
                <w:szCs w:val="22"/>
              </w:rPr>
            </w:pPr>
            <w:r>
              <w:rPr>
                <w:rFonts w:eastAsia="Times New Roman"/>
                <w:sz w:val="22"/>
                <w:szCs w:val="22"/>
                <w:lang w:val="pt-BR"/>
              </w:rPr>
              <w:t>15%</w:t>
            </w:r>
          </w:p>
        </w:tc>
        <w:tc>
          <w:tcPr>
            <w:tcW w:w="1800" w:type="dxa"/>
            <w:vAlign w:val="center"/>
          </w:tcPr>
          <w:p w14:paraId="50743F68" w14:textId="77777777" w:rsidR="00286705" w:rsidRPr="00997BDD" w:rsidRDefault="00000000" w:rsidP="00AC07E1">
            <w:pPr>
              <w:spacing w:after="120"/>
              <w:jc w:val="center"/>
              <w:rPr>
                <w:sz w:val="22"/>
                <w:szCs w:val="22"/>
              </w:rPr>
            </w:pPr>
            <w:r>
              <w:rPr>
                <w:rFonts w:eastAsia="Times New Roman"/>
                <w:sz w:val="22"/>
                <w:szCs w:val="22"/>
                <w:lang w:val="pt-BR"/>
              </w:rPr>
              <w:t>10,00</w:t>
            </w:r>
          </w:p>
        </w:tc>
      </w:tr>
      <w:tr w:rsidR="00C566B2" w14:paraId="75A03707" w14:textId="77777777" w:rsidTr="00C566B2">
        <w:trPr>
          <w:cnfStyle w:val="000000100000" w:firstRow="0" w:lastRow="0" w:firstColumn="0" w:lastColumn="0" w:oddVBand="0" w:evenVBand="0" w:oddHBand="1" w:evenHBand="0" w:firstRowFirstColumn="0" w:firstRowLastColumn="0" w:lastRowFirstColumn="0" w:lastRowLastColumn="0"/>
        </w:trPr>
        <w:tc>
          <w:tcPr>
            <w:tcW w:w="2875" w:type="dxa"/>
            <w:shd w:val="clear" w:color="auto" w:fill="DBE5F1"/>
            <w:vAlign w:val="center"/>
          </w:tcPr>
          <w:p w14:paraId="2F05A98B" w14:textId="77777777" w:rsidR="00C962C4" w:rsidRPr="00997BDD" w:rsidRDefault="00000000" w:rsidP="006642F6">
            <w:pPr>
              <w:spacing w:after="120"/>
              <w:rPr>
                <w:b/>
                <w:sz w:val="22"/>
                <w:szCs w:val="22"/>
              </w:rPr>
            </w:pPr>
            <w:r>
              <w:rPr>
                <w:rFonts w:eastAsia="Times New Roman"/>
                <w:sz w:val="22"/>
                <w:szCs w:val="22"/>
                <w:lang w:val="pt-BR"/>
              </w:rPr>
              <w:t>Taxa</w:t>
            </w:r>
            <w:r>
              <w:rPr>
                <w:rFonts w:eastAsia="Times New Roman"/>
                <w:b/>
                <w:bCs/>
                <w:sz w:val="22"/>
                <w:szCs w:val="22"/>
                <w:lang w:val="pt-BR"/>
              </w:rPr>
              <w:t xml:space="preserve"> </w:t>
            </w:r>
            <w:r>
              <w:rPr>
                <w:rFonts w:eastAsia="Times New Roman"/>
                <w:sz w:val="22"/>
                <w:szCs w:val="22"/>
                <w:lang w:val="pt-BR"/>
              </w:rPr>
              <w:t>de formação</w:t>
            </w:r>
          </w:p>
        </w:tc>
        <w:tc>
          <w:tcPr>
            <w:tcW w:w="2160" w:type="dxa"/>
            <w:shd w:val="clear" w:color="auto" w:fill="DBE5F1"/>
            <w:vAlign w:val="center"/>
          </w:tcPr>
          <w:p w14:paraId="074600AF" w14:textId="77777777" w:rsidR="00286705" w:rsidRPr="00CC1CB4" w:rsidRDefault="00000000" w:rsidP="006642F6">
            <w:pPr>
              <w:spacing w:after="120"/>
              <w:rPr>
                <w:sz w:val="22"/>
                <w:szCs w:val="22"/>
                <w:lang w:val="es-ES"/>
              </w:rPr>
            </w:pPr>
            <w:r>
              <w:rPr>
                <w:rFonts w:eastAsia="Times New Roman"/>
                <w:sz w:val="22"/>
                <w:szCs w:val="22"/>
                <w:lang w:val="pt-BR"/>
              </w:rPr>
              <w:t>Taxa de formação de 4 anos</w:t>
            </w:r>
          </w:p>
        </w:tc>
        <w:tc>
          <w:tcPr>
            <w:tcW w:w="1350" w:type="dxa"/>
            <w:shd w:val="clear" w:color="auto" w:fill="DBE5F1"/>
            <w:vAlign w:val="center"/>
          </w:tcPr>
          <w:p w14:paraId="2394DC1E" w14:textId="77777777" w:rsidR="00286705" w:rsidRPr="00997BDD" w:rsidRDefault="00000000" w:rsidP="00AC07E1">
            <w:pPr>
              <w:spacing w:after="120"/>
              <w:jc w:val="center"/>
              <w:rPr>
                <w:sz w:val="22"/>
                <w:szCs w:val="22"/>
              </w:rPr>
            </w:pPr>
            <w:r>
              <w:rPr>
                <w:rFonts w:eastAsia="Times New Roman"/>
                <w:sz w:val="22"/>
                <w:szCs w:val="22"/>
                <w:lang w:val="pt-BR"/>
              </w:rPr>
              <w:t>77,29</w:t>
            </w:r>
          </w:p>
        </w:tc>
        <w:tc>
          <w:tcPr>
            <w:tcW w:w="1170" w:type="dxa"/>
            <w:shd w:val="clear" w:color="auto" w:fill="DBE5F1"/>
            <w:vAlign w:val="center"/>
          </w:tcPr>
          <w:p w14:paraId="20CD3AA0" w14:textId="77777777" w:rsidR="00286705" w:rsidRPr="00997BDD" w:rsidRDefault="00000000" w:rsidP="00AC07E1">
            <w:pPr>
              <w:spacing w:after="120"/>
              <w:jc w:val="center"/>
              <w:rPr>
                <w:sz w:val="22"/>
                <w:szCs w:val="22"/>
              </w:rPr>
            </w:pPr>
            <w:r>
              <w:rPr>
                <w:rFonts w:eastAsia="Times New Roman"/>
                <w:sz w:val="22"/>
                <w:szCs w:val="22"/>
                <w:lang w:val="pt-BR"/>
              </w:rPr>
              <w:t>20%</w:t>
            </w:r>
          </w:p>
        </w:tc>
        <w:tc>
          <w:tcPr>
            <w:tcW w:w="1800" w:type="dxa"/>
            <w:shd w:val="clear" w:color="auto" w:fill="DBE5F1"/>
            <w:vAlign w:val="center"/>
          </w:tcPr>
          <w:p w14:paraId="7C4EC9CA" w14:textId="77777777" w:rsidR="00286705" w:rsidRPr="00997BDD" w:rsidRDefault="00000000" w:rsidP="00AC07E1">
            <w:pPr>
              <w:spacing w:after="120"/>
              <w:jc w:val="center"/>
              <w:rPr>
                <w:sz w:val="22"/>
                <w:szCs w:val="22"/>
              </w:rPr>
            </w:pPr>
            <w:r>
              <w:rPr>
                <w:rFonts w:eastAsia="Times New Roman"/>
                <w:sz w:val="22"/>
                <w:szCs w:val="22"/>
                <w:lang w:val="pt-BR"/>
              </w:rPr>
              <w:t>15,46</w:t>
            </w:r>
          </w:p>
        </w:tc>
      </w:tr>
      <w:tr w:rsidR="00C566B2" w14:paraId="4847A5C3" w14:textId="77777777" w:rsidTr="00C566B2">
        <w:tc>
          <w:tcPr>
            <w:tcW w:w="2875" w:type="dxa"/>
            <w:vAlign w:val="center"/>
          </w:tcPr>
          <w:p w14:paraId="1E6BF012" w14:textId="77777777" w:rsidR="00C962C4" w:rsidRPr="00997BDD" w:rsidRDefault="00000000" w:rsidP="006642F6">
            <w:pPr>
              <w:spacing w:after="120"/>
              <w:rPr>
                <w:b/>
                <w:sz w:val="22"/>
                <w:szCs w:val="22"/>
              </w:rPr>
            </w:pPr>
            <w:r>
              <w:rPr>
                <w:rFonts w:eastAsia="Times New Roman"/>
                <w:sz w:val="22"/>
                <w:szCs w:val="22"/>
                <w:lang w:val="pt-BR"/>
              </w:rPr>
              <w:t>Taxa</w:t>
            </w:r>
            <w:r>
              <w:rPr>
                <w:rFonts w:eastAsia="Times New Roman"/>
                <w:b/>
                <w:bCs/>
                <w:sz w:val="22"/>
                <w:szCs w:val="22"/>
                <w:lang w:val="pt-BR"/>
              </w:rPr>
              <w:t xml:space="preserve"> </w:t>
            </w:r>
            <w:r>
              <w:rPr>
                <w:rFonts w:eastAsia="Times New Roman"/>
                <w:sz w:val="22"/>
                <w:szCs w:val="22"/>
                <w:lang w:val="pt-BR"/>
              </w:rPr>
              <w:t>de formação</w:t>
            </w:r>
          </w:p>
        </w:tc>
        <w:tc>
          <w:tcPr>
            <w:tcW w:w="2160" w:type="dxa"/>
            <w:vAlign w:val="center"/>
          </w:tcPr>
          <w:p w14:paraId="2DE5A500" w14:textId="77777777" w:rsidR="00286705" w:rsidRPr="00CC1CB4" w:rsidRDefault="00000000" w:rsidP="006642F6">
            <w:pPr>
              <w:spacing w:after="120"/>
              <w:rPr>
                <w:sz w:val="22"/>
                <w:szCs w:val="22"/>
                <w:lang w:val="es-ES"/>
              </w:rPr>
            </w:pPr>
            <w:r>
              <w:rPr>
                <w:rFonts w:eastAsia="Times New Roman"/>
                <w:sz w:val="22"/>
                <w:szCs w:val="22"/>
                <w:lang w:val="pt-BR"/>
              </w:rPr>
              <w:t>Taxa de formação de 5 anos</w:t>
            </w:r>
          </w:p>
        </w:tc>
        <w:tc>
          <w:tcPr>
            <w:tcW w:w="1350" w:type="dxa"/>
            <w:vAlign w:val="center"/>
          </w:tcPr>
          <w:p w14:paraId="5DF7CF42" w14:textId="77777777" w:rsidR="00286705" w:rsidRPr="00997BDD" w:rsidRDefault="00000000" w:rsidP="00AC07E1">
            <w:pPr>
              <w:spacing w:after="120"/>
              <w:jc w:val="center"/>
              <w:rPr>
                <w:sz w:val="22"/>
                <w:szCs w:val="22"/>
              </w:rPr>
            </w:pPr>
            <w:r>
              <w:rPr>
                <w:rFonts w:eastAsia="Times New Roman"/>
                <w:sz w:val="22"/>
                <w:szCs w:val="22"/>
                <w:lang w:val="pt-BR"/>
              </w:rPr>
              <w:t>70,9</w:t>
            </w:r>
          </w:p>
        </w:tc>
        <w:tc>
          <w:tcPr>
            <w:tcW w:w="1170" w:type="dxa"/>
            <w:vAlign w:val="center"/>
          </w:tcPr>
          <w:p w14:paraId="06D70427" w14:textId="77777777" w:rsidR="00286705" w:rsidRPr="00997BDD" w:rsidRDefault="00000000" w:rsidP="00AC07E1">
            <w:pPr>
              <w:spacing w:after="120"/>
              <w:jc w:val="center"/>
              <w:rPr>
                <w:sz w:val="22"/>
                <w:szCs w:val="22"/>
              </w:rPr>
            </w:pPr>
            <w:r>
              <w:rPr>
                <w:rFonts w:eastAsia="Times New Roman"/>
                <w:sz w:val="22"/>
                <w:szCs w:val="22"/>
                <w:lang w:val="pt-BR"/>
              </w:rPr>
              <w:t>20%</w:t>
            </w:r>
          </w:p>
        </w:tc>
        <w:tc>
          <w:tcPr>
            <w:tcW w:w="1800" w:type="dxa"/>
            <w:vAlign w:val="center"/>
          </w:tcPr>
          <w:p w14:paraId="01C6F23C" w14:textId="77777777" w:rsidR="00286705" w:rsidRPr="00997BDD" w:rsidRDefault="00000000" w:rsidP="00AC07E1">
            <w:pPr>
              <w:spacing w:after="120"/>
              <w:jc w:val="center"/>
              <w:rPr>
                <w:sz w:val="22"/>
                <w:szCs w:val="22"/>
              </w:rPr>
            </w:pPr>
            <w:r>
              <w:rPr>
                <w:rFonts w:eastAsia="Times New Roman"/>
                <w:sz w:val="22"/>
                <w:szCs w:val="22"/>
                <w:lang w:val="pt-BR"/>
              </w:rPr>
              <w:t>14,18</w:t>
            </w:r>
          </w:p>
        </w:tc>
      </w:tr>
      <w:tr w:rsidR="00C566B2" w14:paraId="0CD9D808" w14:textId="77777777" w:rsidTr="00C566B2">
        <w:trPr>
          <w:cnfStyle w:val="000000100000" w:firstRow="0" w:lastRow="0" w:firstColumn="0" w:lastColumn="0" w:oddVBand="0" w:evenVBand="0" w:oddHBand="1" w:evenHBand="0" w:firstRowFirstColumn="0" w:firstRowLastColumn="0" w:lastRowFirstColumn="0" w:lastRowLastColumn="0"/>
        </w:trPr>
        <w:tc>
          <w:tcPr>
            <w:tcW w:w="2875" w:type="dxa"/>
            <w:shd w:val="clear" w:color="auto" w:fill="DBE5F1"/>
            <w:vAlign w:val="center"/>
          </w:tcPr>
          <w:p w14:paraId="7FAF0BFF" w14:textId="77777777" w:rsidR="00C962C4" w:rsidRPr="00C04CDD" w:rsidRDefault="00000000" w:rsidP="006642F6">
            <w:pPr>
              <w:spacing w:after="120"/>
              <w:rPr>
                <w:b/>
                <w:sz w:val="22"/>
                <w:szCs w:val="22"/>
                <w:lang w:val="it-CH"/>
              </w:rPr>
            </w:pPr>
            <w:r>
              <w:rPr>
                <w:rFonts w:eastAsia="Times New Roman"/>
                <w:sz w:val="22"/>
                <w:szCs w:val="22"/>
                <w:lang w:val="pt-BR"/>
              </w:rPr>
              <w:t>Progresso</w:t>
            </w:r>
            <w:r>
              <w:rPr>
                <w:rFonts w:eastAsia="Times New Roman"/>
                <w:b/>
                <w:bCs/>
                <w:sz w:val="22"/>
                <w:szCs w:val="22"/>
                <w:lang w:val="pt-BR"/>
              </w:rPr>
              <w:t xml:space="preserve"> </w:t>
            </w:r>
            <w:r>
              <w:rPr>
                <w:rFonts w:eastAsia="Times New Roman"/>
                <w:sz w:val="22"/>
                <w:szCs w:val="22"/>
                <w:lang w:val="pt-BR"/>
              </w:rPr>
              <w:t>em direção à</w:t>
            </w:r>
            <w:r>
              <w:rPr>
                <w:rFonts w:eastAsia="Times New Roman"/>
                <w:b/>
                <w:bCs/>
                <w:sz w:val="22"/>
                <w:szCs w:val="22"/>
                <w:lang w:val="pt-BR"/>
              </w:rPr>
              <w:t xml:space="preserve"> </w:t>
            </w:r>
            <w:r>
              <w:rPr>
                <w:rFonts w:eastAsia="Times New Roman"/>
                <w:sz w:val="22"/>
                <w:szCs w:val="22"/>
                <w:lang w:val="pt-BR"/>
              </w:rPr>
              <w:t>proficiência</w:t>
            </w:r>
            <w:r>
              <w:rPr>
                <w:rFonts w:eastAsia="Times New Roman"/>
                <w:b/>
                <w:bCs/>
                <w:sz w:val="22"/>
                <w:szCs w:val="22"/>
                <w:lang w:val="pt-BR"/>
              </w:rPr>
              <w:t xml:space="preserve"> </w:t>
            </w:r>
            <w:r>
              <w:rPr>
                <w:rFonts w:eastAsia="Times New Roman"/>
                <w:sz w:val="22"/>
                <w:szCs w:val="22"/>
                <w:lang w:val="pt-BR"/>
              </w:rPr>
              <w:t>em</w:t>
            </w:r>
            <w:r>
              <w:rPr>
                <w:rFonts w:eastAsia="Times New Roman"/>
                <w:b/>
                <w:bCs/>
                <w:sz w:val="22"/>
                <w:szCs w:val="22"/>
                <w:lang w:val="pt-BR"/>
              </w:rPr>
              <w:t xml:space="preserve"> </w:t>
            </w:r>
            <w:r>
              <w:rPr>
                <w:rFonts w:eastAsia="Times New Roman"/>
                <w:sz w:val="22"/>
                <w:szCs w:val="22"/>
                <w:lang w:val="pt-BR"/>
              </w:rPr>
              <w:t>inglês</w:t>
            </w:r>
          </w:p>
        </w:tc>
        <w:tc>
          <w:tcPr>
            <w:tcW w:w="2160" w:type="dxa"/>
            <w:shd w:val="clear" w:color="auto" w:fill="DBE5F1"/>
            <w:vAlign w:val="center"/>
          </w:tcPr>
          <w:p w14:paraId="796C2487" w14:textId="77777777" w:rsidR="00286705" w:rsidRPr="00C04CDD" w:rsidRDefault="00000000" w:rsidP="006642F6">
            <w:pPr>
              <w:spacing w:after="120"/>
              <w:rPr>
                <w:sz w:val="22"/>
                <w:szCs w:val="22"/>
                <w:lang w:val="it-CH"/>
              </w:rPr>
            </w:pPr>
            <w:r>
              <w:rPr>
                <w:rFonts w:eastAsia="Times New Roman"/>
                <w:sz w:val="22"/>
                <w:szCs w:val="22"/>
                <w:lang w:val="pt-BR"/>
              </w:rPr>
              <w:t>Progresso em direção à proficiência em inglês</w:t>
            </w:r>
          </w:p>
        </w:tc>
        <w:tc>
          <w:tcPr>
            <w:tcW w:w="1350" w:type="dxa"/>
            <w:shd w:val="clear" w:color="auto" w:fill="DBE5F1"/>
            <w:vAlign w:val="center"/>
          </w:tcPr>
          <w:p w14:paraId="44C248A7" w14:textId="77777777" w:rsidR="00286705" w:rsidRPr="00997BDD" w:rsidRDefault="00000000" w:rsidP="00AC07E1">
            <w:pPr>
              <w:spacing w:after="120"/>
              <w:jc w:val="center"/>
              <w:rPr>
                <w:sz w:val="22"/>
                <w:szCs w:val="22"/>
              </w:rPr>
            </w:pPr>
            <w:r>
              <w:rPr>
                <w:rFonts w:eastAsia="Times New Roman"/>
                <w:sz w:val="22"/>
                <w:szCs w:val="22"/>
                <w:lang w:val="pt-BR"/>
              </w:rPr>
              <w:t>92,31</w:t>
            </w:r>
          </w:p>
        </w:tc>
        <w:tc>
          <w:tcPr>
            <w:tcW w:w="1170" w:type="dxa"/>
            <w:shd w:val="clear" w:color="auto" w:fill="DBE5F1"/>
            <w:vAlign w:val="center"/>
          </w:tcPr>
          <w:p w14:paraId="6C6A0103" w14:textId="77777777" w:rsidR="00286705" w:rsidRPr="00997BDD" w:rsidRDefault="00000000" w:rsidP="00AC07E1">
            <w:pPr>
              <w:spacing w:after="120"/>
              <w:jc w:val="center"/>
              <w:rPr>
                <w:sz w:val="22"/>
                <w:szCs w:val="22"/>
              </w:rPr>
            </w:pPr>
            <w:r>
              <w:rPr>
                <w:rFonts w:eastAsia="Times New Roman"/>
                <w:sz w:val="22"/>
                <w:szCs w:val="22"/>
                <w:lang w:val="pt-BR"/>
              </w:rPr>
              <w:t>20%</w:t>
            </w:r>
          </w:p>
        </w:tc>
        <w:tc>
          <w:tcPr>
            <w:tcW w:w="1800" w:type="dxa"/>
            <w:shd w:val="clear" w:color="auto" w:fill="DBE5F1"/>
            <w:vAlign w:val="center"/>
          </w:tcPr>
          <w:p w14:paraId="39B5C1D5" w14:textId="77777777" w:rsidR="00286705" w:rsidRPr="00997BDD" w:rsidRDefault="00000000" w:rsidP="00AC07E1">
            <w:pPr>
              <w:spacing w:after="120"/>
              <w:jc w:val="center"/>
              <w:rPr>
                <w:sz w:val="22"/>
                <w:szCs w:val="22"/>
              </w:rPr>
            </w:pPr>
            <w:r>
              <w:rPr>
                <w:rFonts w:eastAsia="Times New Roman"/>
                <w:sz w:val="22"/>
                <w:szCs w:val="22"/>
                <w:lang w:val="pt-BR"/>
              </w:rPr>
              <w:t>18,46</w:t>
            </w:r>
          </w:p>
        </w:tc>
      </w:tr>
      <w:tr w:rsidR="00C566B2" w14:paraId="38F98AB5" w14:textId="77777777" w:rsidTr="00C566B2">
        <w:tc>
          <w:tcPr>
            <w:tcW w:w="2875" w:type="dxa"/>
            <w:vAlign w:val="center"/>
          </w:tcPr>
          <w:p w14:paraId="1C41619B" w14:textId="77777777" w:rsidR="00C962C4" w:rsidRPr="00CC1CB4" w:rsidRDefault="00000000" w:rsidP="004B450D">
            <w:pPr>
              <w:spacing w:after="120"/>
              <w:rPr>
                <w:b/>
                <w:sz w:val="22"/>
                <w:szCs w:val="22"/>
                <w:lang w:val="es-ES"/>
              </w:rPr>
            </w:pPr>
            <w:r>
              <w:rPr>
                <w:rFonts w:eastAsia="Times New Roman"/>
                <w:b/>
                <w:bCs/>
                <w:sz w:val="22"/>
                <w:szCs w:val="22"/>
                <w:lang w:val="pt-BR"/>
              </w:rPr>
              <w:t xml:space="preserve"> </w:t>
            </w:r>
            <w:r>
              <w:rPr>
                <w:rFonts w:eastAsia="Times New Roman"/>
                <w:sz w:val="22"/>
                <w:szCs w:val="22"/>
                <w:lang w:val="pt-BR"/>
              </w:rPr>
              <w:t>Qualidade escolar</w:t>
            </w:r>
            <w:r>
              <w:rPr>
                <w:rFonts w:eastAsia="Times New Roman"/>
                <w:b/>
                <w:bCs/>
                <w:sz w:val="22"/>
                <w:szCs w:val="22"/>
                <w:lang w:val="pt-BR"/>
              </w:rPr>
              <w:t xml:space="preserve"> </w:t>
            </w:r>
            <w:r>
              <w:rPr>
                <w:rFonts w:eastAsia="Times New Roman"/>
                <w:sz w:val="22"/>
                <w:szCs w:val="22"/>
                <w:lang w:val="pt-BR"/>
              </w:rPr>
              <w:t>ou</w:t>
            </w:r>
            <w:r>
              <w:rPr>
                <w:rFonts w:eastAsia="Times New Roman"/>
                <w:b/>
                <w:bCs/>
                <w:sz w:val="22"/>
                <w:szCs w:val="22"/>
                <w:lang w:val="pt-BR"/>
              </w:rPr>
              <w:t xml:space="preserve"> </w:t>
            </w:r>
            <w:r>
              <w:rPr>
                <w:rFonts w:eastAsia="Times New Roman"/>
                <w:sz w:val="22"/>
                <w:szCs w:val="22"/>
                <w:lang w:val="pt-BR"/>
              </w:rPr>
              <w:t>sucesso do</w:t>
            </w:r>
            <w:r>
              <w:rPr>
                <w:rFonts w:eastAsia="Times New Roman"/>
                <w:b/>
                <w:bCs/>
                <w:sz w:val="22"/>
                <w:szCs w:val="22"/>
                <w:lang w:val="pt-BR"/>
              </w:rPr>
              <w:t xml:space="preserve"> </w:t>
            </w:r>
            <w:r>
              <w:rPr>
                <w:rFonts w:eastAsia="Times New Roman"/>
                <w:sz w:val="22"/>
                <w:szCs w:val="22"/>
                <w:lang w:val="pt-BR"/>
              </w:rPr>
              <w:t>aluno</w:t>
            </w:r>
          </w:p>
        </w:tc>
        <w:tc>
          <w:tcPr>
            <w:tcW w:w="2160" w:type="dxa"/>
            <w:vAlign w:val="center"/>
          </w:tcPr>
          <w:p w14:paraId="134A41B7" w14:textId="77777777" w:rsidR="00286705" w:rsidRPr="00997BDD" w:rsidRDefault="00000000" w:rsidP="004B450D">
            <w:pPr>
              <w:spacing w:after="120"/>
              <w:rPr>
                <w:sz w:val="22"/>
                <w:szCs w:val="22"/>
              </w:rPr>
            </w:pPr>
            <w:r>
              <w:rPr>
                <w:rFonts w:eastAsia="Times New Roman"/>
                <w:sz w:val="22"/>
                <w:szCs w:val="22"/>
                <w:lang w:val="pt-BR"/>
              </w:rPr>
              <w:t>Absenteísmo crônico</w:t>
            </w:r>
          </w:p>
        </w:tc>
        <w:tc>
          <w:tcPr>
            <w:tcW w:w="1350" w:type="dxa"/>
            <w:vAlign w:val="center"/>
          </w:tcPr>
          <w:p w14:paraId="22C7CB1F" w14:textId="77777777" w:rsidR="00286705" w:rsidRPr="00997BDD" w:rsidRDefault="00000000" w:rsidP="00AC07E1">
            <w:pPr>
              <w:spacing w:after="120"/>
              <w:jc w:val="center"/>
              <w:rPr>
                <w:sz w:val="22"/>
                <w:szCs w:val="22"/>
              </w:rPr>
            </w:pPr>
            <w:r>
              <w:rPr>
                <w:rFonts w:eastAsia="Times New Roman"/>
                <w:sz w:val="22"/>
                <w:szCs w:val="22"/>
                <w:lang w:val="pt-BR"/>
              </w:rPr>
              <w:t>28,61</w:t>
            </w:r>
          </w:p>
        </w:tc>
        <w:tc>
          <w:tcPr>
            <w:tcW w:w="1170" w:type="dxa"/>
            <w:vAlign w:val="center"/>
          </w:tcPr>
          <w:p w14:paraId="65C81C3B" w14:textId="77777777" w:rsidR="00286705" w:rsidRPr="00997BDD" w:rsidRDefault="00000000" w:rsidP="00AC07E1">
            <w:pPr>
              <w:spacing w:after="120"/>
              <w:jc w:val="center"/>
              <w:rPr>
                <w:sz w:val="22"/>
                <w:szCs w:val="22"/>
              </w:rPr>
            </w:pPr>
            <w:r>
              <w:rPr>
                <w:rFonts w:eastAsia="Times New Roman"/>
                <w:sz w:val="22"/>
                <w:szCs w:val="22"/>
                <w:lang w:val="pt-BR"/>
              </w:rPr>
              <w:t>10%</w:t>
            </w:r>
          </w:p>
        </w:tc>
        <w:tc>
          <w:tcPr>
            <w:tcW w:w="1800" w:type="dxa"/>
            <w:vAlign w:val="center"/>
          </w:tcPr>
          <w:p w14:paraId="48EFF792" w14:textId="77777777" w:rsidR="00286705" w:rsidRPr="00997BDD" w:rsidRDefault="00000000" w:rsidP="00AC07E1">
            <w:pPr>
              <w:spacing w:after="120"/>
              <w:jc w:val="center"/>
              <w:rPr>
                <w:sz w:val="22"/>
                <w:szCs w:val="22"/>
              </w:rPr>
            </w:pPr>
            <w:r>
              <w:rPr>
                <w:rFonts w:eastAsia="Times New Roman"/>
                <w:sz w:val="22"/>
                <w:szCs w:val="22"/>
                <w:lang w:val="pt-BR"/>
              </w:rPr>
              <w:t>2,86</w:t>
            </w:r>
          </w:p>
        </w:tc>
      </w:tr>
    </w:tbl>
    <w:p w14:paraId="584B2675" w14:textId="77777777" w:rsidR="005B0740" w:rsidRPr="00CC1CB4" w:rsidRDefault="00000000" w:rsidP="00F61971">
      <w:pPr>
        <w:spacing w:before="240"/>
        <w:rPr>
          <w:rFonts w:cs="Times New Roman"/>
          <w:lang w:val="es-ES"/>
        </w:rPr>
      </w:pPr>
      <w:r>
        <w:rPr>
          <w:rFonts w:eastAsia="Times New Roman" w:cs="Times New Roman"/>
          <w:lang w:val="pt-BR"/>
        </w:rPr>
        <w:t>Para calcular a pontuação somativa, com base nos dados acima, você somaria a soma da última coluna, os pontos ganhos em relação à pontuação somativa, para todos os indicadores. Isso resultaria em uma pontuação somativa de 70,3.</w:t>
      </w:r>
    </w:p>
    <w:p w14:paraId="560F3523" w14:textId="77777777" w:rsidR="00496E03" w:rsidRPr="00CC1CB4" w:rsidRDefault="00000000" w:rsidP="6B71CBC4">
      <w:pPr>
        <w:rPr>
          <w:rFonts w:cs="Times New Roman"/>
          <w:lang w:val="es-ES"/>
        </w:rPr>
      </w:pPr>
      <w:r>
        <w:rPr>
          <w:rFonts w:eastAsia="Times New Roman" w:cs="Times New Roman"/>
          <w:lang w:val="pt-BR"/>
        </w:rPr>
        <w:t xml:space="preserve">A classificação somativa seria calculada pela determinação da classificação percentual da pontuação somativa em comparação com todas as outras escolas de ensino médio do estado. Por exemplo, essa </w:t>
      </w:r>
      <w:r>
        <w:rPr>
          <w:rFonts w:eastAsia="Times New Roman" w:cs="Times New Roman"/>
          <w:lang w:val="pt-BR"/>
        </w:rPr>
        <w:lastRenderedPageBreak/>
        <w:t>escola pode receber uma classificação somativa de 75, o que significa que sua pontuação somativa de 70,3 é tão boa ou melhor que 75% das pontuações somativas de outras escolas de ensino médio no estado.</w:t>
      </w:r>
    </w:p>
    <w:p w14:paraId="2076695E" w14:textId="77777777" w:rsidR="00496E03" w:rsidRPr="00CC1CB4" w:rsidRDefault="00000000" w:rsidP="0080257B">
      <w:pPr>
        <w:pStyle w:val="5"/>
        <w:rPr>
          <w:lang w:val="es-ES"/>
        </w:rPr>
      </w:pPr>
      <w:r>
        <w:rPr>
          <w:rFonts w:ascii="Cambria" w:eastAsia="Cambria" w:hAnsi="Cambria" w:cs="Times New Roman"/>
          <w:bCs/>
          <w:lang w:val="pt-BR"/>
        </w:rPr>
        <w:t>Justificativa: Por que classificações percentuais?</w:t>
      </w:r>
    </w:p>
    <w:p w14:paraId="79B4F2F8" w14:textId="77777777" w:rsidR="00496E03" w:rsidRPr="00CC1CB4" w:rsidRDefault="00000000" w:rsidP="00496E03">
      <w:pPr>
        <w:rPr>
          <w:rFonts w:cs="Times New Roman"/>
          <w:lang w:val="es-ES"/>
        </w:rPr>
      </w:pPr>
      <w:r>
        <w:rPr>
          <w:rFonts w:eastAsia="Times New Roman" w:cs="Times New Roman"/>
          <w:lang w:val="pt-BR"/>
        </w:rPr>
        <w:t>O NJDOE optou por usar classificações de percentis para seus cálculos de pontuação dos indicadores e classificações somativas por vários motivos. Primeiro, as classificações de percentis fornecem às escolas, famílias e ao público uma medida clara e fácil de entender sobre como as escolas estão se saindo nos indicadores no sistema de responsabilidade e apoio escolar em relação a outras escolas no estado na mesma categoria (ou seja, ensino fundamental e médio, ensino médio e escolas de configuração mista). As classificações são relativas; a classificação de uma escola depende inteiramente de como ela se sai nos indicadores incluídos em comparação com outras escolas do estado.</w:t>
      </w:r>
    </w:p>
    <w:p w14:paraId="2DD9FA4C" w14:textId="77777777" w:rsidR="00FF601C" w:rsidRPr="00CC1CB4" w:rsidRDefault="00000000" w:rsidP="4EA93CB1">
      <w:pPr>
        <w:rPr>
          <w:rStyle w:val="NJDOEResponse"/>
          <w:lang w:val="es-ES"/>
        </w:rPr>
      </w:pPr>
      <w:r>
        <w:rPr>
          <w:rFonts w:eastAsia="Times New Roman" w:cs="Times New Roman"/>
          <w:lang w:val="pt-BR"/>
        </w:rPr>
        <w:t>Anualmente, o NJDOE usará os níveis de desempenho dos grupos escolar e estudantil para identificar escolas consistentemente com baixo desempenho para suporte e melhoria direcionados. A cada três anos, as pontuações somativas serão usadas para identificar escolas que precisam de suporte e melhoria abrangentes ou adicionais com base em todos os indicadores, de acordo com os sistemas de ponderação e identificação descritos acima.</w:t>
      </w:r>
    </w:p>
    <w:p w14:paraId="1E640629" w14:textId="77777777" w:rsidR="00BC6275" w:rsidRPr="00CC1CB4" w:rsidRDefault="00000000">
      <w:pPr>
        <w:rPr>
          <w:rStyle w:val="NJDOEResponse"/>
          <w:lang w:val="es-ES"/>
        </w:rPr>
      </w:pPr>
      <w:r>
        <w:rPr>
          <w:rStyle w:val="NJDOEResponse"/>
          <w:rFonts w:eastAsia="Times New Roman"/>
          <w:color w:val="365F91"/>
          <w:lang w:val="pt-BR"/>
        </w:rPr>
        <w:t>[finalizar resposta do NJDOE]</w:t>
      </w:r>
    </w:p>
    <w:p w14:paraId="7E4D107B" w14:textId="77777777" w:rsidR="00FF601C" w:rsidRPr="00CC1CB4" w:rsidRDefault="00000000" w:rsidP="0033357B">
      <w:pPr>
        <w:pStyle w:val="BeginUSED"/>
        <w:rPr>
          <w:rFonts w:cs="Times New Roman"/>
          <w:lang w:val="es-ES"/>
        </w:rPr>
      </w:pPr>
      <w:r>
        <w:rPr>
          <w:rFonts w:eastAsia="Times New Roman"/>
          <w:color w:val="FFFFFF"/>
          <w:szCs w:val="4"/>
          <w:lang w:val="pt-BR"/>
        </w:rPr>
        <w:t>[iniciar o texto do USED]</w:t>
      </w:r>
    </w:p>
    <w:p w14:paraId="6D7E4AB9" w14:textId="77777777" w:rsidR="008C66A8" w:rsidRPr="00CC1CB4" w:rsidRDefault="00000000" w:rsidP="00356A29">
      <w:pPr>
        <w:pStyle w:val="4"/>
        <w:spacing w:before="0"/>
        <w:ind w:left="288"/>
        <w:rPr>
          <w:lang w:val="es-ES"/>
        </w:rPr>
      </w:pPr>
      <w:bookmarkStart w:id="89" w:name="_Toc199403703"/>
      <w:r>
        <w:rPr>
          <w:rFonts w:ascii="Cambria" w:eastAsia="Cambria" w:hAnsi="Cambria" w:cs="Arial"/>
          <w:szCs w:val="24"/>
          <w:lang w:val="pt-BR"/>
        </w:rPr>
        <w:t>c. Metodologias</w:t>
      </w:r>
      <w:bookmarkEnd w:id="89"/>
    </w:p>
    <w:p w14:paraId="210587C8" w14:textId="77777777" w:rsidR="00117B56" w:rsidRPr="00CC1CB4" w:rsidRDefault="00000000" w:rsidP="00094BF7">
      <w:pPr>
        <w:pStyle w:val="blue"/>
        <w:ind w:left="288"/>
        <w:rPr>
          <w:lang w:val="es-ES"/>
        </w:rPr>
      </w:pPr>
      <w:r>
        <w:rPr>
          <w:rFonts w:ascii="Cambria" w:eastAsia="Cambria" w:hAnsi="Cambria"/>
          <w:lang w:val="pt-BR"/>
        </w:rPr>
        <w:t xml:space="preserve">Se os estados usarem uma metodologia ou metodologias diferentes para diferenciação anual significativa daquela descrita na seção 4.v.a. acima para escolas para as quais uma determinação de responsabilidade não pode ser feita (por exemplo, escolas P–2), descreva a metodologia ou metodologias diferentes, indicando o(s) tipo(s) de escolas às quais se aplica. </w:t>
      </w:r>
    </w:p>
    <w:p w14:paraId="6C36BEC6" w14:textId="77777777" w:rsidR="004E454A" w:rsidRPr="00CC1CB4" w:rsidRDefault="00000000" w:rsidP="0033357B">
      <w:pPr>
        <w:pStyle w:val="EndUSED"/>
        <w:rPr>
          <w:rStyle w:val="NJDOEResponse"/>
          <w:color w:val="auto"/>
          <w:lang w:val="es-ES"/>
        </w:rPr>
      </w:pPr>
      <w:r>
        <w:rPr>
          <w:rFonts w:eastAsia="Times New Roman"/>
          <w:color w:val="FFFFFF"/>
          <w:szCs w:val="4"/>
          <w:lang w:val="pt-BR"/>
        </w:rPr>
        <w:t>[finalizar texto do USED]</w:t>
      </w:r>
    </w:p>
    <w:p w14:paraId="0B4197D6" w14:textId="77777777" w:rsidR="00E63562" w:rsidRPr="00CC1CB4" w:rsidRDefault="00000000" w:rsidP="00127B02">
      <w:pPr>
        <w:spacing w:before="240"/>
        <w:rPr>
          <w:rStyle w:val="NJDOEResponse"/>
          <w:color w:val="000000" w:themeColor="text1"/>
          <w:lang w:val="es-ES"/>
        </w:rPr>
      </w:pPr>
      <w:r>
        <w:rPr>
          <w:rStyle w:val="NJDOEResponse"/>
          <w:rFonts w:eastAsia="Times New Roman"/>
          <w:color w:val="365F91"/>
          <w:lang w:val="pt-BR"/>
        </w:rPr>
        <w:t>[iniciar a resposta do NJDOE]</w:t>
      </w:r>
    </w:p>
    <w:p w14:paraId="6E6AA16A" w14:textId="77777777" w:rsidR="00A2284C" w:rsidRPr="00CC1CB4" w:rsidRDefault="00000000" w:rsidP="00AF2D8B">
      <w:pPr>
        <w:rPr>
          <w:rStyle w:val="NJDOEResponse"/>
          <w:color w:val="auto"/>
          <w:lang w:val="es-ES"/>
        </w:rPr>
      </w:pPr>
      <w:r>
        <w:rPr>
          <w:rStyle w:val="NJDOEResponse"/>
          <w:rFonts w:eastAsia="Times New Roman"/>
          <w:color w:val="000000"/>
          <w:lang w:val="pt-BR"/>
        </w:rPr>
        <w:t xml:space="preserve">Embora todas as escolas recebam níveis de desempenho para indicadores que atendam ao número </w:t>
      </w:r>
      <w:r>
        <w:rPr>
          <w:rStyle w:val="NJDOEResponse"/>
          <w:rFonts w:eastAsia="Times New Roman"/>
          <w:i/>
          <w:iCs/>
          <w:color w:val="000000"/>
          <w:lang w:val="pt-BR"/>
        </w:rPr>
        <w:t>n</w:t>
      </w:r>
      <w:r>
        <w:rPr>
          <w:rStyle w:val="NJDOEResponse"/>
          <w:rFonts w:eastAsia="Times New Roman"/>
          <w:color w:val="000000"/>
          <w:lang w:val="pt-BR"/>
        </w:rPr>
        <w:t xml:space="preserve"> mínimo, nos casos em que uma escola tenha dados para poucos indicadores, uma pontuação somativa não pode ser calculada. Em vez disso, uma metodologia alternativa será usada para identificar escolas para apoio e melhoria. O tipo de metodologia alternativa usada é determinado pela configuração de uma escola e pelos dados disponíveis.</w:t>
      </w:r>
      <w:r>
        <w:rPr>
          <w:rStyle w:val="NJDOEResponse"/>
          <w:rFonts w:eastAsia="Times New Roman"/>
          <w:color w:val="auto"/>
          <w:lang w:val="pt-BR"/>
        </w:rPr>
        <w:t xml:space="preserve"> </w:t>
      </w:r>
    </w:p>
    <w:p w14:paraId="0BBF53F3" w14:textId="77777777" w:rsidR="00A21464" w:rsidRPr="00CC1CB4" w:rsidRDefault="00000000" w:rsidP="00C24756">
      <w:pPr>
        <w:pStyle w:val="5"/>
        <w:rPr>
          <w:lang w:val="es-ES"/>
        </w:rPr>
      </w:pPr>
      <w:r>
        <w:rPr>
          <w:rFonts w:ascii="Cambria" w:eastAsia="Cambria" w:hAnsi="Cambria" w:cs="Times New Roman"/>
          <w:bCs/>
          <w:lang w:val="pt-BR"/>
        </w:rPr>
        <w:t>Pontuação somativa modificada</w:t>
      </w:r>
    </w:p>
    <w:p w14:paraId="46044F3E" w14:textId="77777777" w:rsidR="004568DE" w:rsidRPr="00CC1CB4" w:rsidRDefault="00000000" w:rsidP="6B71CBC4">
      <w:pPr>
        <w:pStyle w:val="RedParagraph"/>
        <w:spacing w:after="200" w:line="276" w:lineRule="auto"/>
        <w:rPr>
          <w:sz w:val="22"/>
          <w:szCs w:val="22"/>
          <w:lang w:val="es-ES"/>
        </w:rPr>
      </w:pPr>
      <w:r>
        <w:rPr>
          <w:rFonts w:eastAsia="Times New Roman"/>
          <w:color w:val="000000"/>
          <w:sz w:val="22"/>
          <w:szCs w:val="22"/>
          <w:lang w:val="pt-BR"/>
        </w:rPr>
        <w:t xml:space="preserve">Escolas com dados de realização acadêmica disponíveis, mas sem dados de progresso acadêmico ou formação disponíveis (por exemplo, escolas de ensino fundamental e médio ou de 9 a 10 anos) serão avaliadas com base em uma pontuação somativa modificada usando os dados disponíveis (realização acadêmica, progresso em direção à proficiência em inglês e absenteísmo crônico). </w:t>
      </w:r>
    </w:p>
    <w:p w14:paraId="2E60DFAE" w14:textId="77777777" w:rsidR="00A21464" w:rsidRPr="00CC1CB4" w:rsidRDefault="00000000" w:rsidP="00C24756">
      <w:pPr>
        <w:pStyle w:val="5"/>
        <w:rPr>
          <w:lang w:val="es-ES"/>
        </w:rPr>
      </w:pPr>
      <w:r>
        <w:rPr>
          <w:rFonts w:ascii="Cambria" w:eastAsia="Cambria" w:hAnsi="Cambria" w:cs="Times New Roman"/>
          <w:bCs/>
          <w:lang w:val="pt-BR"/>
        </w:rPr>
        <w:t>Vinculação de escolas de ensino fundamental</w:t>
      </w:r>
    </w:p>
    <w:p w14:paraId="5571EE1A" w14:textId="77777777" w:rsidR="004568DE" w:rsidRPr="00CC1CB4" w:rsidRDefault="00000000" w:rsidP="004568DE">
      <w:pPr>
        <w:rPr>
          <w:lang w:val="es-ES"/>
        </w:rPr>
      </w:pPr>
      <w:r>
        <w:rPr>
          <w:rStyle w:val="Red"/>
          <w:rFonts w:eastAsia="Times New Roman" w:cs="Times New Roman"/>
          <w:color w:val="auto"/>
          <w:lang w:val="pt-BR"/>
        </w:rPr>
        <w:t xml:space="preserve">As escolas de ensino fundamental sem um nível de série avaliado (por exemplo, escolas que atendem apenas o jardim de infância até o 2º ano) estão ligadas às suas respectivas escolas receptoras que </w:t>
      </w:r>
      <w:r>
        <w:rPr>
          <w:rStyle w:val="Red"/>
          <w:rFonts w:eastAsia="Times New Roman" w:cs="Times New Roman"/>
          <w:color w:val="auto"/>
          <w:lang w:val="pt-BR"/>
        </w:rPr>
        <w:lastRenderedPageBreak/>
        <w:t>avaliaram os níveis de ano e trataram como uma única unidade para fins de responsabilização escolar. Para fins de determinação, apenas os dados da escola receptora serão usados. Escolas fretadas sem níveis de ano avaliados serão avaliadas com base na</w:t>
      </w:r>
      <w:hyperlink r:id="rId35" w:history="1">
        <w:r w:rsidR="004568DE">
          <w:rPr>
            <w:rStyle w:val="Red"/>
            <w:rFonts w:eastAsia="Times New Roman" w:cs="Times New Roman"/>
            <w:color w:val="0000FF"/>
            <w:u w:val="single"/>
            <w:lang w:val="pt-BR"/>
          </w:rPr>
          <w:t xml:space="preserve"> Estrutura de desempenho fretado</w:t>
        </w:r>
      </w:hyperlink>
      <w:r>
        <w:rPr>
          <w:rStyle w:val="Red"/>
          <w:rFonts w:eastAsia="Times New Roman" w:cs="Times New Roman"/>
          <w:color w:val="auto"/>
          <w:lang w:val="pt-BR"/>
        </w:rPr>
        <w:t>.</w:t>
      </w:r>
    </w:p>
    <w:p w14:paraId="0EC837C3" w14:textId="77777777" w:rsidR="00110516" w:rsidRPr="00CC1CB4" w:rsidRDefault="00000000" w:rsidP="00C24756">
      <w:pPr>
        <w:pStyle w:val="5"/>
        <w:rPr>
          <w:lang w:val="es-ES"/>
        </w:rPr>
      </w:pPr>
      <w:r>
        <w:rPr>
          <w:rFonts w:ascii="Cambria" w:eastAsia="Cambria" w:hAnsi="Cambria" w:cs="Times New Roman"/>
          <w:bCs/>
          <w:lang w:val="pt-BR"/>
        </w:rPr>
        <w:t>Metodologias alternativas do ensino médio</w:t>
      </w:r>
    </w:p>
    <w:p w14:paraId="320FDEED" w14:textId="77777777" w:rsidR="001A449B" w:rsidRPr="00CC1CB4" w:rsidRDefault="00000000" w:rsidP="6B71CBC4">
      <w:pPr>
        <w:pStyle w:val="RedParagraph"/>
        <w:spacing w:after="200" w:line="276" w:lineRule="auto"/>
        <w:rPr>
          <w:color w:val="auto"/>
          <w:sz w:val="22"/>
          <w:szCs w:val="22"/>
          <w:lang w:val="es-ES"/>
        </w:rPr>
      </w:pPr>
      <w:r>
        <w:rPr>
          <w:rFonts w:eastAsia="Times New Roman"/>
          <w:color w:val="000000"/>
          <w:sz w:val="22"/>
          <w:szCs w:val="22"/>
          <w:lang w:val="pt-BR"/>
        </w:rPr>
        <w:t>Nas LEAs, onde os anos 9 a 12 são divididos em várias escolas de ensino médio (por exemplo, uma escola do 9º ao 10º ano e uma escola do 11º ao 12º ano), as escolas serão vinculadas e tratadas como uma única unidade para fins de responsabilização escolar.</w:t>
      </w:r>
    </w:p>
    <w:p w14:paraId="25E7EE96" w14:textId="77777777" w:rsidR="00110516" w:rsidRPr="00CC1CB4" w:rsidRDefault="00000000" w:rsidP="6B71CBC4">
      <w:pPr>
        <w:pStyle w:val="RedParagraph"/>
        <w:spacing w:after="200" w:line="276" w:lineRule="auto"/>
        <w:rPr>
          <w:color w:val="auto"/>
          <w:sz w:val="22"/>
          <w:szCs w:val="22"/>
          <w:lang w:val="es-ES"/>
        </w:rPr>
      </w:pPr>
      <w:r>
        <w:rPr>
          <w:rFonts w:eastAsia="Times New Roman"/>
          <w:color w:val="000000"/>
          <w:sz w:val="22"/>
          <w:szCs w:val="22"/>
          <w:lang w:val="pt-BR"/>
        </w:rPr>
        <w:t xml:space="preserve">Ensino médio que tenham dados de taxa de formação, mas não atendam ao número </w:t>
      </w:r>
      <w:r>
        <w:rPr>
          <w:rFonts w:eastAsia="Times New Roman"/>
          <w:i/>
          <w:iCs/>
          <w:color w:val="000000"/>
          <w:sz w:val="22"/>
          <w:szCs w:val="22"/>
          <w:lang w:val="pt-BR"/>
        </w:rPr>
        <w:t>n</w:t>
      </w:r>
      <w:r>
        <w:rPr>
          <w:rFonts w:eastAsia="Times New Roman"/>
          <w:color w:val="000000"/>
          <w:sz w:val="22"/>
          <w:szCs w:val="22"/>
          <w:lang w:val="pt-BR"/>
        </w:rPr>
        <w:t xml:space="preserve"> mínimo para dados de avaliação (por exemplo, escolas que atendem apenas ao 11º a 12º ano) serão identificadas para apoio e melhoria abrangentes se a taxa de formação de quatro anos for igual ou inferior a 67 por cento ou a taxa de formação de cinco anos for igual ou inferior a 68 por cento. </w:t>
      </w:r>
    </w:p>
    <w:p w14:paraId="4DB8A4B7" w14:textId="77777777" w:rsidR="00185C83" w:rsidRPr="00CC1CB4" w:rsidRDefault="00000000" w:rsidP="00C24756">
      <w:pPr>
        <w:pStyle w:val="5"/>
        <w:rPr>
          <w:lang w:val="es-ES"/>
        </w:rPr>
      </w:pPr>
      <w:r>
        <w:rPr>
          <w:rFonts w:ascii="Cambria" w:eastAsia="Cambria" w:hAnsi="Cambria" w:cs="Times New Roman"/>
          <w:bCs/>
          <w:lang w:val="pt-BR"/>
        </w:rPr>
        <w:t>Pequenas escolas</w:t>
      </w:r>
    </w:p>
    <w:p w14:paraId="3F93F179" w14:textId="77777777" w:rsidR="00110516" w:rsidRPr="00CC1CB4" w:rsidRDefault="00000000" w:rsidP="2D66CCC3">
      <w:pPr>
        <w:rPr>
          <w:rFonts w:cs="Times New Roman"/>
          <w:lang w:val="es-ES"/>
        </w:rPr>
      </w:pPr>
      <w:r>
        <w:rPr>
          <w:rFonts w:eastAsia="Times New Roman" w:cs="Times New Roman"/>
          <w:lang w:val="pt-BR"/>
        </w:rPr>
        <w:t xml:space="preserve">No caso raro de uma escola ser muito pequena para determinar as classificações de responsabilidade escolar, ela será avaliada por meio de uma análise abrangente usando dados disponíveis e outras estruturas de responsabilidade aplicáveis, como Perkins para escolas vocacionais ou a Estrutura de desempenho fretado para escolas fretadas. </w:t>
      </w:r>
    </w:p>
    <w:p w14:paraId="29A38580" w14:textId="77777777" w:rsidR="00110516" w:rsidRPr="00CC1CB4" w:rsidRDefault="00000000" w:rsidP="00C24756">
      <w:pPr>
        <w:pStyle w:val="5"/>
        <w:rPr>
          <w:lang w:val="es-ES"/>
        </w:rPr>
      </w:pPr>
      <w:r>
        <w:rPr>
          <w:rFonts w:ascii="Cambria" w:eastAsia="Cambria" w:hAnsi="Cambria" w:cs="Times New Roman"/>
          <w:bCs/>
          <w:lang w:val="pt-BR"/>
        </w:rPr>
        <w:t>Inclusão escolar e estudantil no sistema de responsabilidade</w:t>
      </w:r>
    </w:p>
    <w:p w14:paraId="0145517A" w14:textId="77777777" w:rsidR="0077230F" w:rsidRPr="00CC1CB4" w:rsidRDefault="00000000" w:rsidP="00110516">
      <w:pPr>
        <w:rPr>
          <w:rFonts w:cs="Times New Roman"/>
          <w:lang w:val="es-ES"/>
        </w:rPr>
      </w:pPr>
      <w:r>
        <w:rPr>
          <w:rFonts w:eastAsia="Times New Roman" w:cs="Times New Roman"/>
          <w:lang w:val="pt-BR"/>
        </w:rPr>
        <w:t>Quaisquer escolas identificadas como escolas regulares ou escolas vocacionais, com base nas definições de tipo de escola federal e estadual, serão incluídas no sistema de responsabilidade do estado. Para escolas que se enquadram em outros tipos de escolas federais ou estaduais, como escolas de educação especial ou escolas vocacionais de tempo compartilhado, os alunos serão incluídos nos dados de responsabilidade de suas escolas remetentes. Da mesma forma, alunos de educação especial atendidos em escolas particulares também serão incluídos nos resultados de responsabilidade das escolas emissoras. Isso garante que as decisões de colocação sejam analisadas de perto nos níveis da escola emissora e da LEA. Para escolas vocacionais de tempo compartilhado, as escolas emissoras ainda fornecem e são responsáveis pelos programas acadêmicos, serviços e resultados para os alunos.</w:t>
      </w:r>
    </w:p>
    <w:p w14:paraId="5B535DDB" w14:textId="77777777" w:rsidR="00F55F3D" w:rsidRPr="00CC1CB4" w:rsidRDefault="00000000" w:rsidP="00C26813">
      <w:pPr>
        <w:rPr>
          <w:rStyle w:val="NJDOEResponse"/>
          <w:lang w:val="es-ES"/>
        </w:rPr>
      </w:pPr>
      <w:r>
        <w:rPr>
          <w:rStyle w:val="NJDOEResponse"/>
          <w:rFonts w:eastAsia="Times New Roman"/>
          <w:color w:val="365F91"/>
          <w:lang w:val="pt-BR"/>
        </w:rPr>
        <w:t>[finalizar resposta do NJDOE]</w:t>
      </w:r>
    </w:p>
    <w:p w14:paraId="28447EAA" w14:textId="77777777" w:rsidR="0033357B" w:rsidRPr="00CC1CB4" w:rsidRDefault="00000000" w:rsidP="0033357B">
      <w:pPr>
        <w:pStyle w:val="BeginUSED"/>
        <w:rPr>
          <w:lang w:val="es-ES"/>
        </w:rPr>
      </w:pPr>
      <w:r>
        <w:rPr>
          <w:rFonts w:eastAsia="Times New Roman"/>
          <w:color w:val="FFFFFF"/>
          <w:szCs w:val="4"/>
          <w:lang w:val="pt-BR"/>
        </w:rPr>
        <w:t xml:space="preserve">[iniciar o texto do USED] </w:t>
      </w:r>
    </w:p>
    <w:p w14:paraId="66BC1879" w14:textId="7F2B5083" w:rsidR="00B74B50" w:rsidRPr="00CC1CB4" w:rsidRDefault="0083645B" w:rsidP="0083645B">
      <w:pPr>
        <w:pStyle w:val="3"/>
        <w:spacing w:before="0"/>
        <w:rPr>
          <w:lang w:val="es-ES"/>
        </w:rPr>
      </w:pPr>
      <w:bookmarkStart w:id="90" w:name="_Toc211004643"/>
      <w:r>
        <w:rPr>
          <w:rFonts w:ascii="Cambria" w:eastAsia="Cambria" w:hAnsi="Cambria" w:cs="Times New Roman"/>
          <w:szCs w:val="28"/>
          <w:lang w:val="pt-BR"/>
        </w:rPr>
        <w:t>vi. Identificação das escolas (ESEA seção 1111(c)(4)(D))</w:t>
      </w:r>
      <w:bookmarkEnd w:id="90"/>
      <w:r>
        <w:rPr>
          <w:rFonts w:ascii="Cambria" w:eastAsia="Cambria" w:hAnsi="Cambria" w:cs="Times New Roman"/>
          <w:szCs w:val="28"/>
          <w:lang w:val="pt-BR"/>
        </w:rPr>
        <w:t xml:space="preserve"> </w:t>
      </w:r>
    </w:p>
    <w:p w14:paraId="5903B631" w14:textId="77777777" w:rsidR="00C24756" w:rsidRPr="00CC1CB4" w:rsidRDefault="00000000" w:rsidP="00292AD7">
      <w:pPr>
        <w:pStyle w:val="4"/>
        <w:ind w:left="288"/>
        <w:rPr>
          <w:lang w:val="es-ES"/>
        </w:rPr>
      </w:pPr>
      <w:bookmarkStart w:id="91" w:name="_Toc199403705"/>
      <w:bookmarkStart w:id="92" w:name="_Hlk171334058"/>
      <w:r>
        <w:rPr>
          <w:rFonts w:ascii="Cambria" w:eastAsia="Cambria" w:hAnsi="Cambria" w:cs="Arial"/>
          <w:szCs w:val="24"/>
          <w:lang w:val="pt-BR"/>
        </w:rPr>
        <w:t>a–d: Escolas abrangentes de suporte e melhoria</w:t>
      </w:r>
      <w:bookmarkEnd w:id="91"/>
    </w:p>
    <w:bookmarkEnd w:id="92"/>
    <w:p w14:paraId="7E7166A4" w14:textId="77777777" w:rsidR="001875DD" w:rsidRPr="00CC1CB4" w:rsidRDefault="00000000" w:rsidP="00094BF7">
      <w:pPr>
        <w:pStyle w:val="a6"/>
        <w:numPr>
          <w:ilvl w:val="1"/>
          <w:numId w:val="13"/>
        </w:numPr>
        <w:ind w:left="792"/>
        <w:rPr>
          <w:rFonts w:asciiTheme="majorHAnsi" w:eastAsia="Times New Roman" w:hAnsiTheme="majorHAnsi" w:cs="Times New Roman"/>
          <w:color w:val="244061" w:themeColor="accent1" w:themeShade="80"/>
          <w:lang w:val="es-ES"/>
        </w:rPr>
      </w:pPr>
      <w:r>
        <w:rPr>
          <w:rFonts w:ascii="Cambria" w:eastAsia="Cambria" w:hAnsi="Cambria" w:cs="Times New Roman"/>
          <w:b/>
          <w:bCs/>
          <w:color w:val="244061"/>
          <w:lang w:val="pt-BR"/>
        </w:rPr>
        <w:t xml:space="preserve">Escolas abrangentes de suporte e melhoria. </w:t>
      </w:r>
      <w:r>
        <w:rPr>
          <w:rFonts w:ascii="Cambria" w:eastAsia="Cambria" w:hAnsi="Cambria" w:cs="Times New Roman"/>
          <w:color w:val="244061"/>
          <w:lang w:val="pt-BR"/>
        </w:rPr>
        <w:t xml:space="preserve">Descrever a metodologia do estado para identificar não menos do que os cinco por cento de baixo desempenho de todas as escolas que recebem fundos do Título I, Parte A no estado para apoio e melhoria abrangentes, incluindo o ano em que o estado identificará tais escolas pela primeira vez. </w:t>
      </w:r>
    </w:p>
    <w:p w14:paraId="5F7B908C" w14:textId="77777777" w:rsidR="001875DD" w:rsidRPr="00CC1CB4" w:rsidRDefault="00000000" w:rsidP="00094BF7">
      <w:pPr>
        <w:pStyle w:val="a6"/>
        <w:numPr>
          <w:ilvl w:val="1"/>
          <w:numId w:val="13"/>
        </w:numPr>
        <w:ind w:left="792"/>
        <w:rPr>
          <w:rFonts w:asciiTheme="majorHAnsi" w:eastAsia="Times New Roman" w:hAnsiTheme="majorHAnsi" w:cs="Times New Roman"/>
          <w:color w:val="244061" w:themeColor="accent1" w:themeShade="80"/>
          <w:lang w:val="es-ES"/>
        </w:rPr>
      </w:pPr>
      <w:r>
        <w:rPr>
          <w:rFonts w:ascii="Cambria" w:eastAsia="Cambria" w:hAnsi="Cambria" w:cs="Times New Roman"/>
          <w:b/>
          <w:bCs/>
          <w:color w:val="244061"/>
          <w:lang w:val="pt-BR"/>
        </w:rPr>
        <w:t xml:space="preserve">Escolas abrangentes de suporte e melhoria. </w:t>
      </w:r>
      <w:r>
        <w:rPr>
          <w:rFonts w:ascii="Cambria" w:eastAsia="Cambria" w:hAnsi="Cambria" w:cs="Times New Roman"/>
          <w:color w:val="244061"/>
          <w:lang w:val="pt-BR"/>
        </w:rPr>
        <w:t xml:space="preserve">Descrever a metodologia do estado para identificar todas as escolas públicas de ensino médio no estado que não conseguiram se formar em um terço ou mais de seus alunos para apoio e melhoria abrangentes, incluindo o ano em que o estado identificará primeiro essas escolas. </w:t>
      </w:r>
    </w:p>
    <w:p w14:paraId="22652526" w14:textId="77777777" w:rsidR="001875DD" w:rsidRPr="00CC1CB4" w:rsidRDefault="00000000" w:rsidP="00094BF7">
      <w:pPr>
        <w:pStyle w:val="a6"/>
        <w:numPr>
          <w:ilvl w:val="1"/>
          <w:numId w:val="13"/>
        </w:numPr>
        <w:ind w:left="792"/>
        <w:rPr>
          <w:rFonts w:asciiTheme="majorHAnsi" w:eastAsia="Times New Roman" w:hAnsiTheme="majorHAnsi" w:cs="Times New Roman"/>
          <w:color w:val="244061" w:themeColor="accent1" w:themeShade="80"/>
          <w:lang w:val="es-ES"/>
        </w:rPr>
      </w:pPr>
      <w:r>
        <w:rPr>
          <w:rFonts w:ascii="Cambria" w:eastAsia="Cambria" w:hAnsi="Cambria" w:cs="Times New Roman"/>
          <w:b/>
          <w:bCs/>
          <w:color w:val="244061"/>
          <w:lang w:val="pt-BR"/>
        </w:rPr>
        <w:lastRenderedPageBreak/>
        <w:t>Escolas abrangentes de suporte e melhoria.</w:t>
      </w:r>
      <w:r>
        <w:rPr>
          <w:rFonts w:ascii="Cambria" w:eastAsia="Cambria" w:hAnsi="Cambria" w:cs="Times New Roman"/>
          <w:color w:val="244061"/>
          <w:lang w:val="pt-BR"/>
        </w:rPr>
        <w:t xml:space="preserve"> Descrever a metodologia pela qual o estado identifica escolas públicas no estado que recebe o Título I, Fundos da Parte A que receberam apoio direcionado adicional de acordo com a seção 1111(d)(2)(C) da ESEA (com base na identificação como uma escola na qual qualquer subgrupo de alunos, por conta própria, levaria à identificação de acordo com a seção 1111(c)(4)(D)(i)(I) da ESEA usando a metodologia do estado de acordo com a seção 1111(c)(4)(D) da ESEA e que não atenderam aos critérios de saída de todo o estado para essas escolas dentro de um número determinado pelo estado de anos, incluindo o ano em que o estado identificará essas escolas pela primeira vez. </w:t>
      </w:r>
    </w:p>
    <w:p w14:paraId="1D4EF7ED" w14:textId="77777777" w:rsidR="001A6803" w:rsidRPr="00CC1CB4" w:rsidRDefault="00000000" w:rsidP="00094BF7">
      <w:pPr>
        <w:pStyle w:val="a6"/>
        <w:numPr>
          <w:ilvl w:val="1"/>
          <w:numId w:val="13"/>
        </w:numPr>
        <w:spacing w:after="0"/>
        <w:ind w:left="792"/>
        <w:rPr>
          <w:rFonts w:eastAsia="Times New Roman" w:cs="Times New Roman"/>
          <w:color w:val="244061" w:themeColor="accent1" w:themeShade="80"/>
          <w:lang w:val="es-ES"/>
        </w:rPr>
      </w:pPr>
      <w:r>
        <w:rPr>
          <w:rFonts w:ascii="Cambria" w:eastAsia="Cambria" w:hAnsi="Cambria" w:cs="Times New Roman"/>
          <w:b/>
          <w:bCs/>
          <w:color w:val="244061"/>
          <w:lang w:val="pt-BR"/>
        </w:rPr>
        <w:t>Frequência de identificação.</w:t>
      </w:r>
      <w:r>
        <w:rPr>
          <w:rFonts w:ascii="Cambria" w:eastAsia="Cambria" w:hAnsi="Cambria" w:cs="Times New Roman"/>
          <w:color w:val="244061"/>
          <w:lang w:val="pt-BR"/>
        </w:rPr>
        <w:t xml:space="preserve"> Fornecer, para cada tipo de escola identificada para apoio e melhoria abrangentes, a frequência com que o estado, posteriormente, identificará tais escolas. Observe que essas escolas devem ser identificadas pelo menos uma vez a cada três anos. </w:t>
      </w:r>
    </w:p>
    <w:p w14:paraId="7989FFC2" w14:textId="4785B6CD" w:rsidR="0079072B" w:rsidRPr="00CC1CB4" w:rsidRDefault="00000000" w:rsidP="0079072B">
      <w:pPr>
        <w:pStyle w:val="EndUSED"/>
        <w:rPr>
          <w:rStyle w:val="NJDOEResponse"/>
          <w:i/>
          <w:lang w:val="es-ES"/>
        </w:rPr>
      </w:pPr>
      <w:r>
        <w:rPr>
          <w:rFonts w:eastAsia="Times New Roman"/>
          <w:color w:val="FFFFFF"/>
          <w:szCs w:val="4"/>
          <w:lang w:val="pt-BR"/>
        </w:rPr>
        <w:t>[finalizar texto do USED]</w:t>
      </w:r>
    </w:p>
    <w:p w14:paraId="3E25AC50" w14:textId="77777777" w:rsidR="00B378B5" w:rsidRPr="00CC1CB4" w:rsidRDefault="00000000" w:rsidP="00C86CD6">
      <w:pPr>
        <w:pStyle w:val="ESSAQUESTIONS"/>
        <w:numPr>
          <w:ilvl w:val="0"/>
          <w:numId w:val="0"/>
        </w:numPr>
        <w:spacing w:before="240" w:line="259" w:lineRule="auto"/>
        <w:rPr>
          <w:rStyle w:val="NJDOEResponse"/>
          <w:i w:val="0"/>
          <w:lang w:val="es-ES"/>
        </w:rPr>
      </w:pPr>
      <w:r>
        <w:rPr>
          <w:rStyle w:val="NJDOEResponse"/>
          <w:rFonts w:eastAsia="Times New Roman"/>
          <w:i w:val="0"/>
          <w:color w:val="365F91"/>
          <w:lang w:val="pt-BR"/>
        </w:rPr>
        <w:t>[iniciar a resposta do NJDOE]</w:t>
      </w:r>
    </w:p>
    <w:p w14:paraId="46505633" w14:textId="77777777" w:rsidR="00467C64" w:rsidRPr="00CC1CB4" w:rsidRDefault="00000000" w:rsidP="00C24756">
      <w:pPr>
        <w:pStyle w:val="5"/>
        <w:rPr>
          <w:lang w:val="es-ES"/>
        </w:rPr>
      </w:pPr>
      <w:r>
        <w:rPr>
          <w:rFonts w:ascii="Cambria" w:eastAsia="Cambria" w:hAnsi="Cambria" w:cs="Times New Roman"/>
          <w:bCs/>
          <w:lang w:val="pt-BR"/>
        </w:rPr>
        <w:t>Metodologia para identificação de escolas abrangentes de suporte e melhoria (Comprehensive Support and Improvement, CSI)</w:t>
      </w:r>
    </w:p>
    <w:p w14:paraId="1307B3E7" w14:textId="77777777" w:rsidR="007E553B" w:rsidRPr="00CC1CB4" w:rsidRDefault="00000000" w:rsidP="002F102B">
      <w:pPr>
        <w:rPr>
          <w:rFonts w:cs="Times New Roman"/>
          <w:lang w:val="es-ES"/>
        </w:rPr>
      </w:pPr>
      <w:r>
        <w:rPr>
          <w:rFonts w:eastAsia="Times New Roman" w:cs="Times New Roman"/>
          <w:lang w:val="pt-BR"/>
        </w:rPr>
        <w:t>Uma vez que as pontuações somativas tenham sido calculadas (consulte a Seção A.4.v), as pontuações somativas para escolas de Título I são organizadas do mais alto para o mais baixo para cada configuração escolar: escolas de ensino fundamental/médio, ensino médio e escolas de configuração mista.</w:t>
      </w:r>
      <w:r>
        <w:rPr>
          <w:rFonts w:eastAsia="Times New Roman" w:cs="Times New Roman"/>
          <w:b/>
          <w:bCs/>
          <w:lang w:val="pt-BR"/>
        </w:rPr>
        <w:t xml:space="preserve"> </w:t>
      </w:r>
      <w:r>
        <w:rPr>
          <w:rFonts w:eastAsia="Times New Roman" w:cs="Times New Roman"/>
          <w:lang w:val="pt-BR"/>
        </w:rPr>
        <w:t>Para cada configuração, uma pontuação de corte identifica os cinco por cento inferiores das escolas de Título I. Quaisquer escolas de Título I que estejam entre os cinco por cento inferiores das escolas de Título I para cada configuração, ou seja, abaixo da pontuação de corte, são identificadas como escolas de suporte e melhoria abrangentes (CSI).</w:t>
      </w:r>
    </w:p>
    <w:p w14:paraId="298D6270" w14:textId="77777777" w:rsidR="007D2353" w:rsidRPr="00CC1CB4" w:rsidRDefault="00000000" w:rsidP="002F102B">
      <w:pPr>
        <w:rPr>
          <w:rFonts w:cs="Times New Roman"/>
          <w:lang w:val="es-ES"/>
        </w:rPr>
      </w:pPr>
      <w:r>
        <w:rPr>
          <w:rFonts w:eastAsia="Times New Roman" w:cs="Times New Roman"/>
          <w:lang w:val="pt-BR"/>
        </w:rPr>
        <w:t>Separar as escolas por configuração antes de organizá-las do mais alto para o mais baixo atende aos requisitos mínimos da seção 1111(c)(4)(i)(I) da ESSA, pois a metodologia resultará em pelo menos os cinco por cento inferiores das escolas do Título I sendo identificadas para suporte abrangente e melhoria para baixo desempenho geral. As escolas que não podem ser avaliadas por meio da metodologia descrita acima são avaliadas por meio de uma das metodologias alternativas descritas na Seção A.4.v. Pelo menos cinco por cento das escolas de Título I avaliadas por meio de uma metodologia alternativa são então identificadas para suporte e melhoria abrangentes. Esse processo garante que pelo menos cinco por cento de todas as escolas de Título I, independentemente da metodologia de identificação, sejam identificadas para suporte abrangente e melhoria para baixo desempenho geral.</w:t>
      </w:r>
    </w:p>
    <w:p w14:paraId="30061B09" w14:textId="77777777" w:rsidR="00CB7056" w:rsidRPr="00CC1CB4" w:rsidRDefault="00000000" w:rsidP="002F102B">
      <w:pPr>
        <w:rPr>
          <w:rFonts w:cs="Times New Roman"/>
          <w:lang w:val="es-ES"/>
        </w:rPr>
      </w:pPr>
      <w:r>
        <w:rPr>
          <w:rFonts w:eastAsia="Times New Roman" w:cs="Times New Roman"/>
          <w:lang w:val="pt-BR"/>
        </w:rPr>
        <w:t xml:space="preserve">O NJDOE identifica em seguida qualquer escola de ensino médio com uma taxa de formação de quatro anos igual ou inferior a 67 por cento para suporte abrangente e melhoria para sua baixa taxa de formação. </w:t>
      </w:r>
    </w:p>
    <w:p w14:paraId="7547F285" w14:textId="77777777" w:rsidR="00552003" w:rsidRPr="00CC1CB4" w:rsidRDefault="00000000" w:rsidP="002F102B">
      <w:pPr>
        <w:rPr>
          <w:rFonts w:cs="Times New Roman"/>
          <w:lang w:val="es-ES"/>
        </w:rPr>
      </w:pPr>
      <w:r>
        <w:rPr>
          <w:rFonts w:eastAsia="Times New Roman" w:cs="Times New Roman"/>
          <w:lang w:val="pt-BR"/>
        </w:rPr>
        <w:t xml:space="preserve">Por fim, o NJDOE identifica quaisquer escolas de Título I que tenham sido identificadas para suporte e melhoria direcionados adicionais por três anos ou mais e não tenham atendido aos critérios de saída para o status de saída. Essas escolas são identificadas para suporte e melhoria abrangentes com base em grupos de alunos de baixo desempenho crônico. </w:t>
      </w:r>
    </w:p>
    <w:p w14:paraId="642FD8BE" w14:textId="77777777" w:rsidR="002F102B" w:rsidRPr="00CC1CB4" w:rsidRDefault="00000000" w:rsidP="002F102B">
      <w:pPr>
        <w:rPr>
          <w:rFonts w:cs="Times New Roman"/>
          <w:lang w:val="es-ES"/>
        </w:rPr>
      </w:pPr>
      <w:r>
        <w:rPr>
          <w:rFonts w:eastAsia="Times New Roman" w:cs="Times New Roman"/>
          <w:lang w:val="pt-BR"/>
        </w:rPr>
        <w:t>Um detalhamento de cada categoria de identificação está incluído na tabela de resumo abaixo.</w:t>
      </w:r>
    </w:p>
    <w:p w14:paraId="1A9AD7C1" w14:textId="77777777" w:rsidR="00672392" w:rsidRPr="00CC1CB4" w:rsidRDefault="00000000" w:rsidP="00F86F30">
      <w:pPr>
        <w:pStyle w:val="aff0"/>
        <w:rPr>
          <w:rFonts w:ascii="Times New Roman" w:hAnsi="Times New Roman"/>
          <w:lang w:val="es-ES"/>
        </w:rPr>
      </w:pPr>
      <w:r>
        <w:rPr>
          <w:rFonts w:eastAsia="Cambria"/>
          <w:lang w:val="pt-BR"/>
        </w:rPr>
        <w:lastRenderedPageBreak/>
        <w:t>Figura A.20: Resumo das categorias de identificação</w:t>
      </w:r>
    </w:p>
    <w:tbl>
      <w:tblPr>
        <w:tblStyle w:val="4-10"/>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20" w:firstRow="1" w:lastRow="0" w:firstColumn="0" w:lastColumn="0" w:noHBand="0" w:noVBand="1"/>
      </w:tblPr>
      <w:tblGrid>
        <w:gridCol w:w="2065"/>
        <w:gridCol w:w="1890"/>
        <w:gridCol w:w="3600"/>
        <w:gridCol w:w="1800"/>
      </w:tblGrid>
      <w:tr w:rsidR="00C566B2" w:rsidRPr="00C04CDD" w14:paraId="4F8F0382" w14:textId="77777777" w:rsidTr="00C566B2">
        <w:trPr>
          <w:cnfStyle w:val="100000000000" w:firstRow="1" w:lastRow="0" w:firstColumn="0" w:lastColumn="0" w:oddVBand="0" w:evenVBand="0" w:oddHBand="0" w:evenHBand="0" w:firstRowFirstColumn="0" w:firstRowLastColumn="0" w:lastRowFirstColumn="0" w:lastRowLastColumn="0"/>
          <w:tblHeader/>
        </w:trPr>
        <w:tc>
          <w:tcPr>
            <w:tcW w:w="2065" w:type="dxa"/>
            <w:tcBorders>
              <w:right w:val="single" w:sz="4" w:space="0" w:color="FFFFFF" w:themeColor="background1"/>
            </w:tcBorders>
            <w:shd w:val="clear" w:color="auto" w:fill="215868" w:themeFill="accent5" w:themeFillShade="80"/>
          </w:tcPr>
          <w:p w14:paraId="4153BBB7" w14:textId="77777777" w:rsidR="004F0ED2" w:rsidRPr="00997BDD" w:rsidRDefault="00000000" w:rsidP="00A97B31">
            <w:pPr>
              <w:rPr>
                <w:rFonts w:cs="Times New Roman"/>
                <w:b w:val="0"/>
                <w:bCs w:val="0"/>
              </w:rPr>
            </w:pPr>
            <w:r>
              <w:rPr>
                <w:rFonts w:eastAsia="Times New Roman" w:cs="Arial"/>
                <w:color w:val="FFFFFF"/>
                <w:lang w:val="pt-BR"/>
              </w:rPr>
              <w:t>Status</w:t>
            </w:r>
          </w:p>
        </w:tc>
        <w:tc>
          <w:tcPr>
            <w:tcW w:w="1890" w:type="dxa"/>
            <w:tcBorders>
              <w:left w:val="single" w:sz="4" w:space="0" w:color="FFFFFF" w:themeColor="background1"/>
              <w:right w:val="single" w:sz="4" w:space="0" w:color="FFFFFF" w:themeColor="background1"/>
            </w:tcBorders>
            <w:shd w:val="clear" w:color="auto" w:fill="215868" w:themeFill="accent5" w:themeFillShade="80"/>
          </w:tcPr>
          <w:p w14:paraId="44552296" w14:textId="77777777" w:rsidR="004F0ED2" w:rsidRPr="00997BDD" w:rsidRDefault="00000000" w:rsidP="00A97B31">
            <w:pPr>
              <w:rPr>
                <w:rFonts w:cs="Times New Roman"/>
                <w:b w:val="0"/>
                <w:bCs w:val="0"/>
              </w:rPr>
            </w:pPr>
            <w:r>
              <w:rPr>
                <w:rFonts w:eastAsia="Times New Roman" w:cs="Arial"/>
                <w:color w:val="FFFFFF"/>
                <w:lang w:val="pt-BR"/>
              </w:rPr>
              <w:t>Categoria de identificação</w:t>
            </w:r>
          </w:p>
        </w:tc>
        <w:tc>
          <w:tcPr>
            <w:tcW w:w="3600" w:type="dxa"/>
            <w:tcBorders>
              <w:left w:val="single" w:sz="4" w:space="0" w:color="FFFFFF" w:themeColor="background1"/>
              <w:right w:val="single" w:sz="4" w:space="0" w:color="FFFFFF" w:themeColor="background1"/>
            </w:tcBorders>
            <w:shd w:val="clear" w:color="auto" w:fill="215868" w:themeFill="accent5" w:themeFillShade="80"/>
          </w:tcPr>
          <w:p w14:paraId="111CBCCC" w14:textId="77777777" w:rsidR="004F0ED2" w:rsidRPr="00997BDD" w:rsidRDefault="00000000" w:rsidP="00A97B31">
            <w:pPr>
              <w:rPr>
                <w:rFonts w:cs="Times New Roman"/>
                <w:b w:val="0"/>
                <w:bCs w:val="0"/>
              </w:rPr>
            </w:pPr>
            <w:r>
              <w:rPr>
                <w:rFonts w:eastAsia="Times New Roman" w:cs="Arial"/>
                <w:color w:val="FFFFFF"/>
                <w:lang w:val="pt-BR"/>
              </w:rPr>
              <w:t>Descrição</w:t>
            </w:r>
          </w:p>
        </w:tc>
        <w:tc>
          <w:tcPr>
            <w:tcW w:w="1800" w:type="dxa"/>
            <w:tcBorders>
              <w:left w:val="single" w:sz="4" w:space="0" w:color="FFFFFF" w:themeColor="background1"/>
            </w:tcBorders>
            <w:shd w:val="clear" w:color="auto" w:fill="215868" w:themeFill="accent5" w:themeFillShade="80"/>
          </w:tcPr>
          <w:p w14:paraId="16838B98" w14:textId="77777777" w:rsidR="004F0ED2" w:rsidRPr="00CC1CB4" w:rsidRDefault="00000000" w:rsidP="00A97B31">
            <w:pPr>
              <w:rPr>
                <w:rFonts w:cs="Times New Roman"/>
                <w:b w:val="0"/>
                <w:bCs w:val="0"/>
                <w:lang w:val="es-ES"/>
              </w:rPr>
            </w:pPr>
            <w:r>
              <w:rPr>
                <w:rFonts w:eastAsia="Times New Roman" w:cs="Arial"/>
                <w:color w:val="FFFFFF"/>
                <w:lang w:val="pt-BR"/>
              </w:rPr>
              <w:t>Cronograma de identificação e saída</w:t>
            </w:r>
          </w:p>
        </w:tc>
      </w:tr>
      <w:tr w:rsidR="00C566B2" w14:paraId="796813AF" w14:textId="77777777" w:rsidTr="00C566B2">
        <w:trPr>
          <w:cnfStyle w:val="000000100000" w:firstRow="0" w:lastRow="0" w:firstColumn="0" w:lastColumn="0" w:oddVBand="0" w:evenVBand="0" w:oddHBand="1" w:evenHBand="0" w:firstRowFirstColumn="0" w:firstRowLastColumn="0" w:lastRowFirstColumn="0" w:lastRowLastColumn="0"/>
        </w:trPr>
        <w:tc>
          <w:tcPr>
            <w:tcW w:w="2065" w:type="dxa"/>
            <w:shd w:val="clear" w:color="auto" w:fill="DBE5F1"/>
          </w:tcPr>
          <w:p w14:paraId="3C868265" w14:textId="77777777" w:rsidR="004F0ED2" w:rsidRPr="00997BDD" w:rsidRDefault="00000000" w:rsidP="00C24756">
            <w:pPr>
              <w:rPr>
                <w:rFonts w:cs="Times New Roman"/>
                <w:b/>
              </w:rPr>
            </w:pPr>
            <w:r>
              <w:rPr>
                <w:rFonts w:eastAsia="Times New Roman" w:cs="Arial"/>
                <w:lang w:val="pt-BR"/>
              </w:rPr>
              <w:t>Suporte</w:t>
            </w:r>
            <w:r>
              <w:rPr>
                <w:rFonts w:eastAsia="Times New Roman" w:cs="Arial"/>
                <w:b/>
                <w:bCs/>
                <w:lang w:val="pt-BR"/>
              </w:rPr>
              <w:t xml:space="preserve"> </w:t>
            </w:r>
            <w:r>
              <w:rPr>
                <w:rFonts w:eastAsia="Times New Roman" w:cs="Arial"/>
                <w:lang w:val="pt-BR"/>
              </w:rPr>
              <w:t>e</w:t>
            </w:r>
            <w:r>
              <w:rPr>
                <w:rFonts w:eastAsia="Times New Roman" w:cs="Arial"/>
                <w:b/>
                <w:bCs/>
                <w:lang w:val="pt-BR"/>
              </w:rPr>
              <w:t xml:space="preserve"> </w:t>
            </w:r>
            <w:r>
              <w:rPr>
                <w:rFonts w:eastAsia="Times New Roman" w:cs="Arial"/>
                <w:lang w:val="pt-BR"/>
              </w:rPr>
              <w:t>melhoria</w:t>
            </w:r>
            <w:r>
              <w:rPr>
                <w:rFonts w:eastAsia="Times New Roman" w:cs="Arial"/>
                <w:b/>
                <w:bCs/>
                <w:lang w:val="pt-BR"/>
              </w:rPr>
              <w:t xml:space="preserve"> </w:t>
            </w:r>
            <w:r>
              <w:rPr>
                <w:rFonts w:eastAsia="Times New Roman" w:cs="Arial"/>
                <w:lang w:val="pt-BR"/>
              </w:rPr>
              <w:t>abrangentes</w:t>
            </w:r>
          </w:p>
        </w:tc>
        <w:tc>
          <w:tcPr>
            <w:tcW w:w="1890" w:type="dxa"/>
            <w:shd w:val="clear" w:color="auto" w:fill="DBE5F1"/>
          </w:tcPr>
          <w:p w14:paraId="0F453350" w14:textId="77777777" w:rsidR="004F0ED2" w:rsidRPr="00997BDD" w:rsidRDefault="00000000" w:rsidP="00C24756">
            <w:pPr>
              <w:rPr>
                <w:rFonts w:cs="Times New Roman"/>
              </w:rPr>
            </w:pPr>
            <w:r>
              <w:rPr>
                <w:rFonts w:eastAsia="Times New Roman" w:cs="Arial"/>
                <w:lang w:val="pt-BR"/>
              </w:rPr>
              <w:t>Desempenho geral baixo</w:t>
            </w:r>
          </w:p>
        </w:tc>
        <w:tc>
          <w:tcPr>
            <w:tcW w:w="3600" w:type="dxa"/>
            <w:shd w:val="clear" w:color="auto" w:fill="DBE5F1"/>
          </w:tcPr>
          <w:p w14:paraId="6CCE36A3" w14:textId="77777777" w:rsidR="004F0ED2" w:rsidRPr="00CC1CB4" w:rsidRDefault="00000000" w:rsidP="00C24756">
            <w:pPr>
              <w:rPr>
                <w:lang w:val="es-ES"/>
              </w:rPr>
            </w:pPr>
            <w:r>
              <w:rPr>
                <w:rFonts w:eastAsia="Times New Roman" w:cs="Times New Roman"/>
                <w:lang w:val="pt-BR"/>
              </w:rPr>
              <w:t>Escolas de Título I com uma pontuação somativa nos 5% inferiores das escolas de Título I</w:t>
            </w:r>
          </w:p>
        </w:tc>
        <w:tc>
          <w:tcPr>
            <w:tcW w:w="1800" w:type="dxa"/>
            <w:shd w:val="clear" w:color="auto" w:fill="DBE5F1"/>
          </w:tcPr>
          <w:p w14:paraId="3E12FC5B" w14:textId="77777777" w:rsidR="004F0ED2" w:rsidRPr="00997BDD" w:rsidRDefault="00000000" w:rsidP="00C24756">
            <w:r>
              <w:rPr>
                <w:rFonts w:eastAsia="Times New Roman" w:cs="Arial"/>
                <w:lang w:val="pt-BR"/>
              </w:rPr>
              <w:t>A cada 3 anos</w:t>
            </w:r>
          </w:p>
        </w:tc>
      </w:tr>
      <w:tr w:rsidR="00C566B2" w14:paraId="5BA75CF1" w14:textId="77777777" w:rsidTr="00C566B2">
        <w:trPr>
          <w:trHeight w:val="926"/>
        </w:trPr>
        <w:tc>
          <w:tcPr>
            <w:tcW w:w="2065" w:type="dxa"/>
          </w:tcPr>
          <w:p w14:paraId="28C81E9B" w14:textId="77777777" w:rsidR="004F0ED2" w:rsidRPr="00997BDD" w:rsidRDefault="00000000" w:rsidP="00C24756">
            <w:pPr>
              <w:rPr>
                <w:rFonts w:cs="Times New Roman"/>
                <w:b/>
              </w:rPr>
            </w:pPr>
            <w:r>
              <w:rPr>
                <w:rFonts w:eastAsia="Times New Roman" w:cs="Arial"/>
                <w:lang w:val="pt-BR"/>
              </w:rPr>
              <w:t>Suporte</w:t>
            </w:r>
            <w:r>
              <w:rPr>
                <w:rFonts w:eastAsia="Times New Roman" w:cs="Arial"/>
                <w:b/>
                <w:bCs/>
                <w:lang w:val="pt-BR"/>
              </w:rPr>
              <w:t xml:space="preserve"> </w:t>
            </w:r>
            <w:r>
              <w:rPr>
                <w:rFonts w:eastAsia="Times New Roman" w:cs="Arial"/>
                <w:lang w:val="pt-BR"/>
              </w:rPr>
              <w:t>e</w:t>
            </w:r>
            <w:r>
              <w:rPr>
                <w:rFonts w:eastAsia="Times New Roman" w:cs="Arial"/>
                <w:b/>
                <w:bCs/>
                <w:lang w:val="pt-BR"/>
              </w:rPr>
              <w:t xml:space="preserve"> </w:t>
            </w:r>
            <w:r>
              <w:rPr>
                <w:rFonts w:eastAsia="Times New Roman" w:cs="Arial"/>
                <w:lang w:val="pt-BR"/>
              </w:rPr>
              <w:t>melhoria</w:t>
            </w:r>
            <w:r>
              <w:rPr>
                <w:rFonts w:eastAsia="Times New Roman" w:cs="Arial"/>
                <w:b/>
                <w:bCs/>
                <w:lang w:val="pt-BR"/>
              </w:rPr>
              <w:t xml:space="preserve"> </w:t>
            </w:r>
            <w:r>
              <w:rPr>
                <w:rFonts w:eastAsia="Times New Roman" w:cs="Arial"/>
                <w:lang w:val="pt-BR"/>
              </w:rPr>
              <w:t>abrangentes</w:t>
            </w:r>
          </w:p>
        </w:tc>
        <w:tc>
          <w:tcPr>
            <w:tcW w:w="1890" w:type="dxa"/>
          </w:tcPr>
          <w:p w14:paraId="204AE7DE" w14:textId="77777777" w:rsidR="004F0ED2" w:rsidRPr="00997BDD" w:rsidRDefault="00000000" w:rsidP="00C24756">
            <w:pPr>
              <w:rPr>
                <w:rFonts w:cs="Times New Roman"/>
              </w:rPr>
            </w:pPr>
            <w:r>
              <w:rPr>
                <w:rFonts w:eastAsia="Times New Roman" w:cs="Arial"/>
                <w:lang w:val="pt-BR"/>
              </w:rPr>
              <w:t>Baixa taxa de formação</w:t>
            </w:r>
          </w:p>
        </w:tc>
        <w:tc>
          <w:tcPr>
            <w:tcW w:w="3600" w:type="dxa"/>
          </w:tcPr>
          <w:p w14:paraId="74ADF507" w14:textId="77777777" w:rsidR="004F0ED2" w:rsidRPr="00CC1CB4" w:rsidRDefault="00000000" w:rsidP="00C24756">
            <w:pPr>
              <w:rPr>
                <w:lang w:val="es-ES"/>
              </w:rPr>
            </w:pPr>
            <w:r>
              <w:rPr>
                <w:rFonts w:eastAsia="Times New Roman" w:cs="Times New Roman"/>
                <w:lang w:val="pt-BR"/>
              </w:rPr>
              <w:t>Ensino médio com taxa de formação de 4 anos de 67% ou menos</w:t>
            </w:r>
          </w:p>
        </w:tc>
        <w:tc>
          <w:tcPr>
            <w:tcW w:w="1800" w:type="dxa"/>
          </w:tcPr>
          <w:p w14:paraId="509E1563" w14:textId="77777777" w:rsidR="004F0ED2" w:rsidRPr="00997BDD" w:rsidRDefault="00000000" w:rsidP="00C24756">
            <w:r>
              <w:rPr>
                <w:rFonts w:eastAsia="Times New Roman" w:cs="Arial"/>
                <w:lang w:val="pt-BR"/>
              </w:rPr>
              <w:t>A cada 3 anos</w:t>
            </w:r>
          </w:p>
        </w:tc>
      </w:tr>
      <w:tr w:rsidR="00C566B2" w14:paraId="2159224D" w14:textId="77777777" w:rsidTr="00C566B2">
        <w:trPr>
          <w:cnfStyle w:val="000000100000" w:firstRow="0" w:lastRow="0" w:firstColumn="0" w:lastColumn="0" w:oddVBand="0" w:evenVBand="0" w:oddHBand="1" w:evenHBand="0" w:firstRowFirstColumn="0" w:firstRowLastColumn="0" w:lastRowFirstColumn="0" w:lastRowLastColumn="0"/>
          <w:trHeight w:val="1250"/>
        </w:trPr>
        <w:tc>
          <w:tcPr>
            <w:tcW w:w="2065" w:type="dxa"/>
            <w:shd w:val="clear" w:color="auto" w:fill="DBE5F1"/>
          </w:tcPr>
          <w:p w14:paraId="3EA56B8F" w14:textId="77777777" w:rsidR="004F0ED2" w:rsidRPr="00997BDD" w:rsidRDefault="00000000" w:rsidP="00C24756">
            <w:pPr>
              <w:rPr>
                <w:rFonts w:cs="Times New Roman"/>
                <w:b/>
              </w:rPr>
            </w:pPr>
            <w:r>
              <w:rPr>
                <w:rFonts w:eastAsia="Times New Roman" w:cs="Arial"/>
                <w:lang w:val="pt-BR"/>
              </w:rPr>
              <w:t>Suporte</w:t>
            </w:r>
            <w:r>
              <w:rPr>
                <w:rFonts w:eastAsia="Times New Roman" w:cs="Arial"/>
                <w:b/>
                <w:bCs/>
                <w:lang w:val="pt-BR"/>
              </w:rPr>
              <w:t xml:space="preserve"> </w:t>
            </w:r>
            <w:r>
              <w:rPr>
                <w:rFonts w:eastAsia="Times New Roman" w:cs="Arial"/>
                <w:lang w:val="pt-BR"/>
              </w:rPr>
              <w:t>e</w:t>
            </w:r>
            <w:r>
              <w:rPr>
                <w:rFonts w:eastAsia="Times New Roman" w:cs="Arial"/>
                <w:b/>
                <w:bCs/>
                <w:lang w:val="pt-BR"/>
              </w:rPr>
              <w:t xml:space="preserve"> </w:t>
            </w:r>
            <w:r>
              <w:rPr>
                <w:rFonts w:eastAsia="Times New Roman" w:cs="Arial"/>
                <w:lang w:val="pt-BR"/>
              </w:rPr>
              <w:t>melhoria</w:t>
            </w:r>
            <w:r>
              <w:rPr>
                <w:rFonts w:eastAsia="Times New Roman" w:cs="Arial"/>
                <w:b/>
                <w:bCs/>
                <w:lang w:val="pt-BR"/>
              </w:rPr>
              <w:t xml:space="preserve"> </w:t>
            </w:r>
            <w:r>
              <w:rPr>
                <w:rFonts w:eastAsia="Times New Roman" w:cs="Arial"/>
                <w:lang w:val="pt-BR"/>
              </w:rPr>
              <w:t>abrangentes</w:t>
            </w:r>
          </w:p>
        </w:tc>
        <w:tc>
          <w:tcPr>
            <w:tcW w:w="1890" w:type="dxa"/>
            <w:shd w:val="clear" w:color="auto" w:fill="DBE5F1"/>
          </w:tcPr>
          <w:p w14:paraId="6B1C16E7" w14:textId="77777777" w:rsidR="004F0ED2" w:rsidRPr="00CC1CB4" w:rsidRDefault="00000000" w:rsidP="00C24756">
            <w:pPr>
              <w:rPr>
                <w:rFonts w:cs="Times New Roman"/>
                <w:lang w:val="es-ES"/>
              </w:rPr>
            </w:pPr>
            <w:r>
              <w:rPr>
                <w:rFonts w:eastAsia="Times New Roman" w:cs="Arial"/>
                <w:lang w:val="pt-BR"/>
              </w:rPr>
              <w:t>Grupo(s) de estudantes com baixo desempenho crônico</w:t>
            </w:r>
          </w:p>
        </w:tc>
        <w:tc>
          <w:tcPr>
            <w:tcW w:w="3600" w:type="dxa"/>
            <w:shd w:val="clear" w:color="auto" w:fill="DBE5F1"/>
          </w:tcPr>
          <w:p w14:paraId="2FA78079" w14:textId="77777777" w:rsidR="004F0ED2" w:rsidRPr="00CC1CB4" w:rsidRDefault="00000000" w:rsidP="00C24756">
            <w:pPr>
              <w:rPr>
                <w:lang w:val="es-ES"/>
              </w:rPr>
            </w:pPr>
            <w:r>
              <w:rPr>
                <w:rFonts w:eastAsia="Times New Roman" w:cs="Times New Roman"/>
                <w:lang w:val="pt-BR"/>
              </w:rPr>
              <w:t>Escolas de Título I identificadas como apoio e melhoria direcionados adicionais por 3 ou mais anos consecutivos</w:t>
            </w:r>
          </w:p>
        </w:tc>
        <w:tc>
          <w:tcPr>
            <w:tcW w:w="1800" w:type="dxa"/>
            <w:shd w:val="clear" w:color="auto" w:fill="DBE5F1"/>
          </w:tcPr>
          <w:p w14:paraId="47F872CE" w14:textId="77777777" w:rsidR="004F0ED2" w:rsidRPr="00997BDD" w:rsidRDefault="00000000" w:rsidP="00C24756">
            <w:r>
              <w:rPr>
                <w:rFonts w:eastAsia="Times New Roman" w:cs="Arial"/>
                <w:lang w:val="pt-BR"/>
              </w:rPr>
              <w:t>A cada 3 anos</w:t>
            </w:r>
          </w:p>
        </w:tc>
      </w:tr>
      <w:tr w:rsidR="00C566B2" w14:paraId="46F1AC81" w14:textId="77777777" w:rsidTr="00C566B2">
        <w:trPr>
          <w:trHeight w:val="1160"/>
        </w:trPr>
        <w:tc>
          <w:tcPr>
            <w:tcW w:w="2065" w:type="dxa"/>
          </w:tcPr>
          <w:p w14:paraId="7385B92A" w14:textId="77777777" w:rsidR="004F0ED2" w:rsidRPr="00CC1CB4" w:rsidRDefault="00000000" w:rsidP="00C24756">
            <w:pPr>
              <w:rPr>
                <w:rFonts w:cs="Times New Roman"/>
                <w:b/>
                <w:lang w:val="es-ES"/>
              </w:rPr>
            </w:pPr>
            <w:r>
              <w:rPr>
                <w:rFonts w:eastAsia="Times New Roman" w:cs="Arial"/>
                <w:lang w:val="pt-BR"/>
              </w:rPr>
              <w:t>Suporte</w:t>
            </w:r>
            <w:r>
              <w:rPr>
                <w:rFonts w:eastAsia="Times New Roman" w:cs="Arial"/>
                <w:b/>
                <w:bCs/>
                <w:lang w:val="pt-BR"/>
              </w:rPr>
              <w:t xml:space="preserve"> </w:t>
            </w:r>
            <w:r>
              <w:rPr>
                <w:rFonts w:eastAsia="Times New Roman" w:cs="Arial"/>
                <w:lang w:val="pt-BR"/>
              </w:rPr>
              <w:t>e</w:t>
            </w:r>
            <w:r>
              <w:rPr>
                <w:rFonts w:eastAsia="Times New Roman" w:cs="Arial"/>
                <w:b/>
                <w:bCs/>
                <w:lang w:val="pt-BR"/>
              </w:rPr>
              <w:t xml:space="preserve"> </w:t>
            </w:r>
            <w:r>
              <w:rPr>
                <w:rFonts w:eastAsia="Times New Roman" w:cs="Arial"/>
                <w:lang w:val="pt-BR"/>
              </w:rPr>
              <w:t>melhoria</w:t>
            </w:r>
            <w:r>
              <w:rPr>
                <w:rFonts w:eastAsia="Times New Roman" w:cs="Arial"/>
                <w:b/>
                <w:bCs/>
                <w:lang w:val="pt-BR"/>
              </w:rPr>
              <w:t xml:space="preserve"> </w:t>
            </w:r>
            <w:r>
              <w:rPr>
                <w:rFonts w:eastAsia="Times New Roman" w:cs="Arial"/>
                <w:lang w:val="pt-BR"/>
              </w:rPr>
              <w:t>direcionados</w:t>
            </w:r>
            <w:r>
              <w:rPr>
                <w:rFonts w:eastAsia="Times New Roman" w:cs="Arial"/>
                <w:b/>
                <w:bCs/>
                <w:lang w:val="pt-BR"/>
              </w:rPr>
              <w:t xml:space="preserve"> </w:t>
            </w:r>
            <w:r>
              <w:rPr>
                <w:rFonts w:eastAsia="Times New Roman" w:cs="Arial"/>
                <w:lang w:val="pt-BR"/>
              </w:rPr>
              <w:t>adicionais</w:t>
            </w:r>
          </w:p>
        </w:tc>
        <w:tc>
          <w:tcPr>
            <w:tcW w:w="1890" w:type="dxa"/>
          </w:tcPr>
          <w:p w14:paraId="6C1D6E40" w14:textId="77777777" w:rsidR="004F0ED2" w:rsidRPr="00CC1CB4" w:rsidRDefault="00000000" w:rsidP="00C24756">
            <w:pPr>
              <w:rPr>
                <w:rFonts w:cs="Times New Roman"/>
                <w:lang w:val="es-ES"/>
              </w:rPr>
            </w:pPr>
            <w:r>
              <w:rPr>
                <w:rFonts w:eastAsia="Times New Roman" w:cs="Arial"/>
                <w:lang w:val="pt-BR"/>
              </w:rPr>
              <w:t>Grupo(s) de estudantes de baixo desempenho</w:t>
            </w:r>
          </w:p>
        </w:tc>
        <w:tc>
          <w:tcPr>
            <w:tcW w:w="3600" w:type="dxa"/>
          </w:tcPr>
          <w:p w14:paraId="401B7FF7" w14:textId="77777777" w:rsidR="004F0ED2" w:rsidRPr="00CC1CB4" w:rsidRDefault="00000000" w:rsidP="00C24756">
            <w:pPr>
              <w:rPr>
                <w:lang w:val="es-ES"/>
              </w:rPr>
            </w:pPr>
            <w:r>
              <w:rPr>
                <w:rFonts w:eastAsia="Times New Roman" w:cs="Arial"/>
                <w:lang w:val="pt-BR"/>
              </w:rPr>
              <w:t>Escolas com um ou mais grupos de alunos com uma pontuação somativa que estaria nos 5% inferiores das escolas do Título I</w:t>
            </w:r>
          </w:p>
        </w:tc>
        <w:tc>
          <w:tcPr>
            <w:tcW w:w="1800" w:type="dxa"/>
          </w:tcPr>
          <w:p w14:paraId="7A09042A" w14:textId="77777777" w:rsidR="004F0ED2" w:rsidRPr="00997BDD" w:rsidRDefault="00000000" w:rsidP="00C24756">
            <w:r>
              <w:rPr>
                <w:rFonts w:eastAsia="Times New Roman" w:cs="Arial"/>
                <w:lang w:val="pt-BR"/>
              </w:rPr>
              <w:t>A cada 3 anos</w:t>
            </w:r>
          </w:p>
        </w:tc>
      </w:tr>
      <w:tr w:rsidR="00C566B2" w14:paraId="2C2A6CA8" w14:textId="77777777" w:rsidTr="00C566B2">
        <w:trPr>
          <w:cnfStyle w:val="000000100000" w:firstRow="0" w:lastRow="0" w:firstColumn="0" w:lastColumn="0" w:oddVBand="0" w:evenVBand="0" w:oddHBand="1" w:evenHBand="0" w:firstRowFirstColumn="0" w:firstRowLastColumn="0" w:lastRowFirstColumn="0" w:lastRowLastColumn="0"/>
        </w:trPr>
        <w:tc>
          <w:tcPr>
            <w:tcW w:w="2065" w:type="dxa"/>
            <w:shd w:val="clear" w:color="auto" w:fill="DBE5F1"/>
          </w:tcPr>
          <w:p w14:paraId="4073A469" w14:textId="77777777" w:rsidR="004F0ED2" w:rsidRPr="00997BDD" w:rsidRDefault="00000000" w:rsidP="00C24756">
            <w:pPr>
              <w:rPr>
                <w:rFonts w:cs="Times New Roman"/>
                <w:b/>
              </w:rPr>
            </w:pPr>
            <w:r>
              <w:rPr>
                <w:rFonts w:eastAsia="Times New Roman" w:cs="Arial"/>
                <w:lang w:val="pt-BR"/>
              </w:rPr>
              <w:t>Suporte</w:t>
            </w:r>
            <w:r>
              <w:rPr>
                <w:rFonts w:eastAsia="Times New Roman" w:cs="Arial"/>
                <w:b/>
                <w:bCs/>
                <w:lang w:val="pt-BR"/>
              </w:rPr>
              <w:t xml:space="preserve"> </w:t>
            </w:r>
            <w:r>
              <w:rPr>
                <w:rFonts w:eastAsia="Times New Roman" w:cs="Arial"/>
                <w:lang w:val="pt-BR"/>
              </w:rPr>
              <w:t>e</w:t>
            </w:r>
            <w:r>
              <w:rPr>
                <w:rFonts w:eastAsia="Times New Roman" w:cs="Arial"/>
                <w:b/>
                <w:bCs/>
                <w:lang w:val="pt-BR"/>
              </w:rPr>
              <w:t xml:space="preserve"> </w:t>
            </w:r>
            <w:r>
              <w:rPr>
                <w:rFonts w:eastAsia="Times New Roman" w:cs="Arial"/>
                <w:lang w:val="pt-BR"/>
              </w:rPr>
              <w:t>melhoria</w:t>
            </w:r>
            <w:r>
              <w:rPr>
                <w:rFonts w:eastAsia="Times New Roman" w:cs="Arial"/>
                <w:b/>
                <w:bCs/>
                <w:lang w:val="pt-BR"/>
              </w:rPr>
              <w:t xml:space="preserve"> </w:t>
            </w:r>
            <w:r>
              <w:rPr>
                <w:rFonts w:eastAsia="Times New Roman" w:cs="Arial"/>
                <w:lang w:val="pt-BR"/>
              </w:rPr>
              <w:t>direcionados</w:t>
            </w:r>
          </w:p>
        </w:tc>
        <w:tc>
          <w:tcPr>
            <w:tcW w:w="1890" w:type="dxa"/>
            <w:shd w:val="clear" w:color="auto" w:fill="DBE5F1"/>
          </w:tcPr>
          <w:p w14:paraId="2F7717ED" w14:textId="77777777" w:rsidR="004F0ED2" w:rsidRPr="00CC1CB4" w:rsidRDefault="00000000" w:rsidP="00C24756">
            <w:pPr>
              <w:rPr>
                <w:rFonts w:cs="Times New Roman"/>
                <w:lang w:val="es-ES"/>
              </w:rPr>
            </w:pPr>
            <w:r>
              <w:rPr>
                <w:rFonts w:eastAsia="Times New Roman" w:cs="Arial"/>
                <w:lang w:val="pt-BR"/>
              </w:rPr>
              <w:t>Grupo(s) de alunos com desempenho consistentemente inferior</w:t>
            </w:r>
          </w:p>
        </w:tc>
        <w:tc>
          <w:tcPr>
            <w:tcW w:w="3600" w:type="dxa"/>
            <w:shd w:val="clear" w:color="auto" w:fill="DBE5F1"/>
          </w:tcPr>
          <w:p w14:paraId="06DDB964" w14:textId="77777777" w:rsidR="004F0ED2" w:rsidRPr="00CC1CB4" w:rsidRDefault="00000000" w:rsidP="00C24756">
            <w:pPr>
              <w:rPr>
                <w:lang w:val="es-ES"/>
              </w:rPr>
            </w:pPr>
            <w:r>
              <w:rPr>
                <w:rFonts w:eastAsia="Times New Roman" w:cs="Arial"/>
                <w:lang w:val="pt-BR"/>
              </w:rPr>
              <w:t>Escolas com um ou mais grupos de alunos que não cumpriram as metas anuais e tiveram desempenho abaixo da média estadual para todos os indicadores disponíveis por 2 anos consecutivos</w:t>
            </w:r>
          </w:p>
        </w:tc>
        <w:tc>
          <w:tcPr>
            <w:tcW w:w="1800" w:type="dxa"/>
            <w:shd w:val="clear" w:color="auto" w:fill="DBE5F1"/>
          </w:tcPr>
          <w:p w14:paraId="031DE016" w14:textId="77777777" w:rsidR="004F0ED2" w:rsidRPr="00997BDD" w:rsidRDefault="00000000" w:rsidP="00C24756">
            <w:r>
              <w:rPr>
                <w:rFonts w:eastAsia="Times New Roman" w:cs="Arial"/>
                <w:lang w:val="pt-BR"/>
              </w:rPr>
              <w:t>Anualmente</w:t>
            </w:r>
          </w:p>
        </w:tc>
      </w:tr>
    </w:tbl>
    <w:p w14:paraId="72973981" w14:textId="77777777" w:rsidR="00536003" w:rsidRPr="00973098" w:rsidRDefault="00000000" w:rsidP="00826587">
      <w:pPr>
        <w:pStyle w:val="5"/>
        <w:spacing w:before="240"/>
      </w:pPr>
      <w:r>
        <w:rPr>
          <w:rFonts w:ascii="Cambria" w:eastAsia="Cambria" w:hAnsi="Cambria" w:cs="Times New Roman"/>
          <w:bCs/>
          <w:lang w:val="pt-BR"/>
        </w:rPr>
        <w:t>Cronograma</w:t>
      </w:r>
    </w:p>
    <w:p w14:paraId="2E85FDDB" w14:textId="77777777" w:rsidR="00536003" w:rsidRPr="00CC1CB4" w:rsidRDefault="00000000" w:rsidP="2D66CCC3">
      <w:pPr>
        <w:rPr>
          <w:rFonts w:cs="Times New Roman"/>
          <w:lang w:val="es-ES"/>
        </w:rPr>
      </w:pPr>
      <w:r>
        <w:rPr>
          <w:rFonts w:eastAsia="Times New Roman" w:cs="Times New Roman"/>
          <w:lang w:val="pt-BR"/>
        </w:rPr>
        <w:t>Em janeiro de 2018, o NJDOE usou sua metodologia de identificação pela primeira vez para gerar uma lista preliminar de escolas que precisam de apoio e melhoria direcionados ou abrangentes. Janeiro foi o período ideal para a identificação preliminar para garantir que as LEAs e as escolas conhecessem seu status antes do desenvolvimento dos orçamentos anuais e aplicações da ESSA pelas LEAs e para fornecer tempo suficiente a fim de desenvolver estratégias apropriadas e apoio com as partes interessadas.</w:t>
      </w:r>
    </w:p>
    <w:p w14:paraId="656874ED" w14:textId="77777777" w:rsidR="00536003" w:rsidRPr="00CC1CB4" w:rsidRDefault="00000000" w:rsidP="00536003">
      <w:pPr>
        <w:rPr>
          <w:rFonts w:cs="Times New Roman"/>
          <w:lang w:val="es-ES"/>
        </w:rPr>
      </w:pPr>
      <w:r>
        <w:rPr>
          <w:rFonts w:eastAsia="Times New Roman" w:cs="Times New Roman"/>
          <w:lang w:val="pt-BR"/>
        </w:rPr>
        <w:t>O outono de 2018 foi a primeira vez que todos os elementos de dados propostos estavam disponíveis. A versão atualizada da ACCESS for ELLs 2.0 foi dada pela primeira vez a todos os alunos multilíngues no ano letivo de 2016-2017. Para calcular o progresso em direção à proficiência em inglês, o NJDOE precisou avaliar os alunos por um mínimo de dois anos. Portanto, os dados de crescimento não estavam disponíveis até a queda de 2018. Como tal, em novembro de 2018, o NJDOE reexecutou seus dados de responsabilidade usando todos os indicadores para gerar uma lista final de escolas que precisam de melhoria para 2018-2019.</w:t>
      </w:r>
    </w:p>
    <w:p w14:paraId="735A950A" w14:textId="77777777" w:rsidR="00536003" w:rsidRPr="00CC1CB4" w:rsidRDefault="00000000" w:rsidP="6B71CBC4">
      <w:pPr>
        <w:pStyle w:val="RedParagraph"/>
        <w:spacing w:after="200" w:line="276" w:lineRule="auto"/>
        <w:rPr>
          <w:b/>
          <w:bCs w:val="0"/>
          <w:color w:val="auto"/>
          <w:sz w:val="22"/>
          <w:szCs w:val="22"/>
          <w:lang w:val="es-ES"/>
        </w:rPr>
      </w:pPr>
      <w:r>
        <w:rPr>
          <w:rFonts w:eastAsia="Times New Roman"/>
          <w:color w:val="000000"/>
          <w:sz w:val="22"/>
          <w:szCs w:val="22"/>
          <w:lang w:val="pt-BR"/>
        </w:rPr>
        <w:t xml:space="preserve">Devido às circunstâncias extraordinárias criadas pela pandemia, o USED convidou agências educacionais estaduais (State educational agencies, SEAs) para solicitar uma isenção dos requisitos de responsabilidade da ESEA para os anos letivos de 2019-2020 e 2020-2021 e os requisitos de avaliação para o ano letivo de </w:t>
      </w:r>
      <w:r>
        <w:rPr>
          <w:rFonts w:eastAsia="Times New Roman"/>
          <w:color w:val="000000"/>
          <w:sz w:val="22"/>
          <w:szCs w:val="22"/>
          <w:lang w:val="pt-BR"/>
        </w:rPr>
        <w:lastRenderedPageBreak/>
        <w:t xml:space="preserve">2019-2020. Nova Jersey solicitou e recebeu essas isenções. Como parte da isenção de responsabilidade, Nova Jersey concordou em retomar a identificação de escolas para apoio abrangente, direcionado e direcionado adicional no outono de 2022 com base nos dados do ano letivo de 2021-2022. O NJDOE foi aprovado por meio do Adendo ao Plano Estadual para COVID-19 para uma alteração única na frequência, a fim de identificar escolas no outono de 2023 (com base nos dados do ano letivo de 2022-2023). Como resultado, o NJDOE identificou um novo grupo de escolas que precisam de apoio e melhoria abrangentes no outono de 2022 (com base nos dados de 2021-2022) e novamente no outono de 2023 (com base nos dados de 2022-2023). O NJDOE agora retomará a identificação de um novo grupo a cada três anos. </w:t>
      </w:r>
    </w:p>
    <w:p w14:paraId="7514A4E1" w14:textId="77777777" w:rsidR="00546555" w:rsidRPr="00CC1CB4" w:rsidRDefault="00000000" w:rsidP="00826587">
      <w:pPr>
        <w:pStyle w:val="ESSAQUESTIONS"/>
        <w:numPr>
          <w:ilvl w:val="0"/>
          <w:numId w:val="0"/>
        </w:numPr>
        <w:spacing w:line="259" w:lineRule="auto"/>
        <w:rPr>
          <w:rStyle w:val="NJDOEResponse"/>
          <w:i w:val="0"/>
          <w:lang w:val="es-ES"/>
        </w:rPr>
      </w:pPr>
      <w:r>
        <w:rPr>
          <w:rStyle w:val="NJDOEResponse"/>
          <w:rFonts w:eastAsia="Times New Roman"/>
          <w:i w:val="0"/>
          <w:color w:val="365F91"/>
          <w:lang w:val="pt-BR"/>
        </w:rPr>
        <w:t>[finalizar resposta do NJDOE]</w:t>
      </w:r>
    </w:p>
    <w:p w14:paraId="6E4C08F0" w14:textId="77777777" w:rsidR="005829B0" w:rsidRPr="00CC1CB4" w:rsidRDefault="00000000" w:rsidP="008027C6">
      <w:pPr>
        <w:pStyle w:val="BeginUSED"/>
        <w:rPr>
          <w:rStyle w:val="NJDOEResponse"/>
          <w:i/>
          <w:lang w:val="es-ES"/>
        </w:rPr>
      </w:pPr>
      <w:r>
        <w:rPr>
          <w:rFonts w:eastAsia="Times New Roman"/>
          <w:color w:val="FFFFFF"/>
          <w:szCs w:val="4"/>
          <w:lang w:val="pt-BR"/>
        </w:rPr>
        <w:t>[iniciar o texto do USED]</w:t>
      </w:r>
    </w:p>
    <w:p w14:paraId="75FFC47D" w14:textId="77777777" w:rsidR="00826587" w:rsidRPr="00CC1CB4" w:rsidRDefault="00000000" w:rsidP="00700F82">
      <w:pPr>
        <w:pStyle w:val="4"/>
        <w:spacing w:before="0"/>
        <w:ind w:left="432"/>
        <w:rPr>
          <w:lang w:val="es-ES"/>
        </w:rPr>
      </w:pPr>
      <w:bookmarkStart w:id="93" w:name="_Toc199403706"/>
      <w:r>
        <w:rPr>
          <w:rFonts w:ascii="Cambria" w:eastAsia="Cambria" w:hAnsi="Cambria" w:cs="Arial"/>
          <w:szCs w:val="24"/>
          <w:lang w:val="pt-BR"/>
        </w:rPr>
        <w:t>e. Suporte e melhoria direcionados</w:t>
      </w:r>
      <w:bookmarkEnd w:id="93"/>
    </w:p>
    <w:p w14:paraId="7021DF6D" w14:textId="77777777" w:rsidR="001875DD" w:rsidRPr="00CC1CB4" w:rsidRDefault="00000000" w:rsidP="00B67DF2">
      <w:pPr>
        <w:pStyle w:val="blue"/>
        <w:ind w:left="432"/>
        <w:rPr>
          <w:i/>
          <w:iCs/>
          <w:lang w:val="es-ES"/>
        </w:rPr>
      </w:pPr>
      <w:r>
        <w:rPr>
          <w:rFonts w:ascii="Cambria" w:eastAsia="Cambria" w:hAnsi="Cambria"/>
          <w:lang w:val="pt-BR"/>
        </w:rPr>
        <w:t>Descrever</w:t>
      </w:r>
      <w:r>
        <w:rPr>
          <w:rFonts w:ascii="Cambria" w:eastAsia="Cambria" w:hAnsi="Cambria"/>
          <w:i/>
          <w:iCs/>
          <w:lang w:val="pt-BR"/>
        </w:rPr>
        <w:t xml:space="preserve"> </w:t>
      </w:r>
      <w:r>
        <w:rPr>
          <w:rFonts w:ascii="Cambria" w:eastAsia="Cambria" w:hAnsi="Cambria"/>
          <w:lang w:val="pt-BR"/>
        </w:rPr>
        <w:t>a</w:t>
      </w:r>
      <w:r>
        <w:rPr>
          <w:rFonts w:ascii="Cambria" w:eastAsia="Cambria" w:hAnsi="Cambria"/>
          <w:i/>
          <w:iCs/>
          <w:lang w:val="pt-BR"/>
        </w:rPr>
        <w:t xml:space="preserve"> </w:t>
      </w:r>
      <w:r>
        <w:rPr>
          <w:rFonts w:ascii="Cambria" w:eastAsia="Cambria" w:hAnsi="Cambria"/>
          <w:lang w:val="pt-BR"/>
        </w:rPr>
        <w:t>metodologia do</w:t>
      </w:r>
      <w:r>
        <w:rPr>
          <w:rFonts w:ascii="Cambria" w:eastAsia="Cambria" w:hAnsi="Cambria"/>
          <w:i/>
          <w:iCs/>
          <w:lang w:val="pt-BR"/>
        </w:rPr>
        <w:t xml:space="preserve"> </w:t>
      </w:r>
      <w:r>
        <w:rPr>
          <w:rFonts w:ascii="Cambria" w:eastAsia="Cambria" w:hAnsi="Cambria"/>
          <w:lang w:val="pt-BR"/>
        </w:rPr>
        <w:t>estado</w:t>
      </w:r>
      <w:r>
        <w:rPr>
          <w:rFonts w:ascii="Cambria" w:eastAsia="Cambria" w:hAnsi="Cambria"/>
          <w:i/>
          <w:iCs/>
          <w:lang w:val="pt-BR"/>
        </w:rPr>
        <w:t xml:space="preserve"> </w:t>
      </w:r>
      <w:r>
        <w:rPr>
          <w:rFonts w:ascii="Cambria" w:eastAsia="Cambria" w:hAnsi="Cambria"/>
          <w:lang w:val="pt-BR"/>
        </w:rPr>
        <w:t>para</w:t>
      </w:r>
      <w:r>
        <w:rPr>
          <w:rFonts w:ascii="Cambria" w:eastAsia="Cambria" w:hAnsi="Cambria"/>
          <w:i/>
          <w:iCs/>
          <w:lang w:val="pt-BR"/>
        </w:rPr>
        <w:t xml:space="preserve"> </w:t>
      </w:r>
      <w:r>
        <w:rPr>
          <w:rFonts w:ascii="Cambria" w:eastAsia="Cambria" w:hAnsi="Cambria"/>
          <w:lang w:val="pt-BR"/>
        </w:rPr>
        <w:t>identificar</w:t>
      </w:r>
      <w:r>
        <w:rPr>
          <w:rFonts w:ascii="Cambria" w:eastAsia="Cambria" w:hAnsi="Cambria"/>
          <w:i/>
          <w:iCs/>
          <w:lang w:val="pt-BR"/>
        </w:rPr>
        <w:t xml:space="preserve"> </w:t>
      </w:r>
      <w:r>
        <w:rPr>
          <w:rFonts w:ascii="Cambria" w:eastAsia="Cambria" w:hAnsi="Cambria"/>
          <w:lang w:val="pt-BR"/>
        </w:rPr>
        <w:t>anualmente</w:t>
      </w:r>
      <w:r>
        <w:rPr>
          <w:rFonts w:ascii="Cambria" w:eastAsia="Cambria" w:hAnsi="Cambria"/>
          <w:i/>
          <w:iCs/>
          <w:lang w:val="pt-BR"/>
        </w:rPr>
        <w:t xml:space="preserve"> </w:t>
      </w:r>
      <w:r>
        <w:rPr>
          <w:rFonts w:ascii="Cambria" w:eastAsia="Cambria" w:hAnsi="Cambria"/>
          <w:lang w:val="pt-BR"/>
        </w:rPr>
        <w:t>qualquer</w:t>
      </w:r>
      <w:r>
        <w:rPr>
          <w:rFonts w:ascii="Cambria" w:eastAsia="Cambria" w:hAnsi="Cambria"/>
          <w:i/>
          <w:iCs/>
          <w:lang w:val="pt-BR"/>
        </w:rPr>
        <w:t xml:space="preserve"> </w:t>
      </w:r>
      <w:r>
        <w:rPr>
          <w:rFonts w:ascii="Cambria" w:eastAsia="Cambria" w:hAnsi="Cambria"/>
          <w:lang w:val="pt-BR"/>
        </w:rPr>
        <w:t>escola</w:t>
      </w:r>
      <w:r>
        <w:rPr>
          <w:rFonts w:ascii="Cambria" w:eastAsia="Cambria" w:hAnsi="Cambria"/>
          <w:i/>
          <w:iCs/>
          <w:lang w:val="pt-BR"/>
        </w:rPr>
        <w:t xml:space="preserve"> </w:t>
      </w:r>
      <w:r>
        <w:rPr>
          <w:rFonts w:ascii="Cambria" w:eastAsia="Cambria" w:hAnsi="Cambria"/>
          <w:lang w:val="pt-BR"/>
        </w:rPr>
        <w:t>com</w:t>
      </w:r>
      <w:r>
        <w:rPr>
          <w:rFonts w:ascii="Cambria" w:eastAsia="Cambria" w:hAnsi="Cambria"/>
          <w:i/>
          <w:iCs/>
          <w:lang w:val="pt-BR"/>
        </w:rPr>
        <w:t xml:space="preserve"> </w:t>
      </w:r>
      <w:r>
        <w:rPr>
          <w:rFonts w:ascii="Cambria" w:eastAsia="Cambria" w:hAnsi="Cambria"/>
          <w:lang w:val="pt-BR"/>
        </w:rPr>
        <w:t>um</w:t>
      </w:r>
      <w:r>
        <w:rPr>
          <w:rFonts w:ascii="Cambria" w:eastAsia="Cambria" w:hAnsi="Cambria"/>
          <w:i/>
          <w:iCs/>
          <w:lang w:val="pt-BR"/>
        </w:rPr>
        <w:t xml:space="preserve"> </w:t>
      </w:r>
      <w:r>
        <w:rPr>
          <w:rFonts w:ascii="Cambria" w:eastAsia="Cambria" w:hAnsi="Cambria"/>
          <w:lang w:val="pt-BR"/>
        </w:rPr>
        <w:t>ou</w:t>
      </w:r>
      <w:r>
        <w:rPr>
          <w:rFonts w:ascii="Cambria" w:eastAsia="Cambria" w:hAnsi="Cambria"/>
          <w:i/>
          <w:iCs/>
          <w:lang w:val="pt-BR"/>
        </w:rPr>
        <w:t xml:space="preserve"> </w:t>
      </w:r>
      <w:r>
        <w:rPr>
          <w:rFonts w:ascii="Cambria" w:eastAsia="Cambria" w:hAnsi="Cambria"/>
          <w:lang w:val="pt-BR"/>
        </w:rPr>
        <w:t>mais</w:t>
      </w:r>
      <w:r>
        <w:rPr>
          <w:rFonts w:ascii="Cambria" w:eastAsia="Cambria" w:hAnsi="Cambria"/>
          <w:i/>
          <w:iCs/>
          <w:lang w:val="pt-BR"/>
        </w:rPr>
        <w:t xml:space="preserve"> </w:t>
      </w:r>
      <w:r>
        <w:rPr>
          <w:rFonts w:ascii="Cambria" w:eastAsia="Cambria" w:hAnsi="Cambria"/>
          <w:lang w:val="pt-BR"/>
        </w:rPr>
        <w:t>subgrupos</w:t>
      </w:r>
      <w:r>
        <w:rPr>
          <w:rFonts w:ascii="Cambria" w:eastAsia="Cambria" w:hAnsi="Cambria"/>
          <w:i/>
          <w:iCs/>
          <w:lang w:val="pt-BR"/>
        </w:rPr>
        <w:t xml:space="preserve"> </w:t>
      </w:r>
      <w:r>
        <w:rPr>
          <w:rFonts w:ascii="Cambria" w:eastAsia="Cambria" w:hAnsi="Cambria"/>
          <w:lang w:val="pt-BR"/>
        </w:rPr>
        <w:t>de</w:t>
      </w:r>
      <w:r>
        <w:rPr>
          <w:rFonts w:ascii="Cambria" w:eastAsia="Cambria" w:hAnsi="Cambria"/>
          <w:i/>
          <w:iCs/>
          <w:lang w:val="pt-BR"/>
        </w:rPr>
        <w:t xml:space="preserve"> </w:t>
      </w:r>
      <w:r>
        <w:rPr>
          <w:rFonts w:ascii="Cambria" w:eastAsia="Cambria" w:hAnsi="Cambria"/>
          <w:lang w:val="pt-BR"/>
        </w:rPr>
        <w:t>alunos</w:t>
      </w:r>
      <w:r>
        <w:rPr>
          <w:rFonts w:ascii="Cambria" w:eastAsia="Cambria" w:hAnsi="Cambria"/>
          <w:i/>
          <w:iCs/>
          <w:lang w:val="pt-BR"/>
        </w:rPr>
        <w:t xml:space="preserve"> </w:t>
      </w:r>
      <w:r>
        <w:rPr>
          <w:rFonts w:ascii="Cambria" w:eastAsia="Cambria" w:hAnsi="Cambria"/>
          <w:lang w:val="pt-BR"/>
        </w:rPr>
        <w:t>“consistentemente</w:t>
      </w:r>
      <w:r>
        <w:rPr>
          <w:rFonts w:ascii="Cambria" w:eastAsia="Cambria" w:hAnsi="Cambria"/>
          <w:i/>
          <w:iCs/>
          <w:lang w:val="pt-BR"/>
        </w:rPr>
        <w:t xml:space="preserve"> </w:t>
      </w:r>
      <w:r>
        <w:rPr>
          <w:rFonts w:ascii="Cambria" w:eastAsia="Cambria" w:hAnsi="Cambria"/>
          <w:lang w:val="pt-BR"/>
        </w:rPr>
        <w:t>com baixo desempenho”,</w:t>
      </w:r>
      <w:r>
        <w:rPr>
          <w:rFonts w:ascii="Cambria" w:eastAsia="Cambria" w:hAnsi="Cambria"/>
          <w:i/>
          <w:iCs/>
          <w:lang w:val="pt-BR"/>
        </w:rPr>
        <w:t xml:space="preserve"> </w:t>
      </w:r>
      <w:r>
        <w:rPr>
          <w:rFonts w:ascii="Cambria" w:eastAsia="Cambria" w:hAnsi="Cambria"/>
          <w:lang w:val="pt-BR"/>
        </w:rPr>
        <w:t>com</w:t>
      </w:r>
      <w:r>
        <w:rPr>
          <w:rFonts w:ascii="Cambria" w:eastAsia="Cambria" w:hAnsi="Cambria"/>
          <w:i/>
          <w:iCs/>
          <w:lang w:val="pt-BR"/>
        </w:rPr>
        <w:t xml:space="preserve"> </w:t>
      </w:r>
      <w:r>
        <w:rPr>
          <w:rFonts w:ascii="Cambria" w:eastAsia="Cambria" w:hAnsi="Cambria"/>
          <w:lang w:val="pt-BR"/>
        </w:rPr>
        <w:t>base</w:t>
      </w:r>
      <w:r>
        <w:rPr>
          <w:rFonts w:ascii="Cambria" w:eastAsia="Cambria" w:hAnsi="Cambria"/>
          <w:i/>
          <w:iCs/>
          <w:lang w:val="pt-BR"/>
        </w:rPr>
        <w:t xml:space="preserve"> </w:t>
      </w:r>
      <w:r>
        <w:rPr>
          <w:rFonts w:ascii="Cambria" w:eastAsia="Cambria" w:hAnsi="Cambria"/>
          <w:lang w:val="pt-BR"/>
        </w:rPr>
        <w:t>em</w:t>
      </w:r>
      <w:r>
        <w:rPr>
          <w:rFonts w:ascii="Cambria" w:eastAsia="Cambria" w:hAnsi="Cambria"/>
          <w:i/>
          <w:iCs/>
          <w:lang w:val="pt-BR"/>
        </w:rPr>
        <w:t xml:space="preserve"> </w:t>
      </w:r>
      <w:r>
        <w:rPr>
          <w:rFonts w:ascii="Cambria" w:eastAsia="Cambria" w:hAnsi="Cambria"/>
          <w:lang w:val="pt-BR"/>
        </w:rPr>
        <w:t>todos os</w:t>
      </w:r>
      <w:r>
        <w:rPr>
          <w:rFonts w:ascii="Cambria" w:eastAsia="Cambria" w:hAnsi="Cambria"/>
          <w:i/>
          <w:iCs/>
          <w:lang w:val="pt-BR"/>
        </w:rPr>
        <w:t xml:space="preserve"> </w:t>
      </w:r>
      <w:r>
        <w:rPr>
          <w:rFonts w:ascii="Cambria" w:eastAsia="Cambria" w:hAnsi="Cambria"/>
          <w:lang w:val="pt-BR"/>
        </w:rPr>
        <w:t>indicadores</w:t>
      </w:r>
      <w:r>
        <w:rPr>
          <w:rFonts w:ascii="Cambria" w:eastAsia="Cambria" w:hAnsi="Cambria"/>
          <w:i/>
          <w:iCs/>
          <w:lang w:val="pt-BR"/>
        </w:rPr>
        <w:t xml:space="preserve"> </w:t>
      </w:r>
      <w:r>
        <w:rPr>
          <w:rFonts w:ascii="Cambria" w:eastAsia="Cambria" w:hAnsi="Cambria"/>
          <w:lang w:val="pt-BR"/>
        </w:rPr>
        <w:t>no</w:t>
      </w:r>
      <w:r>
        <w:rPr>
          <w:rFonts w:ascii="Cambria" w:eastAsia="Cambria" w:hAnsi="Cambria"/>
          <w:i/>
          <w:iCs/>
          <w:lang w:val="pt-BR"/>
        </w:rPr>
        <w:t xml:space="preserve"> </w:t>
      </w:r>
      <w:r>
        <w:rPr>
          <w:rFonts w:ascii="Cambria" w:eastAsia="Cambria" w:hAnsi="Cambria"/>
          <w:lang w:val="pt-BR"/>
        </w:rPr>
        <w:t>sistema</w:t>
      </w:r>
      <w:r>
        <w:rPr>
          <w:rFonts w:ascii="Cambria" w:eastAsia="Cambria" w:hAnsi="Cambria"/>
          <w:i/>
          <w:iCs/>
          <w:lang w:val="pt-BR"/>
        </w:rPr>
        <w:t xml:space="preserve"> </w:t>
      </w:r>
      <w:r>
        <w:rPr>
          <w:rFonts w:ascii="Cambria" w:eastAsia="Cambria" w:hAnsi="Cambria"/>
          <w:lang w:val="pt-BR"/>
        </w:rPr>
        <w:t>estadual</w:t>
      </w:r>
      <w:r>
        <w:rPr>
          <w:rFonts w:ascii="Cambria" w:eastAsia="Cambria" w:hAnsi="Cambria"/>
          <w:i/>
          <w:iCs/>
          <w:lang w:val="pt-BR"/>
        </w:rPr>
        <w:t xml:space="preserve"> </w:t>
      </w:r>
      <w:r>
        <w:rPr>
          <w:rFonts w:ascii="Cambria" w:eastAsia="Cambria" w:hAnsi="Cambria"/>
          <w:lang w:val="pt-BR"/>
        </w:rPr>
        <w:t>de</w:t>
      </w:r>
      <w:r>
        <w:rPr>
          <w:rFonts w:ascii="Cambria" w:eastAsia="Cambria" w:hAnsi="Cambria"/>
          <w:i/>
          <w:iCs/>
          <w:lang w:val="pt-BR"/>
        </w:rPr>
        <w:t xml:space="preserve"> </w:t>
      </w:r>
      <w:r>
        <w:rPr>
          <w:rFonts w:ascii="Cambria" w:eastAsia="Cambria" w:hAnsi="Cambria"/>
          <w:lang w:val="pt-BR"/>
        </w:rPr>
        <w:t>diferenciação</w:t>
      </w:r>
      <w:r>
        <w:rPr>
          <w:rFonts w:ascii="Cambria" w:eastAsia="Cambria" w:hAnsi="Cambria"/>
          <w:i/>
          <w:iCs/>
          <w:lang w:val="pt-BR"/>
        </w:rPr>
        <w:t xml:space="preserve"> </w:t>
      </w:r>
      <w:r>
        <w:rPr>
          <w:rFonts w:ascii="Cambria" w:eastAsia="Cambria" w:hAnsi="Cambria"/>
          <w:lang w:val="pt-BR"/>
        </w:rPr>
        <w:t>significativa</w:t>
      </w:r>
      <w:r>
        <w:rPr>
          <w:rFonts w:ascii="Cambria" w:eastAsia="Cambria" w:hAnsi="Cambria"/>
          <w:i/>
          <w:iCs/>
          <w:lang w:val="pt-BR"/>
        </w:rPr>
        <w:t xml:space="preserve"> </w:t>
      </w:r>
      <w:r>
        <w:rPr>
          <w:rFonts w:ascii="Cambria" w:eastAsia="Cambria" w:hAnsi="Cambria"/>
          <w:lang w:val="pt-BR"/>
        </w:rPr>
        <w:t>anual,</w:t>
      </w:r>
      <w:r>
        <w:rPr>
          <w:rFonts w:ascii="Cambria" w:eastAsia="Cambria" w:hAnsi="Cambria"/>
          <w:i/>
          <w:iCs/>
          <w:lang w:val="pt-BR"/>
        </w:rPr>
        <w:t xml:space="preserve"> </w:t>
      </w:r>
      <w:r>
        <w:rPr>
          <w:rFonts w:ascii="Cambria" w:eastAsia="Cambria" w:hAnsi="Cambria"/>
          <w:lang w:val="pt-BR"/>
        </w:rPr>
        <w:t>incluindo</w:t>
      </w:r>
      <w:r>
        <w:rPr>
          <w:rFonts w:ascii="Cambria" w:eastAsia="Cambria" w:hAnsi="Cambria"/>
          <w:i/>
          <w:iCs/>
          <w:lang w:val="pt-BR"/>
        </w:rPr>
        <w:t xml:space="preserve"> </w:t>
      </w:r>
      <w:r>
        <w:rPr>
          <w:rFonts w:ascii="Cambria" w:eastAsia="Cambria" w:hAnsi="Cambria"/>
          <w:lang w:val="pt-BR"/>
        </w:rPr>
        <w:t>a</w:t>
      </w:r>
      <w:r>
        <w:rPr>
          <w:rFonts w:ascii="Cambria" w:eastAsia="Cambria" w:hAnsi="Cambria"/>
          <w:i/>
          <w:iCs/>
          <w:lang w:val="pt-BR"/>
        </w:rPr>
        <w:t xml:space="preserve"> </w:t>
      </w:r>
      <w:r>
        <w:rPr>
          <w:rFonts w:ascii="Cambria" w:eastAsia="Cambria" w:hAnsi="Cambria"/>
          <w:lang w:val="pt-BR"/>
        </w:rPr>
        <w:t>definição</w:t>
      </w:r>
      <w:r>
        <w:rPr>
          <w:rFonts w:ascii="Cambria" w:eastAsia="Cambria" w:hAnsi="Cambria"/>
          <w:i/>
          <w:iCs/>
          <w:lang w:val="pt-BR"/>
        </w:rPr>
        <w:t xml:space="preserve"> </w:t>
      </w:r>
      <w:r>
        <w:rPr>
          <w:rFonts w:ascii="Cambria" w:eastAsia="Cambria" w:hAnsi="Cambria"/>
          <w:lang w:val="pt-BR"/>
        </w:rPr>
        <w:t>usada</w:t>
      </w:r>
      <w:r>
        <w:rPr>
          <w:rFonts w:ascii="Cambria" w:eastAsia="Cambria" w:hAnsi="Cambria"/>
          <w:i/>
          <w:iCs/>
          <w:lang w:val="pt-BR"/>
        </w:rPr>
        <w:t xml:space="preserve"> </w:t>
      </w:r>
      <w:r>
        <w:rPr>
          <w:rFonts w:ascii="Cambria" w:eastAsia="Cambria" w:hAnsi="Cambria"/>
          <w:lang w:val="pt-BR"/>
        </w:rPr>
        <w:t>pelo</w:t>
      </w:r>
      <w:r>
        <w:rPr>
          <w:rFonts w:ascii="Cambria" w:eastAsia="Cambria" w:hAnsi="Cambria"/>
          <w:i/>
          <w:iCs/>
          <w:lang w:val="pt-BR"/>
        </w:rPr>
        <w:t xml:space="preserve"> </w:t>
      </w:r>
      <w:r>
        <w:rPr>
          <w:rFonts w:ascii="Cambria" w:eastAsia="Cambria" w:hAnsi="Cambria"/>
          <w:lang w:val="pt-BR"/>
        </w:rPr>
        <w:t>Estado</w:t>
      </w:r>
      <w:r>
        <w:rPr>
          <w:rFonts w:ascii="Cambria" w:eastAsia="Cambria" w:hAnsi="Cambria"/>
          <w:i/>
          <w:iCs/>
          <w:lang w:val="pt-BR"/>
        </w:rPr>
        <w:t xml:space="preserve"> </w:t>
      </w:r>
      <w:r>
        <w:rPr>
          <w:rFonts w:ascii="Cambria" w:eastAsia="Cambria" w:hAnsi="Cambria"/>
          <w:lang w:val="pt-BR"/>
        </w:rPr>
        <w:t>para</w:t>
      </w:r>
      <w:r>
        <w:rPr>
          <w:rFonts w:ascii="Cambria" w:eastAsia="Cambria" w:hAnsi="Cambria"/>
          <w:i/>
          <w:iCs/>
          <w:lang w:val="pt-BR"/>
        </w:rPr>
        <w:t xml:space="preserve"> </w:t>
      </w:r>
      <w:r>
        <w:rPr>
          <w:rFonts w:ascii="Cambria" w:eastAsia="Cambria" w:hAnsi="Cambria"/>
          <w:lang w:val="pt-BR"/>
        </w:rPr>
        <w:t>determinar</w:t>
      </w:r>
      <w:r>
        <w:rPr>
          <w:rFonts w:ascii="Cambria" w:eastAsia="Cambria" w:hAnsi="Cambria"/>
          <w:i/>
          <w:iCs/>
          <w:lang w:val="pt-BR"/>
        </w:rPr>
        <w:t xml:space="preserve"> </w:t>
      </w:r>
      <w:r>
        <w:rPr>
          <w:rFonts w:ascii="Cambria" w:eastAsia="Cambria" w:hAnsi="Cambria"/>
          <w:lang w:val="pt-BR"/>
        </w:rPr>
        <w:t>o</w:t>
      </w:r>
      <w:r>
        <w:rPr>
          <w:rFonts w:ascii="Cambria" w:eastAsia="Cambria" w:hAnsi="Cambria"/>
          <w:i/>
          <w:iCs/>
          <w:lang w:val="pt-BR"/>
        </w:rPr>
        <w:t xml:space="preserve"> </w:t>
      </w:r>
      <w:r>
        <w:rPr>
          <w:rFonts w:ascii="Cambria" w:eastAsia="Cambria" w:hAnsi="Cambria"/>
          <w:lang w:val="pt-BR"/>
        </w:rPr>
        <w:t>baixo desempenho</w:t>
      </w:r>
      <w:r>
        <w:rPr>
          <w:rFonts w:ascii="Cambria" w:eastAsia="Cambria" w:hAnsi="Cambria"/>
          <w:i/>
          <w:iCs/>
          <w:lang w:val="pt-BR"/>
        </w:rPr>
        <w:t xml:space="preserve"> </w:t>
      </w:r>
      <w:r>
        <w:rPr>
          <w:rFonts w:ascii="Cambria" w:eastAsia="Cambria" w:hAnsi="Cambria"/>
          <w:lang w:val="pt-BR"/>
        </w:rPr>
        <w:t>consistente.</w:t>
      </w:r>
      <w:r>
        <w:rPr>
          <w:rFonts w:ascii="Cambria" w:eastAsia="Cambria" w:hAnsi="Cambria"/>
          <w:i/>
          <w:iCs/>
          <w:lang w:val="pt-BR"/>
        </w:rPr>
        <w:t xml:space="preserve"> </w:t>
      </w:r>
      <w:r>
        <w:rPr>
          <w:rFonts w:ascii="Cambria" w:eastAsia="Cambria" w:hAnsi="Cambria"/>
          <w:lang w:val="pt-BR"/>
        </w:rPr>
        <w:t>(</w:t>
      </w:r>
      <w:r>
        <w:rPr>
          <w:rFonts w:ascii="Cambria" w:eastAsia="Cambria" w:hAnsi="Cambria"/>
          <w:i/>
          <w:iCs/>
          <w:lang w:val="pt-BR"/>
        </w:rPr>
        <w:t xml:space="preserve"> </w:t>
      </w:r>
      <w:r>
        <w:rPr>
          <w:rFonts w:ascii="Cambria" w:eastAsia="Cambria" w:hAnsi="Cambria"/>
          <w:lang w:val="pt-BR"/>
        </w:rPr>
        <w:t>Seção ESEA</w:t>
      </w:r>
      <w:r>
        <w:rPr>
          <w:rFonts w:ascii="Cambria" w:eastAsia="Cambria" w:hAnsi="Cambria"/>
          <w:i/>
          <w:iCs/>
          <w:lang w:val="pt-BR"/>
        </w:rPr>
        <w:t xml:space="preserve"> </w:t>
      </w:r>
      <w:r>
        <w:rPr>
          <w:rFonts w:ascii="Cambria" w:eastAsia="Cambria" w:hAnsi="Cambria"/>
          <w:lang w:val="pt-BR"/>
        </w:rPr>
        <w:t>1111(c)(4)(C)(iii))</w:t>
      </w:r>
    </w:p>
    <w:p w14:paraId="5E8547B7" w14:textId="77777777" w:rsidR="008027C6" w:rsidRPr="00CC1CB4" w:rsidRDefault="00000000" w:rsidP="008027C6">
      <w:pPr>
        <w:pStyle w:val="EndUSED"/>
        <w:rPr>
          <w:i/>
          <w:iCs/>
          <w:lang w:val="es-ES"/>
        </w:rPr>
      </w:pPr>
      <w:r>
        <w:rPr>
          <w:rFonts w:eastAsia="Times New Roman"/>
          <w:color w:val="FFFFFF"/>
          <w:szCs w:val="4"/>
          <w:lang w:val="pt-BR"/>
        </w:rPr>
        <w:t>[finalizar texto do USED]</w:t>
      </w:r>
    </w:p>
    <w:p w14:paraId="3A1D1FB5" w14:textId="77777777" w:rsidR="001875DD" w:rsidRPr="00CC1CB4" w:rsidRDefault="00000000" w:rsidP="00B90321">
      <w:pPr>
        <w:spacing w:before="240" w:line="259" w:lineRule="auto"/>
        <w:rPr>
          <w:rStyle w:val="NJDOEResponse"/>
          <w:lang w:val="es-ES"/>
        </w:rPr>
      </w:pPr>
      <w:bookmarkStart w:id="94" w:name="_Hlk166068649"/>
      <w:r>
        <w:rPr>
          <w:rStyle w:val="NJDOEResponse"/>
          <w:rFonts w:eastAsia="Times New Roman"/>
          <w:color w:val="365F91"/>
          <w:lang w:val="pt-BR"/>
        </w:rPr>
        <w:t>[iniciar a resposta do NJDOE]</w:t>
      </w:r>
    </w:p>
    <w:bookmarkEnd w:id="94"/>
    <w:p w14:paraId="0A562FA2" w14:textId="77777777" w:rsidR="001875DD" w:rsidRPr="00CC1CB4" w:rsidRDefault="00000000" w:rsidP="00467C64">
      <w:pPr>
        <w:pStyle w:val="5"/>
        <w:rPr>
          <w:lang w:val="es-ES"/>
        </w:rPr>
      </w:pPr>
      <w:r>
        <w:rPr>
          <w:rFonts w:ascii="Cambria" w:eastAsia="Cambria" w:hAnsi="Cambria" w:cs="Times New Roman"/>
          <w:bCs/>
          <w:lang w:val="pt-BR"/>
        </w:rPr>
        <w:t xml:space="preserve">Metodologia para identificar escolas de apoio e melhoria direcionadas: Grupos de alunos com desempenho consistentemente inferior (TSI) </w:t>
      </w:r>
    </w:p>
    <w:p w14:paraId="276E1B44" w14:textId="77777777" w:rsidR="002155C8" w:rsidRPr="00CC1CB4" w:rsidRDefault="00000000" w:rsidP="6B71CBC4">
      <w:pPr>
        <w:rPr>
          <w:rFonts w:cs="Times New Roman"/>
          <w:lang w:val="es-ES"/>
        </w:rPr>
      </w:pPr>
      <w:r>
        <w:rPr>
          <w:rFonts w:eastAsia="Times New Roman" w:cs="Times New Roman"/>
          <w:lang w:val="pt-BR"/>
        </w:rPr>
        <w:t>O NJDOE identificará escolas para o status de apoio e melhoria direcionados (TSI) anualmente com base no desempenho do ano letivo atual e do ano letivo anterior, ou seja, dois anos consecutivos. Os grupos de alunos são identificados como “desempenho constantemente inferior” se o grupo de alunos não atingir todas as metas intermediárias para todos os indicadores por dois anos consecutivos e apresentar desempenho abaixo da média estadual para todos os indicadores. Uma escola será identificada para apoio e melhoria direcionados se um ou mais grupos de alunos forem identificados como consistentemente com baixo desempenho.</w:t>
      </w:r>
    </w:p>
    <w:p w14:paraId="4618C922" w14:textId="77777777" w:rsidR="00894A1B" w:rsidRPr="00CC1CB4" w:rsidRDefault="00000000" w:rsidP="001875DD">
      <w:pPr>
        <w:spacing w:line="259" w:lineRule="auto"/>
        <w:rPr>
          <w:rFonts w:cs="Times New Roman"/>
          <w:lang w:val="es-ES"/>
        </w:rPr>
      </w:pPr>
      <w:r>
        <w:rPr>
          <w:rFonts w:eastAsia="Times New Roman" w:cs="Times New Roman"/>
          <w:lang w:val="pt-BR"/>
        </w:rPr>
        <w:t>Isso significa que pelo menos um grupo de alunos:</w:t>
      </w:r>
    </w:p>
    <w:p w14:paraId="3FE8F77E" w14:textId="77777777" w:rsidR="00894A1B" w:rsidRPr="00CC1CB4" w:rsidRDefault="00000000">
      <w:pPr>
        <w:pStyle w:val="a6"/>
        <w:numPr>
          <w:ilvl w:val="0"/>
          <w:numId w:val="19"/>
        </w:numPr>
        <w:rPr>
          <w:rFonts w:cs="Times New Roman"/>
          <w:lang w:val="es-ES"/>
        </w:rPr>
      </w:pPr>
      <w:r>
        <w:rPr>
          <w:rFonts w:eastAsia="Times New Roman" w:cs="Times New Roman"/>
          <w:lang w:val="pt-BR"/>
        </w:rPr>
        <w:t>se enquadra nos níveis de desempenho “Sem melhoria” ou “Progresso” para todos os indicadores de realização acadêmica, taxa de formação (somente escolas de ensino médio) e progresso em direção à proficiência na língua inglesa disponíveis por dois anos consecutivos;</w:t>
      </w:r>
      <w:r>
        <w:rPr>
          <w:rStyle w:val="af4"/>
          <w:rFonts w:cs="Times New Roman"/>
        </w:rPr>
        <w:footnoteReference w:id="6"/>
      </w:r>
      <w:r>
        <w:rPr>
          <w:rFonts w:eastAsia="Times New Roman" w:cs="Times New Roman"/>
          <w:lang w:val="pt-BR"/>
        </w:rPr>
        <w:t>;</w:t>
      </w:r>
    </w:p>
    <w:p w14:paraId="676B63F4" w14:textId="77777777" w:rsidR="00C94182" w:rsidRPr="00CC1CB4" w:rsidRDefault="00000000">
      <w:pPr>
        <w:pStyle w:val="a6"/>
        <w:numPr>
          <w:ilvl w:val="0"/>
          <w:numId w:val="19"/>
        </w:numPr>
        <w:rPr>
          <w:rFonts w:cs="Times New Roman"/>
          <w:lang w:val="es-ES"/>
        </w:rPr>
      </w:pPr>
      <w:r>
        <w:rPr>
          <w:rFonts w:eastAsia="Times New Roman" w:cs="Times New Roman"/>
          <w:lang w:val="pt-BR"/>
        </w:rPr>
        <w:t>se enquadra no nível de desempenho “Abaixo do padrão” para cada indicador de progresso acadêmico (apenas escolas primárias e secundárias) por dois anos consecutivos;</w:t>
      </w:r>
    </w:p>
    <w:p w14:paraId="1DE676E9" w14:textId="77777777" w:rsidR="00F50EE7" w:rsidRPr="00CC1CB4" w:rsidRDefault="00000000">
      <w:pPr>
        <w:pStyle w:val="a6"/>
        <w:numPr>
          <w:ilvl w:val="0"/>
          <w:numId w:val="19"/>
        </w:numPr>
        <w:rPr>
          <w:rFonts w:cs="Times New Roman"/>
          <w:lang w:val="es-ES"/>
        </w:rPr>
      </w:pPr>
      <w:r>
        <w:rPr>
          <w:rFonts w:eastAsia="Times New Roman" w:cs="Times New Roman"/>
          <w:lang w:val="pt-BR"/>
        </w:rPr>
        <w:lastRenderedPageBreak/>
        <w:t>se enquadra no nível de desempenho “Objetivo não atingido” para absenteísmo crônico por dois anos consecutivos;</w:t>
      </w:r>
    </w:p>
    <w:p w14:paraId="2D6C985F" w14:textId="77777777" w:rsidR="0028153E" w:rsidRPr="00CC1CB4" w:rsidRDefault="00000000">
      <w:pPr>
        <w:pStyle w:val="a6"/>
        <w:numPr>
          <w:ilvl w:val="0"/>
          <w:numId w:val="19"/>
        </w:numPr>
        <w:rPr>
          <w:rFonts w:cs="Times New Roman"/>
          <w:lang w:val="es-ES"/>
        </w:rPr>
      </w:pPr>
      <w:r>
        <w:rPr>
          <w:rFonts w:eastAsia="Times New Roman" w:cs="Times New Roman"/>
          <w:lang w:val="pt-BR"/>
        </w:rPr>
        <w:t>apresenta desempenho abaixo da média estadual para todos os alunos (não a média estadual específica do grupo de alunos) para realização acadêmica, taxa de formação e progresso em direção aos indicadores de proficiência em inglês no ano atual.</w:t>
      </w:r>
    </w:p>
    <w:p w14:paraId="3A1E322E" w14:textId="77777777" w:rsidR="00654DB7" w:rsidRPr="00CC1CB4" w:rsidRDefault="00000000" w:rsidP="00B90321">
      <w:pPr>
        <w:rPr>
          <w:rFonts w:cs="Times New Roman"/>
          <w:lang w:val="es-ES"/>
        </w:rPr>
      </w:pPr>
      <w:r>
        <w:rPr>
          <w:rStyle w:val="NJDOEResponse"/>
          <w:rFonts w:eastAsia="Times New Roman"/>
          <w:color w:val="000000"/>
          <w:lang w:val="pt-BR"/>
        </w:rPr>
        <w:t xml:space="preserve">Além disso, uma escola colocada na categoria TSI tem a oportunidade de sair do status anualmente caso atinja suas metas anuais ou tenha desempenho acima da média estadual para realização acadêmica, taxa de formação ou progresso em direção à proficiência em inglês. </w:t>
      </w:r>
    </w:p>
    <w:p w14:paraId="3377D4FF" w14:textId="77777777" w:rsidR="001875DD" w:rsidRPr="00CC1CB4" w:rsidRDefault="00000000" w:rsidP="00826587">
      <w:pPr>
        <w:spacing w:line="259" w:lineRule="auto"/>
        <w:rPr>
          <w:rStyle w:val="NJDOEResponse"/>
          <w:lang w:val="es-ES"/>
        </w:rPr>
      </w:pPr>
      <w:r>
        <w:rPr>
          <w:rStyle w:val="NJDOEResponse"/>
          <w:rFonts w:eastAsia="Times New Roman"/>
          <w:color w:val="365F91"/>
          <w:lang w:val="pt-BR"/>
        </w:rPr>
        <w:t>[finalizar resposta do NJDOE]</w:t>
      </w:r>
    </w:p>
    <w:p w14:paraId="1732FCA7" w14:textId="77777777" w:rsidR="008027C6" w:rsidRPr="00CC1CB4" w:rsidRDefault="00000000" w:rsidP="008027C6">
      <w:pPr>
        <w:pStyle w:val="BeginUSED"/>
        <w:rPr>
          <w:rFonts w:cs="Times New Roman"/>
          <w:lang w:val="es-ES"/>
        </w:rPr>
      </w:pPr>
      <w:r>
        <w:rPr>
          <w:rFonts w:eastAsia="Times New Roman"/>
          <w:color w:val="FFFFFF"/>
          <w:szCs w:val="4"/>
          <w:lang w:val="pt-BR"/>
        </w:rPr>
        <w:t>[iniciar o texto do USED]</w:t>
      </w:r>
    </w:p>
    <w:p w14:paraId="1A13471F" w14:textId="77777777" w:rsidR="00826587" w:rsidRPr="00CC1CB4" w:rsidRDefault="00000000" w:rsidP="00B67DF2">
      <w:pPr>
        <w:pStyle w:val="4"/>
        <w:ind w:left="432"/>
        <w:rPr>
          <w:lang w:val="es-ES"/>
        </w:rPr>
      </w:pPr>
      <w:bookmarkStart w:id="95" w:name="_Toc199403707"/>
      <w:r>
        <w:rPr>
          <w:rFonts w:ascii="Cambria" w:eastAsia="Cambria" w:hAnsi="Cambria" w:cs="Arial"/>
          <w:szCs w:val="24"/>
          <w:lang w:val="pt-BR"/>
        </w:rPr>
        <w:t>f. Suporte direcionado adicional</w:t>
      </w:r>
      <w:bookmarkEnd w:id="95"/>
    </w:p>
    <w:p w14:paraId="709C296E" w14:textId="77777777" w:rsidR="008027C6" w:rsidRPr="00CC1CB4" w:rsidRDefault="00000000" w:rsidP="00B67DF2">
      <w:pPr>
        <w:pStyle w:val="blue"/>
        <w:ind w:left="432"/>
        <w:rPr>
          <w:lang w:val="es-ES"/>
        </w:rPr>
      </w:pPr>
      <w:r>
        <w:rPr>
          <w:rFonts w:ascii="Cambria" w:eastAsia="Cambria" w:hAnsi="Cambria"/>
          <w:lang w:val="pt-BR"/>
        </w:rPr>
        <w:t xml:space="preserve">Descrever a metodologia do estado, para identificar escolas nas quais qualquer subgrupo de alunos, por si só, levaria à identificação na seção 1111(c)(4)(D)(i)(I) da ESEA, usando a metodologia do estado na seção 1111(c)(4)(D da ESEA), incluindo o ano em que o estado identificará primeiro essas escolas e a frequência com que ele identificará, posteriormente, essas escolas. (seção ESEA 1111(d)(2)(C)-(D)) </w:t>
      </w:r>
    </w:p>
    <w:p w14:paraId="31EE5181" w14:textId="77777777" w:rsidR="008027C6" w:rsidRPr="00CC1CB4" w:rsidRDefault="00000000" w:rsidP="008027C6">
      <w:pPr>
        <w:pStyle w:val="EndUSED"/>
        <w:rPr>
          <w:lang w:val="es-ES"/>
        </w:rPr>
      </w:pPr>
      <w:r>
        <w:rPr>
          <w:rFonts w:eastAsia="Times New Roman"/>
          <w:color w:val="FFFFFF"/>
          <w:szCs w:val="4"/>
          <w:lang w:val="pt-BR"/>
        </w:rPr>
        <w:t>[finalizar texto do USED]</w:t>
      </w:r>
    </w:p>
    <w:p w14:paraId="1EB9951C" w14:textId="77777777" w:rsidR="00F62C57" w:rsidRPr="00CC1CB4" w:rsidRDefault="00000000" w:rsidP="00B90321">
      <w:pPr>
        <w:spacing w:before="240" w:line="259" w:lineRule="auto"/>
        <w:rPr>
          <w:rFonts w:cs="Times New Roman"/>
          <w:color w:val="365F91" w:themeColor="accent1" w:themeShade="BF"/>
          <w:lang w:val="es-ES"/>
        </w:rPr>
      </w:pPr>
      <w:r>
        <w:rPr>
          <w:rStyle w:val="NJDOEResponse"/>
          <w:rFonts w:eastAsia="Times New Roman"/>
          <w:color w:val="365F91"/>
          <w:lang w:val="pt-BR"/>
        </w:rPr>
        <w:t>[iniciar a resposta do NJDOE]</w:t>
      </w:r>
    </w:p>
    <w:p w14:paraId="509A2571" w14:textId="77777777" w:rsidR="001875DD" w:rsidRPr="00CC1CB4" w:rsidRDefault="00000000" w:rsidP="00664B3F">
      <w:pPr>
        <w:pStyle w:val="5"/>
        <w:rPr>
          <w:lang w:val="es-ES"/>
        </w:rPr>
      </w:pPr>
      <w:r>
        <w:rPr>
          <w:rFonts w:ascii="Cambria" w:eastAsia="Cambria" w:hAnsi="Cambria" w:cs="Times New Roman"/>
          <w:bCs/>
          <w:lang w:val="pt-BR"/>
        </w:rPr>
        <w:t>Metodologia para identificar suporte e melhoria direcionados adicionais (ATSI)</w:t>
      </w:r>
    </w:p>
    <w:p w14:paraId="449B4AD3" w14:textId="77777777" w:rsidR="001875DD" w:rsidRPr="00CC1CB4" w:rsidRDefault="00000000" w:rsidP="6B71CBC4">
      <w:pPr>
        <w:rPr>
          <w:highlight w:val="yellow"/>
          <w:lang w:val="es-ES"/>
        </w:rPr>
      </w:pPr>
      <w:r>
        <w:rPr>
          <w:rFonts w:eastAsia="Times New Roman" w:cs="Times New Roman"/>
          <w:lang w:val="pt-BR"/>
        </w:rPr>
        <w:t xml:space="preserve">Para identificar escolas para apoio e melhoria direcionados adicionais (additional targeted support and improvement, ATSI), uma pontuação somativa é calculada para cada grupo de alunos em cada escola usando a mesma metodologia aplicada às escolas. Qualquer grupo de alunos com uma pontuação somativa menor ou igual à pontuação de corte usada para identificar escolas para apoio e melhoria abrangentes é identificado como de baixo desempenho. Qualquer escola que tenha um ou mais grupos de alunos identificados como de baixo desempenho será identificada para suporte e melhoria direcionados adicionais. </w:t>
      </w:r>
    </w:p>
    <w:p w14:paraId="14925446" w14:textId="77777777" w:rsidR="001875DD" w:rsidRPr="00CC1CB4" w:rsidRDefault="00000000" w:rsidP="00943BBC">
      <w:pPr>
        <w:pStyle w:val="5"/>
        <w:rPr>
          <w:lang w:val="es-ES"/>
        </w:rPr>
      </w:pPr>
      <w:r>
        <w:rPr>
          <w:rFonts w:ascii="Cambria" w:eastAsia="Cambria" w:hAnsi="Cambria" w:cs="Times New Roman"/>
          <w:bCs/>
          <w:lang w:val="pt-BR"/>
        </w:rPr>
        <w:t>Cronograma</w:t>
      </w:r>
    </w:p>
    <w:p w14:paraId="4CB7D02E" w14:textId="77777777" w:rsidR="001875DD" w:rsidRPr="00CC1CB4" w:rsidRDefault="00000000" w:rsidP="6B71CBC4">
      <w:pPr>
        <w:rPr>
          <w:rFonts w:cs="Times New Roman"/>
          <w:b/>
          <w:bCs/>
          <w:lang w:val="es-ES"/>
        </w:rPr>
      </w:pPr>
      <w:r>
        <w:rPr>
          <w:rFonts w:eastAsia="Times New Roman" w:cs="Times New Roman"/>
          <w:lang w:val="pt-BR"/>
        </w:rPr>
        <w:t>O NJDOE identificou o primeiro grupo de escolas que precisam de apoio e melhoria direcionados adicionais em janeiro de 2018. Embora a divulgação seja feita a cada três anos depois disso, o NJDOE recebeu isenções de responsabilidade para os anos letivos de 2019-2020 e 2020-2021 devido à pandemia. Os estados foram obrigados a identificar escolas para apoio adicional direcionado e melhoria no outono de 2022 com base nos dados do ano letivo de 2022-2023. Como resultado da renúncia, o NJDOE identificou escolas no outono de 2022 e novamente no outono de 2023 (com base nos dados do ano letivo de 2022-2023). Assim, o NJDOE identificou um novo grupo de escolas que precisavam de apoio direcionado adicional e melhoria para grupos de alunos de baixo desempenho no outono de 2022 (com base nos dados de 2021-2022) e novamente no outono de 2023 (com base nos dados de 2022-2023). Daqui para frente, um novo grupo será identificado a cada três anos.</w:t>
      </w:r>
      <w:r>
        <w:rPr>
          <w:rFonts w:eastAsia="Times New Roman" w:cs="Times New Roman"/>
          <w:b/>
          <w:bCs/>
          <w:lang w:val="pt-BR"/>
        </w:rPr>
        <w:t xml:space="preserve"> </w:t>
      </w:r>
    </w:p>
    <w:p w14:paraId="42BA4AE1" w14:textId="77777777" w:rsidR="001875DD" w:rsidRPr="00CC1CB4" w:rsidRDefault="00000000" w:rsidP="001875DD">
      <w:pPr>
        <w:spacing w:before="240"/>
        <w:rPr>
          <w:rStyle w:val="NJDOEResponse"/>
          <w:lang w:val="es-ES"/>
        </w:rPr>
      </w:pPr>
      <w:r>
        <w:rPr>
          <w:rFonts w:eastAsia="Times New Roman" w:cs="Times New Roman"/>
          <w:b/>
          <w:bCs/>
          <w:lang w:val="pt-BR"/>
        </w:rPr>
        <w:lastRenderedPageBreak/>
        <w:t xml:space="preserve"> </w:t>
      </w:r>
      <w:r>
        <w:rPr>
          <w:rFonts w:eastAsia="Times New Roman" w:cs="Times New Roman"/>
          <w:color w:val="365F91"/>
          <w:lang w:val="pt-BR"/>
        </w:rPr>
        <w:t>[finalizar resposta do NJDOE]</w:t>
      </w:r>
    </w:p>
    <w:p w14:paraId="7FD76F3A" w14:textId="77777777" w:rsidR="001875DD" w:rsidRPr="00CC1CB4" w:rsidRDefault="00000000" w:rsidP="005C2702">
      <w:pPr>
        <w:pStyle w:val="BeginUSED"/>
        <w:rPr>
          <w:rFonts w:eastAsia="Aptos" w:cs="Times New Roman"/>
          <w:color w:val="365F91" w:themeColor="accent1" w:themeShade="BF"/>
          <w:lang w:val="es-ES"/>
        </w:rPr>
      </w:pPr>
      <w:r>
        <w:rPr>
          <w:rFonts w:eastAsia="Times New Roman"/>
          <w:color w:val="FFFFFF"/>
          <w:szCs w:val="4"/>
          <w:lang w:val="pt-BR"/>
        </w:rPr>
        <w:t>[iniciar o texto do USED]</w:t>
      </w:r>
    </w:p>
    <w:p w14:paraId="06D30DF1" w14:textId="77777777" w:rsidR="00E71823" w:rsidRPr="00CC1CB4" w:rsidRDefault="00000000" w:rsidP="00B67DF2">
      <w:pPr>
        <w:pStyle w:val="4"/>
        <w:ind w:left="432"/>
        <w:rPr>
          <w:lang w:val="es-ES"/>
        </w:rPr>
      </w:pPr>
      <w:bookmarkStart w:id="96" w:name="_Toc199403708"/>
      <w:r>
        <w:rPr>
          <w:rFonts w:ascii="Cambria" w:eastAsia="Cambria" w:hAnsi="Cambria" w:cs="Arial"/>
          <w:szCs w:val="24"/>
          <w:lang w:val="pt-BR"/>
        </w:rPr>
        <w:t>g. Categorias adicionais de escolas em todo o estado</w:t>
      </w:r>
      <w:bookmarkEnd w:id="96"/>
    </w:p>
    <w:p w14:paraId="69CA926B" w14:textId="77777777" w:rsidR="001875DD" w:rsidRPr="00CC1CB4" w:rsidRDefault="00000000" w:rsidP="00B67DF2">
      <w:pPr>
        <w:pStyle w:val="blue"/>
        <w:ind w:left="432"/>
        <w:rPr>
          <w:lang w:val="es-ES"/>
        </w:rPr>
      </w:pPr>
      <w:r>
        <w:rPr>
          <w:rFonts w:ascii="Cambria" w:eastAsia="Cambria" w:hAnsi="Cambria"/>
          <w:lang w:val="pt-BR"/>
        </w:rPr>
        <w:t>Se o estado optar, a seu critério, por incluir categorias adicionais de escolas em todo o estado, descreva essas categorias.</w:t>
      </w:r>
    </w:p>
    <w:p w14:paraId="1B5FF1BC" w14:textId="77777777" w:rsidR="006415C4" w:rsidRPr="00CC1CB4" w:rsidRDefault="00000000" w:rsidP="008027C6">
      <w:pPr>
        <w:pStyle w:val="EndUSED"/>
        <w:rPr>
          <w:rStyle w:val="NJDOEResponse"/>
          <w:lang w:val="es-ES"/>
        </w:rPr>
      </w:pPr>
      <w:r>
        <w:rPr>
          <w:rFonts w:eastAsia="Times New Roman"/>
          <w:color w:val="FFFFFF"/>
          <w:szCs w:val="4"/>
          <w:lang w:val="pt-BR"/>
        </w:rPr>
        <w:t>[finalizar texto do USED]</w:t>
      </w:r>
    </w:p>
    <w:p w14:paraId="4AC96B20" w14:textId="77777777" w:rsidR="001875DD" w:rsidRPr="00CC1CB4" w:rsidRDefault="00000000" w:rsidP="6B71CBC4">
      <w:pPr>
        <w:rPr>
          <w:rStyle w:val="NJDOEResponse"/>
          <w:lang w:val="es-ES"/>
        </w:rPr>
      </w:pPr>
      <w:r>
        <w:rPr>
          <w:rStyle w:val="NJDOEResponse"/>
          <w:rFonts w:eastAsia="Times New Roman"/>
          <w:color w:val="365F91"/>
          <w:lang w:val="pt-BR"/>
        </w:rPr>
        <w:t>[iniciar a resposta do NJDOE]</w:t>
      </w:r>
    </w:p>
    <w:p w14:paraId="2C1F7C73" w14:textId="77777777" w:rsidR="001875DD" w:rsidRPr="00CC1CB4" w:rsidRDefault="00000000" w:rsidP="6B71CBC4">
      <w:pPr>
        <w:rPr>
          <w:rFonts w:cs="Times New Roman"/>
          <w:lang w:val="es-ES"/>
        </w:rPr>
      </w:pPr>
      <w:r>
        <w:rPr>
          <w:rFonts w:eastAsia="Times New Roman" w:cs="Times New Roman"/>
          <w:lang w:val="pt-BR"/>
        </w:rPr>
        <w:t>N/A</w:t>
      </w:r>
    </w:p>
    <w:p w14:paraId="4EF608BD" w14:textId="77777777" w:rsidR="001875DD" w:rsidRPr="00CC1CB4" w:rsidRDefault="00000000" w:rsidP="001875DD">
      <w:pPr>
        <w:spacing w:before="240"/>
        <w:rPr>
          <w:rStyle w:val="NJDOEResponse"/>
          <w:lang w:val="es-ES"/>
        </w:rPr>
      </w:pPr>
      <w:r>
        <w:rPr>
          <w:rStyle w:val="NJDOEResponse"/>
          <w:rFonts w:eastAsia="Times New Roman"/>
          <w:color w:val="365F91"/>
          <w:lang w:val="pt-BR"/>
        </w:rPr>
        <w:t>[finalizar resposta do NJDOE]</w:t>
      </w:r>
    </w:p>
    <w:p w14:paraId="4FBA2701" w14:textId="77777777" w:rsidR="00FF6B5E" w:rsidRPr="00CC1CB4" w:rsidRDefault="00000000" w:rsidP="00336B49">
      <w:pPr>
        <w:pStyle w:val="BeginUSED"/>
        <w:rPr>
          <w:lang w:val="es-ES"/>
        </w:rPr>
      </w:pPr>
      <w:r>
        <w:rPr>
          <w:rFonts w:eastAsia="Times New Roman"/>
          <w:color w:val="FFFFFF"/>
          <w:szCs w:val="4"/>
          <w:lang w:val="pt-BR"/>
        </w:rPr>
        <w:t xml:space="preserve">[iniciar o texto do USED] </w:t>
      </w:r>
    </w:p>
    <w:p w14:paraId="3377443B" w14:textId="77777777" w:rsidR="00B74B50" w:rsidRPr="00CC1CB4" w:rsidRDefault="00000000" w:rsidP="00BE0ED7">
      <w:pPr>
        <w:pStyle w:val="3"/>
        <w:spacing w:before="0"/>
        <w:rPr>
          <w:lang w:val="es-ES"/>
        </w:rPr>
      </w:pPr>
      <w:bookmarkStart w:id="97" w:name="_Toc211004644"/>
      <w:r>
        <w:rPr>
          <w:rFonts w:ascii="Cambria" w:eastAsia="Cambria" w:hAnsi="Cambria" w:cs="Times New Roman"/>
          <w:szCs w:val="28"/>
          <w:lang w:val="pt-BR"/>
        </w:rPr>
        <w:t>vii. Medição anual da realização (seção 1111(c)(4)(E)(iii) da ESEA)</w:t>
      </w:r>
      <w:bookmarkEnd w:id="97"/>
    </w:p>
    <w:p w14:paraId="0181505F" w14:textId="77777777" w:rsidR="00BE0ED7" w:rsidRPr="00CC1CB4" w:rsidRDefault="00000000" w:rsidP="007610EC">
      <w:pPr>
        <w:pStyle w:val="blue"/>
        <w:spacing w:after="0"/>
        <w:ind w:left="0"/>
        <w:rPr>
          <w:sz w:val="14"/>
          <w:szCs w:val="40"/>
          <w:lang w:val="es-ES"/>
        </w:rPr>
      </w:pPr>
      <w:r>
        <w:rPr>
          <w:rFonts w:ascii="Cambria" w:eastAsia="Cambria" w:hAnsi="Cambria"/>
          <w:lang w:val="pt-BR"/>
        </w:rPr>
        <w:t>Descrever como o estado considera a exigência de participação de 95% dos alunos em matemática estadual e avaliações de artes de leitura/linguagem no sistema de responsabilidade estadual.</w:t>
      </w:r>
      <w:r>
        <w:rPr>
          <w:rFonts w:ascii="Cambria" w:eastAsia="Cambria" w:hAnsi="Cambria"/>
          <w:sz w:val="14"/>
          <w:szCs w:val="14"/>
          <w:lang w:val="pt-BR"/>
        </w:rPr>
        <w:t xml:space="preserve"> </w:t>
      </w:r>
    </w:p>
    <w:p w14:paraId="58F5042F" w14:textId="77777777" w:rsidR="001875DD" w:rsidRPr="00CC1CB4" w:rsidRDefault="00000000" w:rsidP="00336B49">
      <w:pPr>
        <w:pStyle w:val="EndUSED"/>
        <w:rPr>
          <w:rFonts w:asciiTheme="majorHAnsi" w:hAnsiTheme="majorHAnsi"/>
          <w:sz w:val="14"/>
          <w:szCs w:val="40"/>
          <w:lang w:val="es-ES"/>
        </w:rPr>
      </w:pPr>
      <w:r>
        <w:rPr>
          <w:rFonts w:eastAsia="Times New Roman"/>
          <w:color w:val="FFFFFF"/>
          <w:sz w:val="14"/>
          <w:szCs w:val="14"/>
          <w:lang w:val="pt-BR"/>
        </w:rPr>
        <w:br/>
      </w:r>
      <w:r>
        <w:rPr>
          <w:rFonts w:eastAsia="Times New Roman"/>
          <w:color w:val="FFFFFF"/>
          <w:szCs w:val="4"/>
          <w:lang w:val="pt-BR"/>
        </w:rPr>
        <w:t>[finalizar texto do USED]</w:t>
      </w:r>
    </w:p>
    <w:p w14:paraId="4AAE5757" w14:textId="77777777" w:rsidR="001875DD" w:rsidRPr="00CC1CB4" w:rsidRDefault="00000000" w:rsidP="00B15DF3">
      <w:pPr>
        <w:spacing w:before="240"/>
        <w:rPr>
          <w:rFonts w:cs="Times New Roman"/>
          <w:color w:val="365F91" w:themeColor="accent1" w:themeShade="BF"/>
          <w:lang w:val="es-ES"/>
        </w:rPr>
      </w:pPr>
      <w:r>
        <w:rPr>
          <w:rFonts w:eastAsia="Times New Roman" w:cs="Times New Roman"/>
          <w:color w:val="365F91"/>
          <w:lang w:val="pt-BR"/>
        </w:rPr>
        <w:t>[iniciar a resposta do NJDOE]</w:t>
      </w:r>
    </w:p>
    <w:p w14:paraId="1D5988DD" w14:textId="77777777" w:rsidR="001875DD" w:rsidRPr="00CC1CB4" w:rsidRDefault="00000000" w:rsidP="001875DD">
      <w:pPr>
        <w:rPr>
          <w:rFonts w:cs="Times New Roman"/>
          <w:lang w:val="es-ES"/>
        </w:rPr>
      </w:pPr>
      <w:r>
        <w:rPr>
          <w:rFonts w:eastAsia="Times New Roman" w:cs="Times New Roman"/>
          <w:lang w:val="pt-BR"/>
        </w:rPr>
        <w:t>De acordo com a Seção 1111(c)(4)(E) da ESSA, todos os estados devem medir anualmente a obtenção de pelo menos 95% de todos os alunos em cada grupo de alunos. Ao medir, calculando, e taxas de proficiência de relatórios, os estados dos EUA devem incluir um denominador igual a 95% de todos os alunos (e de cada grupo de alunos, conforme o caso) ou o número de alunos que participam das avaliações. (consulte a Seção 1111(c)(4)(E)(ii) da ESSA) Para escolas que não conseguirem atingir 95% de participação, qualquer aluno abaixo do limite de 95% será, portanto, contado como “não proficiente” no cálculo das taxas de proficiência, mesmo que não tenha feito o exame.</w:t>
      </w:r>
    </w:p>
    <w:p w14:paraId="0EE43B1D" w14:textId="77777777" w:rsidR="003A36CE" w:rsidRPr="00CC1CB4" w:rsidRDefault="00000000" w:rsidP="001875DD">
      <w:pPr>
        <w:rPr>
          <w:rFonts w:cs="Times New Roman"/>
          <w:lang w:val="es-ES"/>
        </w:rPr>
      </w:pPr>
      <w:r>
        <w:rPr>
          <w:rFonts w:eastAsia="Times New Roman" w:cs="Times New Roman"/>
          <w:lang w:val="pt-BR"/>
        </w:rPr>
        <w:t xml:space="preserve">O NJDOE considerará a taxa de participação em seu sistema de responsabilidade escolar aplicando os requisitos mínimos da Seção 1111(c)(4)(E) da ESSA. Portanto, o NJDOE utilizará a metodologia exigida descrita acima como seu método de fatorar a exigência de participação de 95% dos alunos em avaliações no sistema de responsabilidade escolar estadual. </w:t>
      </w:r>
    </w:p>
    <w:p w14:paraId="64BC7D2F" w14:textId="77777777" w:rsidR="00745697" w:rsidRPr="00CC1CB4" w:rsidRDefault="00000000" w:rsidP="00745697">
      <w:pPr>
        <w:rPr>
          <w:rFonts w:cs="Times New Roman"/>
          <w:lang w:val="es-ES"/>
        </w:rPr>
      </w:pPr>
      <w:r>
        <w:rPr>
          <w:rFonts w:eastAsia="Times New Roman" w:cs="Times New Roman"/>
          <w:lang w:val="pt-BR"/>
        </w:rPr>
        <w:t xml:space="preserve">Para garantir que as escolas e comunidades escolares tenham o máximo de informações possíveis e mediante recomendação das partes interessadas, o NJDOE se comprometeu a disponibilizar publicamente os resultados de proficiência de duas maneiras: </w:t>
      </w:r>
    </w:p>
    <w:p w14:paraId="2E1B5003" w14:textId="77777777" w:rsidR="001875DD" w:rsidRPr="00CC1CB4" w:rsidRDefault="00000000">
      <w:pPr>
        <w:pStyle w:val="a6"/>
        <w:numPr>
          <w:ilvl w:val="0"/>
          <w:numId w:val="179"/>
        </w:numPr>
        <w:rPr>
          <w:lang w:val="es-ES"/>
        </w:rPr>
      </w:pPr>
      <w:r>
        <w:rPr>
          <w:rFonts w:eastAsia="Times New Roman" w:cs="Arial"/>
          <w:lang w:val="pt-BR"/>
        </w:rPr>
        <w:t xml:space="preserve">com a taxa de participação levada em conta ou baseada em pelo menos 95% dos alunos nos anos testados; </w:t>
      </w:r>
    </w:p>
    <w:p w14:paraId="68D9580E" w14:textId="77777777" w:rsidR="001875DD" w:rsidRPr="00CC1CB4" w:rsidRDefault="00000000">
      <w:pPr>
        <w:pStyle w:val="a6"/>
        <w:numPr>
          <w:ilvl w:val="0"/>
          <w:numId w:val="179"/>
        </w:numPr>
        <w:rPr>
          <w:lang w:val="es-ES"/>
        </w:rPr>
      </w:pPr>
      <w:r>
        <w:rPr>
          <w:rFonts w:eastAsia="Times New Roman" w:cs="Arial"/>
          <w:lang w:val="pt-BR"/>
        </w:rPr>
        <w:t>sem taxa de participação ou com base no número real de alunos testados.</w:t>
      </w:r>
    </w:p>
    <w:p w14:paraId="75141089" w14:textId="77777777" w:rsidR="001875DD" w:rsidRPr="00CC1CB4" w:rsidRDefault="00000000" w:rsidP="001875DD">
      <w:pPr>
        <w:rPr>
          <w:rFonts w:cs="Times New Roman"/>
          <w:color w:val="365F91" w:themeColor="accent1" w:themeShade="BF"/>
          <w:lang w:val="es-ES"/>
        </w:rPr>
      </w:pPr>
      <w:r>
        <w:rPr>
          <w:rFonts w:eastAsia="Times New Roman" w:cs="Times New Roman"/>
          <w:color w:val="365F91"/>
          <w:lang w:val="pt-BR"/>
        </w:rPr>
        <w:t>[finalizar resposta do NJDOE]</w:t>
      </w:r>
    </w:p>
    <w:p w14:paraId="1DCB56DA" w14:textId="77777777" w:rsidR="00824025" w:rsidRPr="00CC1CB4" w:rsidRDefault="00000000" w:rsidP="00824025">
      <w:pPr>
        <w:pStyle w:val="BeginUSED"/>
        <w:rPr>
          <w:lang w:val="es-ES"/>
        </w:rPr>
      </w:pPr>
      <w:r>
        <w:rPr>
          <w:rFonts w:eastAsia="Times New Roman"/>
          <w:color w:val="FFFFFF"/>
          <w:szCs w:val="4"/>
          <w:lang w:val="pt-BR"/>
        </w:rPr>
        <w:lastRenderedPageBreak/>
        <w:t xml:space="preserve">[iniciar o texto do USED] </w:t>
      </w:r>
    </w:p>
    <w:p w14:paraId="1CCF9F12" w14:textId="77777777" w:rsidR="001875DD" w:rsidRPr="00CC1CB4" w:rsidRDefault="00000000" w:rsidP="00745697">
      <w:pPr>
        <w:pStyle w:val="3"/>
        <w:spacing w:before="0"/>
        <w:rPr>
          <w:lang w:val="es-ES"/>
        </w:rPr>
      </w:pPr>
      <w:bookmarkStart w:id="98" w:name="_Toc211004645"/>
      <w:r>
        <w:rPr>
          <w:rFonts w:ascii="Cambria" w:eastAsia="Cambria" w:hAnsi="Cambria" w:cs="Times New Roman"/>
          <w:szCs w:val="28"/>
          <w:lang w:val="pt-BR"/>
        </w:rPr>
        <w:t>viii. Suporte contínuo para a escola e melhoria da LEA (seção 1111(d)(3)(A) da ESEA)</w:t>
      </w:r>
      <w:bookmarkEnd w:id="98"/>
    </w:p>
    <w:p w14:paraId="64164004" w14:textId="77777777" w:rsidR="00745697" w:rsidRPr="00CC1CB4" w:rsidRDefault="00000000" w:rsidP="004330F9">
      <w:pPr>
        <w:pStyle w:val="4"/>
        <w:spacing w:after="0"/>
        <w:ind w:left="288"/>
        <w:rPr>
          <w:lang w:val="es-ES"/>
        </w:rPr>
      </w:pPr>
      <w:bookmarkStart w:id="99" w:name="_Toc199403711"/>
      <w:r>
        <w:rPr>
          <w:rFonts w:ascii="Cambria" w:eastAsia="Cambria" w:hAnsi="Cambria" w:cs="Arial"/>
          <w:szCs w:val="24"/>
          <w:lang w:val="pt-BR"/>
        </w:rPr>
        <w:t>a. Critérios de saída para escolas abrangentes de suporte e melhoria</w:t>
      </w:r>
      <w:bookmarkEnd w:id="99"/>
    </w:p>
    <w:p w14:paraId="44A2C86C" w14:textId="77777777" w:rsidR="001875DD" w:rsidRPr="00CC1CB4" w:rsidRDefault="00000000" w:rsidP="007610EC">
      <w:pPr>
        <w:pStyle w:val="blue"/>
        <w:spacing w:after="0"/>
        <w:ind w:left="288"/>
        <w:rPr>
          <w:lang w:val="es-ES"/>
        </w:rPr>
      </w:pPr>
      <w:r>
        <w:rPr>
          <w:rFonts w:ascii="Cambria" w:eastAsia="Cambria" w:hAnsi="Cambria"/>
          <w:lang w:val="pt-BR"/>
        </w:rPr>
        <w:t xml:space="preserve">Descrever os critérios de saída em todo o estado, estabelecidos pelo estado, para escolas identificadas como necessitadas de apoio e melhoria abrangentes, incluindo o número de anos (não excedendo quatro) durante os quais se espera que as escolas atendam a esses critérios. </w:t>
      </w:r>
    </w:p>
    <w:p w14:paraId="33EFB173" w14:textId="77777777" w:rsidR="00824025" w:rsidRPr="00CC1CB4" w:rsidRDefault="00000000" w:rsidP="00824025">
      <w:pPr>
        <w:pStyle w:val="EndUSED"/>
        <w:rPr>
          <w:lang w:val="es-ES"/>
        </w:rPr>
      </w:pPr>
      <w:r>
        <w:rPr>
          <w:rFonts w:eastAsia="Times New Roman"/>
          <w:color w:val="FFFFFF"/>
          <w:szCs w:val="4"/>
          <w:lang w:val="pt-BR"/>
        </w:rPr>
        <w:t xml:space="preserve">[finalizar texto do USED] </w:t>
      </w:r>
    </w:p>
    <w:p w14:paraId="0D7756EE" w14:textId="77777777" w:rsidR="001875DD" w:rsidRPr="00CC1CB4" w:rsidRDefault="00000000" w:rsidP="000C7175">
      <w:pPr>
        <w:spacing w:before="240"/>
        <w:rPr>
          <w:rStyle w:val="NJDOEResponse"/>
          <w:lang w:val="es-ES"/>
        </w:rPr>
      </w:pPr>
      <w:r>
        <w:rPr>
          <w:rStyle w:val="NJDOEResponse"/>
          <w:rFonts w:eastAsia="Times New Roman"/>
          <w:color w:val="365F91"/>
          <w:lang w:val="pt-BR"/>
        </w:rPr>
        <w:t>[iniciar a resposta do NJDOE]</w:t>
      </w:r>
    </w:p>
    <w:p w14:paraId="364EAD3F" w14:textId="77777777" w:rsidR="001875DD" w:rsidRPr="00973098" w:rsidRDefault="00000000" w:rsidP="001875DD">
      <w:pPr>
        <w:rPr>
          <w:rFonts w:cs="Times New Roman"/>
        </w:rPr>
      </w:pPr>
      <w:r>
        <w:rPr>
          <w:rFonts w:eastAsia="Times New Roman" w:cs="Times New Roman"/>
          <w:lang w:val="pt-BR"/>
        </w:rPr>
        <w:t>Uma escola que precisa de apoio e melhoria abrangentes tem a oportunidade de sair do status a cada três anos quando a metodologia de identificação é usada para identificar um novo grupo de escolas. Uma escola pode sair do status se:</w:t>
      </w:r>
    </w:p>
    <w:p w14:paraId="035919FD" w14:textId="77777777" w:rsidR="001875DD" w:rsidRPr="00CC1CB4" w:rsidRDefault="00000000" w:rsidP="00A768D8">
      <w:pPr>
        <w:pStyle w:val="a6"/>
        <w:numPr>
          <w:ilvl w:val="0"/>
          <w:numId w:val="11"/>
        </w:numPr>
        <w:spacing w:after="120"/>
        <w:rPr>
          <w:rFonts w:cs="Times New Roman"/>
          <w:lang w:val="es-ES"/>
        </w:rPr>
      </w:pPr>
      <w:r>
        <w:rPr>
          <w:rFonts w:eastAsia="Times New Roman" w:cs="Times New Roman"/>
          <w:lang w:val="pt-BR"/>
        </w:rPr>
        <w:t>não está mais nos 5% inferiores das escolas do Título I com um desempenho geral, com base em todos os indicadores aplicáveis e de acordo com o sistema de ponderação descrito na Seção 4.1.D(ii), que está no ou abaixo do quinto percentil das escolas do Título I (ou seja, a pontuação de corte);</w:t>
      </w:r>
    </w:p>
    <w:p w14:paraId="0C46B90F" w14:textId="77777777" w:rsidR="001875DD" w:rsidRPr="00CC1CB4" w:rsidRDefault="00000000" w:rsidP="00A768D8">
      <w:pPr>
        <w:pStyle w:val="a6"/>
        <w:numPr>
          <w:ilvl w:val="0"/>
          <w:numId w:val="11"/>
        </w:numPr>
        <w:spacing w:after="120"/>
        <w:rPr>
          <w:rFonts w:cs="Times New Roman"/>
          <w:lang w:val="es-ES"/>
        </w:rPr>
      </w:pPr>
      <w:r>
        <w:rPr>
          <w:rFonts w:eastAsia="Times New Roman" w:cs="Times New Roman"/>
          <w:lang w:val="pt-BR"/>
        </w:rPr>
        <w:t>demonstra melhor desempenho dos alunos nos indicadores de responsabilidade em comparação com o desempenho dos alunos no momento da identificação para suporte e melhoria abrangentes;</w:t>
      </w:r>
    </w:p>
    <w:p w14:paraId="10362621" w14:textId="77777777" w:rsidR="001875DD" w:rsidRPr="00CC1CB4" w:rsidRDefault="00000000" w:rsidP="00A768D8">
      <w:pPr>
        <w:pStyle w:val="a6"/>
        <w:numPr>
          <w:ilvl w:val="0"/>
          <w:numId w:val="11"/>
        </w:numPr>
        <w:spacing w:after="120"/>
        <w:rPr>
          <w:rFonts w:cs="Times New Roman"/>
          <w:lang w:val="es-ES"/>
        </w:rPr>
      </w:pPr>
      <w:r>
        <w:rPr>
          <w:rFonts w:eastAsia="Times New Roman" w:cs="Times New Roman"/>
          <w:lang w:val="pt-BR"/>
        </w:rPr>
        <w:t>sua taxa de formação de quatro anos está acima de 67 por cento, se for um ensino médio;</w:t>
      </w:r>
    </w:p>
    <w:p w14:paraId="086183E1" w14:textId="77777777" w:rsidR="001875DD" w:rsidRPr="00CC1CB4" w:rsidRDefault="00000000" w:rsidP="00A768D8">
      <w:pPr>
        <w:pStyle w:val="a6"/>
        <w:numPr>
          <w:ilvl w:val="0"/>
          <w:numId w:val="11"/>
        </w:numPr>
        <w:spacing w:after="120"/>
        <w:rPr>
          <w:rFonts w:cs="Times New Roman"/>
          <w:lang w:val="es-ES"/>
        </w:rPr>
      </w:pPr>
      <w:r>
        <w:rPr>
          <w:rFonts w:eastAsia="Times New Roman" w:cs="Times New Roman"/>
          <w:lang w:val="pt-BR"/>
        </w:rPr>
        <w:t>implementou com sucesso seu plano abrangente de suporte e melhoria aprovado, conforme confirmado pelo NJDOE.</w:t>
      </w:r>
    </w:p>
    <w:p w14:paraId="200CF195" w14:textId="77777777" w:rsidR="008B41B5" w:rsidRPr="00CC1CB4" w:rsidRDefault="00000000" w:rsidP="009D51BB">
      <w:pPr>
        <w:pStyle w:val="a6"/>
        <w:ind w:left="0"/>
        <w:rPr>
          <w:rStyle w:val="eop"/>
          <w:rFonts w:cs="Times New Roman"/>
          <w:color w:val="000000"/>
          <w:lang w:val="es-ES"/>
        </w:rPr>
      </w:pPr>
      <w:r>
        <w:rPr>
          <w:rStyle w:val="eop"/>
          <w:rFonts w:eastAsia="Times New Roman" w:cs="Times New Roman"/>
          <w:color w:val="000000"/>
          <w:lang w:val="pt-BR"/>
        </w:rPr>
        <w:t>As escolas CSI que não atenderem aos critérios de saída após três anos, também chamadas de escolas Comprehensive II, estão sujeitas a intervenções mais rigorosas, conforme descrito na seção viii. c. abaixo.</w:t>
      </w:r>
    </w:p>
    <w:p w14:paraId="2B9CA65D" w14:textId="77777777" w:rsidR="001875DD" w:rsidRPr="00CC1CB4" w:rsidRDefault="00000000" w:rsidP="001875DD">
      <w:pPr>
        <w:rPr>
          <w:rStyle w:val="NJDOEResponse"/>
          <w:lang w:val="es-ES"/>
        </w:rPr>
      </w:pPr>
      <w:r>
        <w:rPr>
          <w:rStyle w:val="NJDOEResponse"/>
          <w:rFonts w:eastAsia="Times New Roman"/>
          <w:color w:val="365F91"/>
          <w:lang w:val="pt-BR"/>
        </w:rPr>
        <w:t>[finalizar resposta do NJDOE]</w:t>
      </w:r>
    </w:p>
    <w:p w14:paraId="33A71155" w14:textId="77777777" w:rsidR="001875DD" w:rsidRPr="00CC1CB4" w:rsidRDefault="00000000" w:rsidP="00B46625">
      <w:pPr>
        <w:pStyle w:val="BeginUSED"/>
        <w:rPr>
          <w:rFonts w:cs="Times New Roman"/>
          <w:lang w:val="es-ES"/>
        </w:rPr>
      </w:pPr>
      <w:r>
        <w:rPr>
          <w:rFonts w:eastAsia="Times New Roman"/>
          <w:color w:val="FFFFFF"/>
          <w:szCs w:val="4"/>
          <w:lang w:val="pt-BR"/>
        </w:rPr>
        <w:t>[iniciar o texto do USED]</w:t>
      </w:r>
    </w:p>
    <w:p w14:paraId="2B50B1A9" w14:textId="77777777" w:rsidR="00E3151E" w:rsidRPr="00CC1CB4" w:rsidRDefault="00000000" w:rsidP="0097201C">
      <w:pPr>
        <w:pStyle w:val="4"/>
        <w:spacing w:before="0" w:after="0"/>
        <w:ind w:left="288"/>
        <w:rPr>
          <w:lang w:val="es-ES"/>
        </w:rPr>
      </w:pPr>
      <w:bookmarkStart w:id="100" w:name="_Toc199403712"/>
      <w:r>
        <w:rPr>
          <w:rFonts w:ascii="Cambria" w:eastAsia="Cambria" w:hAnsi="Cambria" w:cs="Arial"/>
          <w:szCs w:val="24"/>
          <w:lang w:val="pt-BR"/>
        </w:rPr>
        <w:t>b. Critérios de saída para escolas que recebem apoio direcionado adicional</w:t>
      </w:r>
      <w:bookmarkEnd w:id="100"/>
    </w:p>
    <w:p w14:paraId="51BC7AAF" w14:textId="77777777" w:rsidR="001875DD" w:rsidRPr="00CC1CB4" w:rsidRDefault="00000000" w:rsidP="007610EC">
      <w:pPr>
        <w:pStyle w:val="blue"/>
        <w:ind w:left="288"/>
        <w:rPr>
          <w:lang w:val="es-ES"/>
        </w:rPr>
      </w:pPr>
      <w:r>
        <w:rPr>
          <w:rFonts w:ascii="Cambria" w:eastAsia="Cambria" w:hAnsi="Cambria"/>
          <w:lang w:val="pt-BR"/>
        </w:rPr>
        <w:t xml:space="preserve">Descrever os critérios de saída em todo o estado, estabelecidos pelo estado, para escolas que recebem apoio direcionado adicional de acordo com a seção 1111(d)(2)(C) da ESEA, incluindo o número de anos durante os quais se espera que as escolas atendam a esses critérios. </w:t>
      </w:r>
    </w:p>
    <w:p w14:paraId="46BB60B1" w14:textId="77777777" w:rsidR="00BC4232" w:rsidRPr="00CC1CB4" w:rsidRDefault="00000000" w:rsidP="00B46625">
      <w:pPr>
        <w:pStyle w:val="EndUSED"/>
        <w:rPr>
          <w:rStyle w:val="NJDOEResponse"/>
          <w:rFonts w:asciiTheme="majorHAnsi" w:hAnsiTheme="majorHAnsi"/>
          <w:color w:val="244061" w:themeColor="accent1" w:themeShade="80"/>
          <w:lang w:val="es-ES"/>
        </w:rPr>
      </w:pPr>
      <w:r>
        <w:rPr>
          <w:rFonts w:eastAsia="Times New Roman"/>
          <w:color w:val="FFFFFF"/>
          <w:szCs w:val="4"/>
          <w:lang w:val="pt-BR"/>
        </w:rPr>
        <w:t>[finalizar texto do USED]</w:t>
      </w:r>
    </w:p>
    <w:p w14:paraId="1D794D54" w14:textId="77777777" w:rsidR="001875DD" w:rsidRPr="00CC1CB4" w:rsidRDefault="00000000" w:rsidP="000C7175">
      <w:pPr>
        <w:spacing w:before="240"/>
        <w:rPr>
          <w:rStyle w:val="NJDOEResponse"/>
          <w:lang w:val="es-ES"/>
        </w:rPr>
      </w:pPr>
      <w:r>
        <w:rPr>
          <w:rStyle w:val="NJDOEResponse"/>
          <w:rFonts w:eastAsia="Times New Roman"/>
          <w:color w:val="365F91"/>
          <w:lang w:val="pt-BR"/>
        </w:rPr>
        <w:t>[iniciar a resposta do NJDOE]</w:t>
      </w:r>
    </w:p>
    <w:p w14:paraId="51985FFD" w14:textId="77777777" w:rsidR="001875DD" w:rsidRPr="00973098" w:rsidRDefault="00000000" w:rsidP="001875DD">
      <w:pPr>
        <w:rPr>
          <w:rFonts w:cs="Times New Roman"/>
        </w:rPr>
      </w:pPr>
      <w:r>
        <w:rPr>
          <w:rFonts w:eastAsia="Times New Roman" w:cs="Times New Roman"/>
          <w:lang w:val="pt-BR"/>
        </w:rPr>
        <w:t>Uma escola com grupos de alunos de baixo desempenho identificados como ATSI tem a oportunidade de sair do status a cada três anos quando a metodologia de identificação é usada para identificar um novo grupo de escolas. Uma escola pode sair do status se:</w:t>
      </w:r>
    </w:p>
    <w:p w14:paraId="5DA749E5" w14:textId="77777777" w:rsidR="001875DD" w:rsidRPr="00CC1CB4" w:rsidRDefault="00000000" w:rsidP="00A768D8">
      <w:pPr>
        <w:pStyle w:val="a6"/>
        <w:numPr>
          <w:ilvl w:val="0"/>
          <w:numId w:val="12"/>
        </w:numPr>
        <w:spacing w:after="120"/>
        <w:rPr>
          <w:rFonts w:cs="Times New Roman"/>
          <w:lang w:val="es-ES"/>
        </w:rPr>
      </w:pPr>
      <w:r>
        <w:rPr>
          <w:rFonts w:eastAsia="Times New Roman" w:cs="Times New Roman"/>
          <w:lang w:val="pt-BR"/>
        </w:rPr>
        <w:lastRenderedPageBreak/>
        <w:t>não tem mais um grupo de alunos cujo desempenho geral, com base em todos os indicadores aplicáveis e de acordo com o sistema de ponderação descrito na seção A.4.v, esteja no quinto percentil ou abaixo dele das escolas do Título I;</w:t>
      </w:r>
    </w:p>
    <w:p w14:paraId="75CABFFD" w14:textId="77777777" w:rsidR="006415C4" w:rsidRPr="00CC1CB4" w:rsidRDefault="00000000" w:rsidP="00A768D8">
      <w:pPr>
        <w:pStyle w:val="a6"/>
        <w:numPr>
          <w:ilvl w:val="0"/>
          <w:numId w:val="12"/>
        </w:numPr>
        <w:spacing w:after="120"/>
        <w:rPr>
          <w:rFonts w:cs="Times New Roman"/>
          <w:lang w:val="es-ES"/>
        </w:rPr>
      </w:pPr>
      <w:r>
        <w:rPr>
          <w:rFonts w:eastAsia="Times New Roman" w:cs="Times New Roman"/>
          <w:lang w:val="pt-BR"/>
        </w:rPr>
        <w:t>demonstra, para o(s) grupo(s) de alunos para o qual a escola foi identificada como necessitando de apoio e melhoria direcionados adicionais, melhor desempenho dos alunos nos indicadores de responsabilidade em comparação com o desempenho dos alunos no momento da identificação.</w:t>
      </w:r>
    </w:p>
    <w:p w14:paraId="7E343907" w14:textId="77777777" w:rsidR="005D3A4F" w:rsidRPr="00CC1CB4" w:rsidRDefault="00000000" w:rsidP="0002108F">
      <w:pPr>
        <w:rPr>
          <w:rStyle w:val="eop"/>
          <w:color w:val="000000"/>
          <w:lang w:val="es-ES"/>
        </w:rPr>
      </w:pPr>
      <w:r>
        <w:rPr>
          <w:rStyle w:val="eop"/>
          <w:rFonts w:eastAsia="Times New Roman" w:cs="Arial"/>
          <w:color w:val="000000"/>
          <w:lang w:val="pt-BR"/>
        </w:rPr>
        <w:t>As escolas ATSI financiadas pelo Título I que não atenderem aos critérios de saída após três anos (o cronograma determinado pelo estado para a saída) serão identificadas como necessitando de suporte e melhoria abrangentes.</w:t>
      </w:r>
    </w:p>
    <w:p w14:paraId="347CC5F1" w14:textId="77777777" w:rsidR="001875DD" w:rsidRPr="00CC1CB4" w:rsidRDefault="00000000" w:rsidP="6B71CBC4">
      <w:pPr>
        <w:pStyle w:val="RedParagraph"/>
        <w:spacing w:after="200" w:line="276" w:lineRule="auto"/>
        <w:rPr>
          <w:rStyle w:val="Red"/>
          <w:color w:val="auto"/>
          <w:sz w:val="22"/>
          <w:szCs w:val="22"/>
          <w:lang w:val="es-ES"/>
        </w:rPr>
      </w:pPr>
      <w:r>
        <w:rPr>
          <w:rStyle w:val="Red"/>
          <w:rFonts w:eastAsia="Times New Roman"/>
          <w:color w:val="000000"/>
          <w:sz w:val="22"/>
          <w:szCs w:val="22"/>
          <w:lang w:val="pt-BR"/>
        </w:rPr>
        <w:t xml:space="preserve">Observação: Se uma escola identificada como ATSI atender a alguns, mas não a todos os critérios de saída listados acima, o NJDOE pode colocar a escola em período de experiência por um período de um ano. Uma escola ATSI em período de experiência deve continuar a atender a todos os requisitos listados na seção 1111(d)(2) da ESEA, incluindo o desenvolvimento e a implementação de um plano de suporte e melhoria direcionado e a identificação de desigualdades de recursos que são abordadas por meio da implementação do plano. Após um ano, se todos os critérios de saída forem atendidos, a escola não será mais identificada como tendo grupo(s) de alunos de baixo desempenho. </w:t>
      </w:r>
    </w:p>
    <w:p w14:paraId="31C286E4" w14:textId="77777777" w:rsidR="001875DD" w:rsidRPr="00CC1CB4" w:rsidRDefault="00000000" w:rsidP="001875DD">
      <w:pPr>
        <w:rPr>
          <w:rStyle w:val="NJDOEResponse"/>
          <w:lang w:val="es-ES"/>
        </w:rPr>
      </w:pPr>
      <w:r>
        <w:rPr>
          <w:rStyle w:val="NJDOEResponse"/>
          <w:rFonts w:eastAsia="Times New Roman"/>
          <w:color w:val="365F91"/>
          <w:lang w:val="pt-BR"/>
        </w:rPr>
        <w:t>[finalizar resposta do NJDOE]</w:t>
      </w:r>
    </w:p>
    <w:p w14:paraId="0EBDB897" w14:textId="77777777" w:rsidR="001875DD" w:rsidRPr="00CC1CB4" w:rsidRDefault="00000000" w:rsidP="00717BB4">
      <w:pPr>
        <w:pStyle w:val="BeginUSED"/>
        <w:rPr>
          <w:rFonts w:cs="Times New Roman"/>
          <w:lang w:val="es-ES"/>
        </w:rPr>
      </w:pPr>
      <w:r>
        <w:rPr>
          <w:rFonts w:eastAsia="Times New Roman"/>
          <w:color w:val="FFFFFF"/>
          <w:szCs w:val="4"/>
          <w:lang w:val="pt-BR"/>
        </w:rPr>
        <w:t>[iniciar o texto do USED]</w:t>
      </w:r>
    </w:p>
    <w:p w14:paraId="1F5F3194" w14:textId="77777777" w:rsidR="00052150" w:rsidRPr="00CC1CB4" w:rsidRDefault="00000000" w:rsidP="00946979">
      <w:pPr>
        <w:pStyle w:val="4"/>
        <w:spacing w:before="0" w:after="0"/>
        <w:ind w:left="288"/>
        <w:rPr>
          <w:lang w:val="es-ES"/>
        </w:rPr>
      </w:pPr>
      <w:bookmarkStart w:id="101" w:name="_Toc199403713"/>
      <w:r>
        <w:rPr>
          <w:rFonts w:ascii="Cambria" w:eastAsia="Cambria" w:hAnsi="Cambria" w:cs="Arial"/>
          <w:szCs w:val="24"/>
          <w:lang w:val="pt-BR"/>
        </w:rPr>
        <w:t>c. Intervenções mais rigorosas</w:t>
      </w:r>
      <w:bookmarkEnd w:id="101"/>
    </w:p>
    <w:p w14:paraId="21FDC180" w14:textId="77777777" w:rsidR="001875DD" w:rsidRPr="00CC1CB4" w:rsidRDefault="00000000" w:rsidP="007610EC">
      <w:pPr>
        <w:pStyle w:val="blue"/>
        <w:ind w:left="288"/>
        <w:rPr>
          <w:lang w:val="es-ES"/>
        </w:rPr>
      </w:pPr>
      <w:r>
        <w:rPr>
          <w:rFonts w:ascii="Cambria" w:eastAsia="Cambria" w:hAnsi="Cambria"/>
          <w:lang w:val="pt-BR"/>
        </w:rPr>
        <w:t xml:space="preserve">Descrever as intervenções mais rigorosas necessárias para escolas identificadas para apoio e melhoria abrangentes que não atendem aos critérios de saída do estado dentro de um número determinado pelo estado de anos consistente com a seção 1111(d)(3)(A)(i)(I) da ESEA. </w:t>
      </w:r>
    </w:p>
    <w:p w14:paraId="1EF510F6" w14:textId="77777777" w:rsidR="001875DD" w:rsidRPr="00CC1CB4" w:rsidRDefault="00000000" w:rsidP="00B46625">
      <w:pPr>
        <w:pStyle w:val="EndUSED"/>
        <w:rPr>
          <w:rStyle w:val="NJDOEResponse"/>
          <w:lang w:val="es-ES"/>
        </w:rPr>
      </w:pPr>
      <w:r>
        <w:rPr>
          <w:rFonts w:eastAsia="Times New Roman"/>
          <w:color w:val="FFFFFF"/>
          <w:szCs w:val="4"/>
          <w:lang w:val="pt-BR"/>
        </w:rPr>
        <w:t>[finalizar texto do USED]</w:t>
      </w:r>
    </w:p>
    <w:p w14:paraId="3A986F74" w14:textId="77777777" w:rsidR="006415C4" w:rsidRPr="00CC1CB4" w:rsidRDefault="00000000" w:rsidP="00052150">
      <w:pPr>
        <w:spacing w:before="120" w:after="120"/>
        <w:rPr>
          <w:rStyle w:val="NJDOEResponse"/>
          <w:rFonts w:eastAsia="Cambria"/>
          <w:lang w:val="es-ES"/>
        </w:rPr>
      </w:pPr>
      <w:r>
        <w:rPr>
          <w:rStyle w:val="NJDOEResponse"/>
          <w:rFonts w:eastAsia="Times New Roman"/>
          <w:color w:val="365F91"/>
          <w:lang w:val="pt-BR"/>
        </w:rPr>
        <w:t>[iniciar a resposta do NJDOE]</w:t>
      </w:r>
    </w:p>
    <w:p w14:paraId="04F896ED" w14:textId="77777777" w:rsidR="008A2292" w:rsidRPr="00CC1CB4" w:rsidRDefault="00000000" w:rsidP="008A2292">
      <w:pPr>
        <w:rPr>
          <w:rFonts w:cs="Times New Roman"/>
          <w:lang w:val="es-ES"/>
        </w:rPr>
      </w:pPr>
      <w:r>
        <w:rPr>
          <w:rFonts w:eastAsia="Times New Roman" w:cs="Times New Roman"/>
          <w:lang w:val="pt-BR"/>
        </w:rPr>
        <w:t>Os regulamentos do NJDOE (N.J.A.C. 6A:33-4.1(e)) incluem vários apoios e intervenções para escolas Comprehensive II, ou uma escola que foi previamente identificada como necessitando de apoio abrangente e exigindo intervenção mais rigorosa. Essas escolas terão um maior escrutínio em relação à equidade na distribuição de recursos e a oportunidade de recursos adicionais para implementar novas iniciativas, que podem incluir uma avaliação externa e orientação de liderança para diretores escolares. Se um prestador for utilizado, o prestador deve enviar um relatório inicial descrevendo as necessidades e intervenções recomendadas ao conselho de educação da LEA e ao NJDOE e, posteriormente, produzir relatórios anuais sobre o progresso.</w:t>
      </w:r>
    </w:p>
    <w:p w14:paraId="4FC2B725" w14:textId="77777777" w:rsidR="001875DD" w:rsidRPr="00CC1CB4" w:rsidRDefault="00000000" w:rsidP="001875DD">
      <w:pPr>
        <w:rPr>
          <w:rFonts w:cs="Times New Roman"/>
          <w:lang w:val="es-ES"/>
        </w:rPr>
      </w:pPr>
      <w:r>
        <w:rPr>
          <w:rFonts w:eastAsia="Times New Roman" w:cs="Times New Roman"/>
          <w:lang w:val="pt-BR"/>
        </w:rPr>
        <w:t>As regulamentações estaduais atuais também exigem que os membros do conselho de educação das LEAs com escolas Comprehensive II recebam treinamento adicional em governança e supervisão. O fornecedor é responsável perante o NJDOE, bem como pelo conselho de educação da LEA. Além da autoridade reguladora para ordenar intervenções avançadas, o Comissário de Educação tem a autoridade, de acordo com a lei estadual (N.J.S.A. 18A:7F-6) para exigir que as LEAs redirecionem fundos estaduais e locais para abordar deficiências, incluindo, entre outras:</w:t>
      </w:r>
    </w:p>
    <w:p w14:paraId="7BF8F75B" w14:textId="77777777" w:rsidR="001875DD" w:rsidRPr="00CC1CB4" w:rsidRDefault="00000000" w:rsidP="00A768D8">
      <w:pPr>
        <w:pStyle w:val="a6"/>
        <w:numPr>
          <w:ilvl w:val="0"/>
          <w:numId w:val="10"/>
        </w:numPr>
        <w:spacing w:after="120"/>
        <w:rPr>
          <w:rFonts w:cs="Times New Roman"/>
          <w:lang w:val="es-ES"/>
        </w:rPr>
      </w:pPr>
      <w:r>
        <w:rPr>
          <w:rFonts w:eastAsia="Times New Roman" w:cs="Times New Roman"/>
          <w:lang w:val="pt-BR"/>
        </w:rPr>
        <w:t>direcionar a reestruturação do currículo ou programas;</w:t>
      </w:r>
    </w:p>
    <w:p w14:paraId="19365400" w14:textId="77777777" w:rsidR="001875DD" w:rsidRPr="00CC1CB4" w:rsidRDefault="00000000" w:rsidP="00A768D8">
      <w:pPr>
        <w:pStyle w:val="a6"/>
        <w:numPr>
          <w:ilvl w:val="0"/>
          <w:numId w:val="10"/>
        </w:numPr>
        <w:spacing w:after="120"/>
        <w:rPr>
          <w:rFonts w:cs="Times New Roman"/>
          <w:lang w:val="es-ES"/>
        </w:rPr>
      </w:pPr>
      <w:r>
        <w:rPr>
          <w:rFonts w:eastAsia="Times New Roman" w:cs="Times New Roman"/>
          <w:lang w:val="pt-BR"/>
        </w:rPr>
        <w:lastRenderedPageBreak/>
        <w:t>direcionar o retreinamento ou reatribuição da equipe;</w:t>
      </w:r>
    </w:p>
    <w:p w14:paraId="544133E1" w14:textId="77777777" w:rsidR="001875DD" w:rsidRPr="00CC1CB4" w:rsidRDefault="00000000" w:rsidP="00A768D8">
      <w:pPr>
        <w:pStyle w:val="a6"/>
        <w:numPr>
          <w:ilvl w:val="0"/>
          <w:numId w:val="10"/>
        </w:numPr>
        <w:spacing w:after="120"/>
        <w:rPr>
          <w:rFonts w:cs="Times New Roman"/>
          <w:lang w:val="es-ES"/>
        </w:rPr>
      </w:pPr>
      <w:r>
        <w:rPr>
          <w:rFonts w:eastAsia="Times New Roman" w:cs="Times New Roman"/>
          <w:lang w:val="pt-BR"/>
        </w:rPr>
        <w:t>realizar uma avaliação abrangente do orçamento;</w:t>
      </w:r>
    </w:p>
    <w:p w14:paraId="64701B33" w14:textId="77777777" w:rsidR="001875DD" w:rsidRPr="00973098" w:rsidRDefault="00000000" w:rsidP="00A768D8">
      <w:pPr>
        <w:pStyle w:val="a6"/>
        <w:numPr>
          <w:ilvl w:val="0"/>
          <w:numId w:val="10"/>
        </w:numPr>
        <w:spacing w:after="120"/>
        <w:rPr>
          <w:rFonts w:cs="Times New Roman"/>
        </w:rPr>
      </w:pPr>
      <w:r>
        <w:rPr>
          <w:rFonts w:eastAsia="Times New Roman" w:cs="Times New Roman"/>
          <w:lang w:val="pt-BR"/>
        </w:rPr>
        <w:t>redirecionar despesas;</w:t>
      </w:r>
    </w:p>
    <w:p w14:paraId="3BD052E9" w14:textId="77777777" w:rsidR="001875DD" w:rsidRPr="00CC1CB4" w:rsidRDefault="00000000" w:rsidP="00A768D8">
      <w:pPr>
        <w:pStyle w:val="a6"/>
        <w:numPr>
          <w:ilvl w:val="0"/>
          <w:numId w:val="10"/>
        </w:numPr>
        <w:spacing w:after="120"/>
        <w:rPr>
          <w:rFonts w:cs="Times New Roman"/>
          <w:lang w:val="es-ES"/>
        </w:rPr>
      </w:pPr>
      <w:r>
        <w:rPr>
          <w:rFonts w:eastAsia="Times New Roman" w:cs="Times New Roman"/>
          <w:lang w:val="pt-BR"/>
        </w:rPr>
        <w:t>aplicar os gastos no orçamento total de adequação;</w:t>
      </w:r>
    </w:p>
    <w:p w14:paraId="42099740" w14:textId="77777777" w:rsidR="001875DD" w:rsidRPr="00CC1CB4" w:rsidRDefault="00000000" w:rsidP="00A768D8">
      <w:pPr>
        <w:pStyle w:val="a6"/>
        <w:numPr>
          <w:ilvl w:val="0"/>
          <w:numId w:val="10"/>
        </w:numPr>
        <w:spacing w:after="120"/>
        <w:rPr>
          <w:rFonts w:eastAsia="Times New Roman" w:cs="Times New Roman"/>
          <w:lang w:val="es-ES"/>
        </w:rPr>
      </w:pPr>
      <w:r>
        <w:rPr>
          <w:rFonts w:eastAsia="Times New Roman" w:cs="Times New Roman"/>
          <w:lang w:val="pt-BR"/>
        </w:rPr>
        <w:t>analisar os termos de futuros acordos de negociação coletiva, não obstante quaisquer disposições da Lei de Relações Empregadoras-Funcionárias de Nova Jersey (New Jersey Employer-Employee Relations Act), P.L.1941, c.100 (N.J.S.A. 34:13A-1 et seq.) em contrário.</w:t>
      </w:r>
    </w:p>
    <w:p w14:paraId="04FC4D97" w14:textId="77777777" w:rsidR="001875DD" w:rsidRPr="00CC1CB4" w:rsidRDefault="00000000" w:rsidP="6B71CBC4">
      <w:pPr>
        <w:rPr>
          <w:rFonts w:eastAsia="Times New Roman" w:cs="Times New Roman"/>
          <w:lang w:val="es-ES"/>
        </w:rPr>
      </w:pPr>
      <w:r>
        <w:rPr>
          <w:rFonts w:eastAsia="Times New Roman" w:cs="Times New Roman"/>
          <w:lang w:val="pt-BR"/>
        </w:rPr>
        <w:t>O NJDOE monitorará o progresso da LEA trimestralmente e intervenções adicionais serão aplicadas conforme necessário.</w:t>
      </w:r>
    </w:p>
    <w:p w14:paraId="5E395D70" w14:textId="1DFDBBB0" w:rsidR="006415C4" w:rsidRPr="00CC1CB4" w:rsidRDefault="00000000" w:rsidP="001875DD">
      <w:pPr>
        <w:rPr>
          <w:rStyle w:val="NJDOEResponse"/>
          <w:lang w:val="es-ES"/>
        </w:rPr>
      </w:pPr>
      <w:r>
        <w:rPr>
          <w:rStyle w:val="NJDOEResponse"/>
          <w:rFonts w:eastAsia="Times New Roman"/>
          <w:color w:val="365F91"/>
          <w:lang w:val="pt-BR"/>
        </w:rPr>
        <w:t>[finalizar resposta do NJDOE]</w:t>
      </w:r>
    </w:p>
    <w:p w14:paraId="59C28BBF" w14:textId="77777777" w:rsidR="00F5134C" w:rsidRPr="00CC1CB4" w:rsidRDefault="00000000" w:rsidP="00F5134C">
      <w:pPr>
        <w:pStyle w:val="BeginUSED"/>
        <w:rPr>
          <w:rStyle w:val="NJDOEResponse"/>
          <w:lang w:val="es-ES"/>
        </w:rPr>
      </w:pPr>
      <w:r>
        <w:rPr>
          <w:rFonts w:eastAsia="Times New Roman"/>
          <w:color w:val="FFFFFF"/>
          <w:szCs w:val="4"/>
          <w:lang w:val="pt-BR"/>
        </w:rPr>
        <w:t>[iniciar o texto do USED]</w:t>
      </w:r>
    </w:p>
    <w:p w14:paraId="1777F41C" w14:textId="77777777" w:rsidR="0069320B" w:rsidRPr="00CC1CB4" w:rsidRDefault="00000000" w:rsidP="008E6994">
      <w:pPr>
        <w:pStyle w:val="4"/>
        <w:spacing w:before="0" w:after="0"/>
        <w:ind w:left="288"/>
        <w:rPr>
          <w:lang w:val="es-ES"/>
        </w:rPr>
      </w:pPr>
      <w:bookmarkStart w:id="102" w:name="_Toc199403714"/>
      <w:r>
        <w:rPr>
          <w:rFonts w:ascii="Cambria" w:eastAsia="Cambria" w:hAnsi="Cambria" w:cs="Arial"/>
          <w:szCs w:val="24"/>
          <w:lang w:val="pt-BR"/>
        </w:rPr>
        <w:t>d. Revisão da alocação de recursos</w:t>
      </w:r>
      <w:bookmarkEnd w:id="102"/>
    </w:p>
    <w:p w14:paraId="6FDC81DA" w14:textId="77777777" w:rsidR="001875DD" w:rsidRPr="00CC1CB4" w:rsidRDefault="00000000" w:rsidP="007610EC">
      <w:pPr>
        <w:pStyle w:val="blue"/>
        <w:spacing w:after="0"/>
        <w:ind w:left="288"/>
        <w:rPr>
          <w:lang w:val="es-ES"/>
        </w:rPr>
      </w:pPr>
      <w:r>
        <w:rPr>
          <w:rFonts w:ascii="Cambria" w:eastAsia="Cambria" w:hAnsi="Cambria"/>
          <w:lang w:val="pt-BR"/>
        </w:rPr>
        <w:t>Descrever como o estado analisará periodicamente a alocação de recursos para apoiar a melhoria escolar em cada LEA no estado, atendendo a um número significativo ou porcentagem de escolas identificadas para apoio e melhoria abrangentes ou direcionados.</w:t>
      </w:r>
    </w:p>
    <w:p w14:paraId="796E846C" w14:textId="77777777" w:rsidR="003127F1" w:rsidRPr="00CC1CB4" w:rsidRDefault="00000000" w:rsidP="00F5134C">
      <w:pPr>
        <w:pStyle w:val="EndUSED"/>
        <w:rPr>
          <w:rFonts w:asciiTheme="majorHAnsi" w:hAnsiTheme="majorHAnsi"/>
          <w:color w:val="365F91" w:themeColor="accent1" w:themeShade="BF"/>
          <w:lang w:val="es-ES"/>
        </w:rPr>
      </w:pPr>
      <w:r>
        <w:rPr>
          <w:rFonts w:eastAsia="Times New Roman"/>
          <w:color w:val="FFFFFF"/>
          <w:szCs w:val="4"/>
          <w:lang w:val="pt-BR"/>
        </w:rPr>
        <w:t>[finalizar texto do USED]</w:t>
      </w:r>
    </w:p>
    <w:p w14:paraId="1FDB29BC" w14:textId="77777777" w:rsidR="00673800" w:rsidRPr="00CC1CB4" w:rsidRDefault="00000000" w:rsidP="0033188C">
      <w:pPr>
        <w:spacing w:before="240"/>
        <w:rPr>
          <w:rStyle w:val="NJDOEResponse"/>
          <w:lang w:val="es-ES"/>
        </w:rPr>
      </w:pPr>
      <w:r>
        <w:rPr>
          <w:rStyle w:val="NJDOEResponse"/>
          <w:rFonts w:eastAsia="Times New Roman"/>
          <w:color w:val="365F91"/>
          <w:lang w:val="pt-BR"/>
        </w:rPr>
        <w:t>[iniciar a resposta do NJDOE]</w:t>
      </w:r>
    </w:p>
    <w:p w14:paraId="35DCC692" w14:textId="77777777" w:rsidR="00673800" w:rsidRPr="00CC1CB4" w:rsidRDefault="00000000" w:rsidP="00797242">
      <w:pPr>
        <w:pStyle w:val="5"/>
        <w:rPr>
          <w:lang w:val="es-ES"/>
        </w:rPr>
      </w:pPr>
      <w:r>
        <w:rPr>
          <w:rFonts w:ascii="Cambria" w:eastAsia="Cambria" w:hAnsi="Cambria" w:cs="Times New Roman"/>
          <w:bCs/>
          <w:lang w:val="pt-BR"/>
        </w:rPr>
        <w:t>Revisões de alocação de recursos</w:t>
      </w:r>
    </w:p>
    <w:p w14:paraId="71BAAE7F" w14:textId="77777777" w:rsidR="008106A6" w:rsidRPr="00CC1CB4" w:rsidRDefault="00000000" w:rsidP="008106A6">
      <w:pPr>
        <w:rPr>
          <w:rFonts w:cs="Times New Roman"/>
          <w:lang w:val="es-ES"/>
        </w:rPr>
      </w:pPr>
      <w:r>
        <w:rPr>
          <w:rFonts w:eastAsia="Times New Roman" w:cs="Times New Roman"/>
          <w:lang w:val="pt-BR"/>
        </w:rPr>
        <w:t>O NJDOE facilitará um processo de revisão de alocação de recursos em cada LEA que atenda a um número significativo de escolas identificadas como CSI, ATSI ou TSI. As avaliações serão realizadas a cada três anos após a identificação das escolas para apoio e melhoria abrangentes ou direcionados. Os objetivos do processo de revisão de alocação de recursos são:</w:t>
      </w:r>
    </w:p>
    <w:p w14:paraId="21C527B6" w14:textId="77777777" w:rsidR="008106A6" w:rsidRPr="00CC1CB4" w:rsidRDefault="00000000" w:rsidP="00B24648">
      <w:pPr>
        <w:numPr>
          <w:ilvl w:val="0"/>
          <w:numId w:val="207"/>
        </w:numPr>
        <w:ind w:left="720"/>
        <w:rPr>
          <w:rFonts w:cs="Times New Roman"/>
          <w:lang w:val="es-ES"/>
        </w:rPr>
      </w:pPr>
      <w:r>
        <w:rPr>
          <w:rFonts w:eastAsia="Times New Roman" w:cs="Times New Roman"/>
          <w:lang w:val="pt-BR"/>
        </w:rPr>
        <w:t>examinar os perfis de alocação de recursos das LEAs e identificar tendências;</w:t>
      </w:r>
    </w:p>
    <w:p w14:paraId="23914869" w14:textId="77777777" w:rsidR="008106A6" w:rsidRPr="00CC1CB4" w:rsidRDefault="00000000" w:rsidP="00B24648">
      <w:pPr>
        <w:numPr>
          <w:ilvl w:val="0"/>
          <w:numId w:val="207"/>
        </w:numPr>
        <w:ind w:left="720"/>
        <w:rPr>
          <w:rFonts w:cs="Times New Roman"/>
          <w:lang w:val="es-ES"/>
        </w:rPr>
      </w:pPr>
      <w:r>
        <w:rPr>
          <w:rFonts w:eastAsia="Times New Roman" w:cs="Times New Roman"/>
          <w:lang w:val="pt-BR"/>
        </w:rPr>
        <w:t>envolver-se em uma discussão significativa com as LEAs sobre as oportunidades de utilização de recursos mais estratégicos;</w:t>
      </w:r>
    </w:p>
    <w:p w14:paraId="1793AF13" w14:textId="77777777" w:rsidR="008106A6" w:rsidRPr="00CC1CB4" w:rsidRDefault="00000000" w:rsidP="00B24648">
      <w:pPr>
        <w:numPr>
          <w:ilvl w:val="0"/>
          <w:numId w:val="207"/>
        </w:numPr>
        <w:ind w:left="720"/>
        <w:rPr>
          <w:rFonts w:cs="Times New Roman"/>
          <w:lang w:val="es-ES"/>
        </w:rPr>
      </w:pPr>
      <w:r>
        <w:rPr>
          <w:rFonts w:eastAsia="Times New Roman" w:cs="Times New Roman"/>
          <w:lang w:val="pt-BR"/>
        </w:rPr>
        <w:t>fornecer orientação aos líderes da LEA na realização de análises de equidade de recursos para alavancar recursos e maximizar os resultados dos alunos.</w:t>
      </w:r>
    </w:p>
    <w:p w14:paraId="17B037F5" w14:textId="77777777" w:rsidR="008106A6" w:rsidRPr="00CC1CB4" w:rsidRDefault="00000000" w:rsidP="008106A6">
      <w:pPr>
        <w:rPr>
          <w:rFonts w:cs="Times New Roman"/>
          <w:lang w:val="es-ES"/>
        </w:rPr>
      </w:pPr>
      <w:r>
        <w:rPr>
          <w:rFonts w:eastAsia="Times New Roman" w:cs="Times New Roman"/>
          <w:lang w:val="pt-BR"/>
        </w:rPr>
        <w:t>Para esse fim, o processo de revisão de alocação de recursos examinará a relação entre a distribuição de recursos e os resultados dos alunos, conforme refletido em várias métricas, incluindo:</w:t>
      </w:r>
    </w:p>
    <w:p w14:paraId="5E5F737D" w14:textId="77777777" w:rsidR="008106A6" w:rsidRPr="00CC1CB4" w:rsidRDefault="00000000" w:rsidP="00B24648">
      <w:pPr>
        <w:numPr>
          <w:ilvl w:val="0"/>
          <w:numId w:val="208"/>
        </w:numPr>
        <w:ind w:left="720"/>
        <w:rPr>
          <w:rFonts w:cs="Times New Roman"/>
          <w:lang w:val="es-ES"/>
        </w:rPr>
      </w:pPr>
      <w:r>
        <w:rPr>
          <w:rFonts w:eastAsia="Times New Roman" w:cs="Times New Roman"/>
          <w:lang w:val="pt-BR"/>
        </w:rPr>
        <w:t>comparações entre distritos dos dados demográficos, alocação de recursos e resultados dos alunos das escolas;</w:t>
      </w:r>
    </w:p>
    <w:p w14:paraId="0EDE792D" w14:textId="77777777" w:rsidR="008106A6" w:rsidRPr="00CC1CB4" w:rsidRDefault="00000000" w:rsidP="00B24648">
      <w:pPr>
        <w:numPr>
          <w:ilvl w:val="0"/>
          <w:numId w:val="208"/>
        </w:numPr>
        <w:ind w:left="720"/>
        <w:rPr>
          <w:rFonts w:cs="Times New Roman"/>
          <w:lang w:val="es-ES"/>
        </w:rPr>
      </w:pPr>
      <w:r>
        <w:rPr>
          <w:rFonts w:eastAsia="Times New Roman" w:cs="Times New Roman"/>
          <w:lang w:val="pt-BR"/>
        </w:rPr>
        <w:t xml:space="preserve">Comparações entre distritos (com LEAs circundantes e/ou demograficamente semelhantes) sobre gastos por aluno e dados estudantis. </w:t>
      </w:r>
    </w:p>
    <w:p w14:paraId="07DB6301" w14:textId="2A162422" w:rsidR="001875DD" w:rsidRPr="00CC1CB4" w:rsidRDefault="00000000" w:rsidP="001875DD">
      <w:pPr>
        <w:rPr>
          <w:rStyle w:val="NJDOEResponse"/>
          <w:lang w:val="es-ES"/>
        </w:rPr>
      </w:pPr>
      <w:r>
        <w:rPr>
          <w:rStyle w:val="NJDOEResponse"/>
          <w:rFonts w:eastAsia="Times New Roman"/>
          <w:color w:val="365F91"/>
          <w:lang w:val="pt-BR"/>
        </w:rPr>
        <w:t>[finalizar resposta do NJDOE]</w:t>
      </w:r>
    </w:p>
    <w:p w14:paraId="0671E4EC" w14:textId="77777777" w:rsidR="001875DD" w:rsidRPr="00CC1CB4" w:rsidRDefault="00000000" w:rsidP="00367F6E">
      <w:pPr>
        <w:pStyle w:val="BeginUSED"/>
        <w:rPr>
          <w:rFonts w:cs="Times New Roman"/>
          <w:color w:val="365F91" w:themeColor="accent1" w:themeShade="BF"/>
          <w:lang w:val="es-ES"/>
        </w:rPr>
      </w:pPr>
      <w:r>
        <w:rPr>
          <w:rFonts w:eastAsia="Times New Roman"/>
          <w:color w:val="FFFFFF"/>
          <w:szCs w:val="4"/>
          <w:lang w:val="pt-BR"/>
        </w:rPr>
        <w:lastRenderedPageBreak/>
        <w:t>[iniciar o texto do USED]</w:t>
      </w:r>
    </w:p>
    <w:p w14:paraId="5A67F71E" w14:textId="77777777" w:rsidR="00797242" w:rsidRPr="00CC1CB4" w:rsidRDefault="00000000" w:rsidP="008E6994">
      <w:pPr>
        <w:pStyle w:val="4"/>
        <w:spacing w:before="0" w:after="0"/>
        <w:ind w:left="288"/>
        <w:rPr>
          <w:lang w:val="es-ES"/>
        </w:rPr>
      </w:pPr>
      <w:bookmarkStart w:id="103" w:name="_Toc199403715"/>
      <w:r>
        <w:rPr>
          <w:rFonts w:ascii="Cambria" w:eastAsia="Cambria" w:hAnsi="Cambria" w:cs="Arial"/>
          <w:szCs w:val="24"/>
          <w:lang w:val="pt-BR"/>
        </w:rPr>
        <w:t>e. Assistência técnica</w:t>
      </w:r>
      <w:bookmarkEnd w:id="103"/>
    </w:p>
    <w:p w14:paraId="61801B61" w14:textId="77777777" w:rsidR="001875DD" w:rsidRPr="00CC1CB4" w:rsidRDefault="00000000" w:rsidP="007610EC">
      <w:pPr>
        <w:pStyle w:val="blue"/>
        <w:spacing w:after="0"/>
        <w:ind w:left="288"/>
        <w:rPr>
          <w:lang w:val="es-ES"/>
        </w:rPr>
      </w:pPr>
      <w:r>
        <w:rPr>
          <w:rFonts w:ascii="Cambria" w:eastAsia="Cambria" w:hAnsi="Cambria"/>
          <w:lang w:val="pt-BR"/>
        </w:rPr>
        <w:t xml:space="preserve">Descrever a assistência técnica que o estado fornecerá a cada LEA no estado que atenda a um número significativo ou porcentagem de escolas identificadas para suporte e melhoria abrangentes ou direcionados. </w:t>
      </w:r>
    </w:p>
    <w:p w14:paraId="0AA73E25" w14:textId="77777777" w:rsidR="001875DD" w:rsidRPr="00CC1CB4" w:rsidRDefault="00000000" w:rsidP="00367F6E">
      <w:pPr>
        <w:pStyle w:val="EndUSED"/>
        <w:rPr>
          <w:lang w:val="es-ES"/>
        </w:rPr>
      </w:pPr>
      <w:r>
        <w:rPr>
          <w:rFonts w:eastAsia="Times New Roman"/>
          <w:color w:val="FFFFFF"/>
          <w:szCs w:val="4"/>
          <w:lang w:val="pt-BR"/>
        </w:rPr>
        <w:t>[finalizar texto do USED]</w:t>
      </w:r>
    </w:p>
    <w:p w14:paraId="4D07C61E" w14:textId="77777777" w:rsidR="001875DD" w:rsidRPr="00CC1CB4" w:rsidRDefault="00000000" w:rsidP="0033188C">
      <w:pPr>
        <w:spacing w:before="240"/>
        <w:rPr>
          <w:rStyle w:val="NJDOEResponse"/>
          <w:lang w:val="es-ES"/>
        </w:rPr>
      </w:pPr>
      <w:r>
        <w:rPr>
          <w:rStyle w:val="NJDOEResponse"/>
          <w:rFonts w:eastAsia="Times New Roman"/>
          <w:color w:val="365F91"/>
          <w:lang w:val="pt-BR"/>
        </w:rPr>
        <w:t>[iniciar a resposta do NJDOE]</w:t>
      </w:r>
    </w:p>
    <w:p w14:paraId="3E483AF9" w14:textId="77777777" w:rsidR="006415C4" w:rsidRPr="00CC1CB4" w:rsidRDefault="00000000" w:rsidP="001F1475">
      <w:pPr>
        <w:pStyle w:val="5"/>
        <w:rPr>
          <w:lang w:val="es-ES"/>
        </w:rPr>
      </w:pPr>
      <w:r>
        <w:rPr>
          <w:rFonts w:ascii="Cambria" w:eastAsia="Cambria" w:hAnsi="Cambria" w:cs="Times New Roman"/>
          <w:bCs/>
          <w:lang w:val="pt-BR"/>
        </w:rPr>
        <w:t>Sistema estadual de suporte e melhoria diferenciados</w:t>
      </w:r>
    </w:p>
    <w:p w14:paraId="740B46A2" w14:textId="77777777" w:rsidR="008A4B1E" w:rsidRPr="00CC1CB4" w:rsidRDefault="00000000" w:rsidP="001F1475">
      <w:pPr>
        <w:pStyle w:val="6"/>
        <w:rPr>
          <w:lang w:val="es-ES"/>
        </w:rPr>
      </w:pPr>
      <w:r>
        <w:rPr>
          <w:rFonts w:ascii="Cambria" w:eastAsia="Cambria" w:hAnsi="Cambria" w:cs="Arial"/>
          <w:lang w:val="pt-BR"/>
        </w:rPr>
        <w:t>Atualizações de 2024</w:t>
      </w:r>
    </w:p>
    <w:p w14:paraId="6FA1AF6F" w14:textId="77777777" w:rsidR="00954623" w:rsidRPr="00CC1CB4" w:rsidRDefault="00000000" w:rsidP="008A4B1E">
      <w:pPr>
        <w:rPr>
          <w:rFonts w:cs="Times New Roman"/>
          <w:lang w:val="es-ES"/>
        </w:rPr>
      </w:pPr>
      <w:r>
        <w:rPr>
          <w:rFonts w:eastAsia="Times New Roman" w:cs="Times New Roman"/>
          <w:lang w:val="pt-BR"/>
        </w:rPr>
        <w:t xml:space="preserve">O NJDOE planeja aprimorar o sistema diferenciado de apoio e melhoria de Nova Jersey em relação a intervenções mais rigorosas para escolas identificadas para apoio e melhoria abrangentes que não conseguem progredir. A primeira mudança substancial inclui a remoção de uma análise intensiva de dados do NJDOE para escolas que precisam de melhorias abrangentes que não conseguem progredir dentro de dois anos da designação. Além disso, de acordo com as mudanças nas regulamentações estaduais (N.J.A.C. 6A:33-4.1), o NJDOE não mais nomeará um ou mais prestadores externos qualificados para escolas que não demonstrem progresso apesar de vários anos de intervenção. </w:t>
      </w:r>
    </w:p>
    <w:p w14:paraId="28D41575" w14:textId="77777777" w:rsidR="008A4B1E" w:rsidRPr="00CC1CB4" w:rsidRDefault="00000000" w:rsidP="008A4B1E">
      <w:pPr>
        <w:rPr>
          <w:rFonts w:cs="Times New Roman"/>
          <w:lang w:val="es-ES"/>
        </w:rPr>
      </w:pPr>
      <w:r>
        <w:rPr>
          <w:rFonts w:eastAsia="Times New Roman" w:cs="Times New Roman"/>
          <w:lang w:val="pt-BR"/>
        </w:rPr>
        <w:t>Os regulamentos estaduais (N.J.A.C. 6A:33-4.1(e)) incluem vários apoios e intervenções para escolas Comprehensive II, incluindo maior equidade na distribuição de recursos e a oportunidade de recursos adicionais para implementar novas iniciativas, que incluem uma avaliação externa e orientação de liderança para diretores escolares. As regulamentações estaduais atuais também exigem que os conselhos de educação da LEA com escolas Comprehensive II recebam treinamento adicional em governança e supervisão.</w:t>
      </w:r>
    </w:p>
    <w:p w14:paraId="6B480524" w14:textId="77777777" w:rsidR="003C430D" w:rsidRPr="00CC1CB4" w:rsidRDefault="00000000" w:rsidP="00596F06">
      <w:pPr>
        <w:pStyle w:val="6"/>
        <w:rPr>
          <w:lang w:val="es-ES"/>
        </w:rPr>
      </w:pPr>
      <w:r>
        <w:rPr>
          <w:rFonts w:ascii="Cambria" w:eastAsia="Cambria" w:hAnsi="Cambria" w:cs="Arial"/>
          <w:lang w:val="pt-BR"/>
        </w:rPr>
        <w:t>Descrição</w:t>
      </w:r>
    </w:p>
    <w:p w14:paraId="44FA1589" w14:textId="77777777" w:rsidR="001875DD" w:rsidRPr="00CC1CB4" w:rsidRDefault="00000000" w:rsidP="001875DD">
      <w:pPr>
        <w:rPr>
          <w:rFonts w:cs="Times New Roman"/>
          <w:lang w:val="es-ES"/>
        </w:rPr>
      </w:pPr>
      <w:r>
        <w:rPr>
          <w:rFonts w:eastAsia="Times New Roman" w:cs="Times New Roman"/>
          <w:lang w:val="pt-BR"/>
        </w:rPr>
        <w:t>Com base na análise de dados, feedback de profissionais e outras partes interessadas, e uma revisão da pesquisa sobre a ciência da melhoria escolar e implementação de práticas baseadas em evidências de forma sustentável, o NJDOE desenvolveu um sistema multinível de apoio e intervenção para fornecer a cada aluno a oportunidade de sucesso na escola e permitir que cada aluno se forme no ensino médio preparado para o sucesso após o secundário.</w:t>
      </w:r>
    </w:p>
    <w:p w14:paraId="4919127E" w14:textId="77777777" w:rsidR="001875DD" w:rsidRPr="00CC1CB4" w:rsidRDefault="00000000" w:rsidP="001875DD">
      <w:pPr>
        <w:rPr>
          <w:rFonts w:cs="Times New Roman"/>
          <w:lang w:val="es-ES"/>
        </w:rPr>
      </w:pPr>
      <w:r>
        <w:rPr>
          <w:rFonts w:eastAsia="Times New Roman" w:cs="Times New Roman"/>
          <w:lang w:val="pt-BR"/>
        </w:rPr>
        <w:t xml:space="preserve">Na ESSA, a unidade de mudança é a LEA, e não a escola; da mesma forma, o NJDOE se concentrou na LEA como a unidade de mudança. Como parte do sistema estadual de suporte e melhoria diferenciados, o NJDOE emitirá ferramentas e modelos de estruturas para avaliação e planejamento de necessidades com base na ciência de melhoria e implementação que concentram esforços de melhoria em intervenções baseadas em evidências, combinadas aos indicadores de responsabilidade específicos que resultaram na designação da escola como uma escola que precisa de melhoria direcionada ou abrangente. Essa abordagem ajudará as LEAs a concentrar seus esforços de melhoria escolar. A abordagem também facilitará o monitoramento dos resultados relacionados ao progresso em direção às metas de responsabilidade escolar anuais e de longo prazo e à implementação das intervenções selecionadas baseadas em evidências. Dados de fidelidade e desempenho serão usados pelas escolas para determinar se as intervenções corretas foram selecionadas e implementadas conforme projetado. As ferramentas e </w:t>
      </w:r>
      <w:r>
        <w:rPr>
          <w:rFonts w:eastAsia="Times New Roman" w:cs="Times New Roman"/>
          <w:lang w:val="pt-BR"/>
        </w:rPr>
        <w:lastRenderedPageBreak/>
        <w:t>modelos de estruturas serão opcionais para as LEAs que recebem suporte de Nível 2 e necessários para as LEAs que recebem suporte de Nível 3. Os níveis 1, 2 e 3 são descritos abaixo.</w:t>
      </w:r>
    </w:p>
    <w:p w14:paraId="61E750ED" w14:textId="77777777" w:rsidR="001875DD" w:rsidRPr="00CC1CB4" w:rsidRDefault="00000000" w:rsidP="001875DD">
      <w:pPr>
        <w:rPr>
          <w:rFonts w:cs="Times New Roman"/>
          <w:lang w:val="es-ES"/>
        </w:rPr>
      </w:pPr>
      <w:r>
        <w:rPr>
          <w:rFonts w:eastAsia="Times New Roman" w:cs="Times New Roman"/>
          <w:lang w:val="pt-BR"/>
        </w:rPr>
        <w:t>Os principais componentes do sistema no nível de estado incluem:</w:t>
      </w:r>
    </w:p>
    <w:p w14:paraId="0218762F" w14:textId="77777777" w:rsidR="001875DD" w:rsidRPr="00CC1CB4" w:rsidRDefault="00000000" w:rsidP="00AB358C">
      <w:pPr>
        <w:pStyle w:val="6"/>
        <w:rPr>
          <w:lang w:val="es-ES"/>
        </w:rPr>
      </w:pPr>
      <w:r>
        <w:rPr>
          <w:rFonts w:ascii="Cambria" w:eastAsia="Cambria" w:hAnsi="Cambria" w:cs="Arial"/>
          <w:lang w:val="pt-BR"/>
        </w:rPr>
        <w:t>Análise contínua de dados e avaliação de necessidades</w:t>
      </w:r>
    </w:p>
    <w:p w14:paraId="7F7A93A1" w14:textId="77777777" w:rsidR="001875DD" w:rsidRPr="00CC1CB4" w:rsidRDefault="00000000" w:rsidP="001875DD">
      <w:pPr>
        <w:rPr>
          <w:rFonts w:cs="Times New Roman"/>
          <w:lang w:val="es-ES"/>
        </w:rPr>
      </w:pPr>
      <w:r>
        <w:rPr>
          <w:rFonts w:eastAsia="Times New Roman" w:cs="Times New Roman"/>
          <w:lang w:val="pt-BR"/>
        </w:rPr>
        <w:t>O NJDOE analisará os resultados do NJQSAC, relatórios de desempenho escolar, informações de educadores, pais e outras partes interessadas e outros dados para identificar os tipos de apoio que o NJDOE fornecerá a todas as LEAs e escolas. A análise também identificará a assistência mais intensiva que será fornecida às LEAs com escolas que precisam de suporte e melhoria direcionados ou abrangentes. O NJDOE conduzirá essa análise de dados anualmente para avaliar a eficácia do sistema e identificar quaisquer alterações necessárias.</w:t>
      </w:r>
    </w:p>
    <w:p w14:paraId="1C7E8E4A" w14:textId="77777777" w:rsidR="001875DD" w:rsidRPr="00CC1CB4" w:rsidRDefault="00000000" w:rsidP="00AB358C">
      <w:pPr>
        <w:pStyle w:val="6"/>
        <w:rPr>
          <w:lang w:val="es-ES"/>
        </w:rPr>
      </w:pPr>
      <w:r>
        <w:rPr>
          <w:rFonts w:ascii="Cambria" w:eastAsia="Cambria" w:hAnsi="Cambria" w:cs="Arial"/>
          <w:lang w:val="pt-BR"/>
        </w:rPr>
        <w:t>Mecanismos de suporte coordenados</w:t>
      </w:r>
    </w:p>
    <w:p w14:paraId="3E256E98" w14:textId="77777777" w:rsidR="001875DD" w:rsidRPr="00CC1CB4" w:rsidRDefault="00000000" w:rsidP="001875DD">
      <w:pPr>
        <w:rPr>
          <w:rFonts w:cs="Times New Roman"/>
          <w:lang w:val="es-ES"/>
        </w:rPr>
      </w:pPr>
      <w:r>
        <w:rPr>
          <w:rFonts w:eastAsia="Times New Roman" w:cs="Times New Roman"/>
          <w:lang w:val="pt-BR"/>
        </w:rPr>
        <w:t xml:space="preserve">Escritórios em todo o NJDOE estarão envolvidos no fornecimento de apoio coordenado a todas as LEAs e escolas, incluindo escolas identificadas para apoio e melhoria direcionados ou abrangentes. As equipes do NJDOE determinarão as áreas prioritárias e os níveis de suporte. As escolas que precisam de suporte abrangente trabalharão principalmente com guias de liderança de equipes abrangentes de suporte e melhoria. Outros funcionários do NJDOE com experiência em currículo e instrução, planejamento fiscal, apoio para alunos com deficiências ou apoio para alunos multilíngues fornecerão orientação às escolas, dependendo do motivo para identificação e do plano abrangente desenvolvido pela escola e sua LEA. Os escritórios do condado do NJDOE também fornecerão suporte às LEAs e escolas que precisam de suporte abrangente ou direcionado. O NJDOE desenvolverá um protocolo para treinar a equipe da LEA que construa capacidade e promova autonomia. O modelo de orientação incluirá a coleta de dados para medir a realização. </w:t>
      </w:r>
    </w:p>
    <w:p w14:paraId="3D10A286" w14:textId="77777777" w:rsidR="001875DD" w:rsidRPr="00CC1CB4" w:rsidRDefault="00000000" w:rsidP="00AB358C">
      <w:pPr>
        <w:pStyle w:val="6"/>
        <w:rPr>
          <w:lang w:val="es-ES"/>
        </w:rPr>
      </w:pPr>
      <w:r>
        <w:rPr>
          <w:rFonts w:ascii="Cambria" w:eastAsia="Cambria" w:hAnsi="Cambria" w:cs="Arial"/>
          <w:lang w:val="pt-BR"/>
        </w:rPr>
        <w:t>Protocolo de planejamento de melhoria coordenada</w:t>
      </w:r>
    </w:p>
    <w:p w14:paraId="4237B856" w14:textId="77777777" w:rsidR="001875DD" w:rsidRPr="00CC1CB4" w:rsidRDefault="00000000" w:rsidP="001875DD">
      <w:pPr>
        <w:rPr>
          <w:rFonts w:cs="Times New Roman"/>
          <w:lang w:val="es-ES"/>
        </w:rPr>
      </w:pPr>
      <w:r>
        <w:rPr>
          <w:rFonts w:eastAsia="Times New Roman" w:cs="Times New Roman"/>
          <w:lang w:val="pt-BR"/>
        </w:rPr>
        <w:t>As escolas que operam programas de nível escolar do Título I terão um único plano que atenderá aos requisitos do plano do programa de nível escolar do Título I e do plano de suporte e melhoria abrangente ou direcionado. Isso promoverá um uso mais coordenado e eficaz dos recursos. Para todas as LEAs que tenham escolas identificadas para apoio e melhoria direcionados ou abrangentes, um elemento crítico de coordenação será o alinhamento dos planos de melhoria escolar com o plano de melhoria distrital/LEA sob o NJQSAC, bem como quaisquer outros planos estratégicos da LEA enviados e aprovados pelo NJDOE.</w:t>
      </w:r>
    </w:p>
    <w:p w14:paraId="6EA783EC" w14:textId="77777777" w:rsidR="001875DD" w:rsidRPr="00CC1CB4" w:rsidRDefault="00000000" w:rsidP="00AB358C">
      <w:pPr>
        <w:pStyle w:val="6"/>
        <w:rPr>
          <w:lang w:val="es-ES"/>
        </w:rPr>
      </w:pPr>
      <w:r>
        <w:rPr>
          <w:rFonts w:ascii="Cambria" w:eastAsia="Cambria" w:hAnsi="Cambria" w:cs="Arial"/>
          <w:lang w:val="pt-BR"/>
        </w:rPr>
        <w:t>Planejamento de suporte</w:t>
      </w:r>
    </w:p>
    <w:p w14:paraId="2B7CD5EB" w14:textId="77777777" w:rsidR="001875DD" w:rsidRPr="00CC1CB4" w:rsidRDefault="00000000" w:rsidP="001875DD">
      <w:pPr>
        <w:rPr>
          <w:rFonts w:cs="Times New Roman"/>
          <w:lang w:val="es-ES"/>
        </w:rPr>
      </w:pPr>
      <w:r>
        <w:rPr>
          <w:rFonts w:eastAsia="Times New Roman" w:cs="Times New Roman"/>
          <w:lang w:val="pt-BR"/>
        </w:rPr>
        <w:t>Equipes de apoio abrangentes trabalharão com líderes das LEAs com um número significativo de escolas identificadas para construir um plano de apoio estadual, que delineará os esforços de apoio do NJDOE. O nível de apoio será baseado nos planos abrangentes ou direcionados de apoio e melhoria da escola, nos dados disponíveis em nível estadual, no período de tempo em que a escola tem tido baixo desempenho, nos resultados de estratégias de intervenção implementadas anteriormente etc.</w:t>
      </w:r>
    </w:p>
    <w:p w14:paraId="6F276279" w14:textId="77777777" w:rsidR="001875DD" w:rsidRPr="00CC1CB4" w:rsidRDefault="00000000" w:rsidP="001875DD">
      <w:pPr>
        <w:rPr>
          <w:rFonts w:cs="Times New Roman"/>
          <w:lang w:val="es-ES"/>
        </w:rPr>
      </w:pPr>
      <w:r>
        <w:rPr>
          <w:rFonts w:eastAsia="Times New Roman" w:cs="Times New Roman"/>
          <w:lang w:val="pt-BR"/>
        </w:rPr>
        <w:t xml:space="preserve">O NJDOE planeja alavancar recursos internos e externos para implementar uma estrutura perfeita de assistência técnica em níveis, com ênfase no desenvolvimento da capacidade da LEA para resolver </w:t>
      </w:r>
      <w:r>
        <w:rPr>
          <w:rFonts w:eastAsia="Times New Roman" w:cs="Times New Roman"/>
          <w:lang w:val="pt-BR"/>
        </w:rPr>
        <w:lastRenderedPageBreak/>
        <w:t>problemas, selecionar, implementar e avaliar a eficácia de práticas baseadas em evidências de uma forma que promova a sustentabilidade. O NJQSAC estará alinhado com os requisitos de responsabilidade da escola de acordo com a ESSA para criar um continuum de suporte utilizando o escritório central, escritório do condado, equipes de suporte abrangentes e recursos externos para atender a necessidades específicas.</w:t>
      </w:r>
    </w:p>
    <w:p w14:paraId="54F9AE72" w14:textId="77777777" w:rsidR="001875DD" w:rsidRPr="00CC1CB4" w:rsidRDefault="00000000" w:rsidP="001875DD">
      <w:pPr>
        <w:rPr>
          <w:rFonts w:cs="Times New Roman"/>
          <w:lang w:val="es-ES"/>
        </w:rPr>
      </w:pPr>
      <w:r>
        <w:rPr>
          <w:rFonts w:eastAsia="Times New Roman" w:cs="Times New Roman"/>
          <w:lang w:val="pt-BR"/>
        </w:rPr>
        <w:t>O feedback das partes interessadas indicou que o tipo e o nível de apoio para LEAs com escolas que precisam de apoio não devem ser de tamanho único. Em resposta, o NJDOE garantirá que o nível de apoio fornecido seja diferenciado com base em várias fontes de dados que incluem: a classificação somativa da ESSA, a classificação do NJQSAC, relatórios de desempenho escolar, planos de melhoria distrital/LEA e outros dados locais e estaduais disponíveis. A diferenciação também ocorrerá dentro dos níveis de suporte descritos abaixo. Em colaboração com a liderança da LEA, o NJDOE determinará os tipos de assistência que fornecerá às LEAs com escolas que precisam de apoio para promover consistência, desenvolver a capacidade da LEA e aproveitar melhor a assistência técnica do NJDOE.</w:t>
      </w:r>
    </w:p>
    <w:p w14:paraId="09A63A3D" w14:textId="77777777" w:rsidR="00D5358F" w:rsidRPr="00CC1CB4" w:rsidRDefault="00000000" w:rsidP="001875DD">
      <w:pPr>
        <w:rPr>
          <w:rFonts w:cs="Times New Roman"/>
          <w:lang w:val="es-ES"/>
        </w:rPr>
      </w:pPr>
      <w:r>
        <w:rPr>
          <w:rFonts w:eastAsia="Times New Roman" w:cs="Times New Roman"/>
          <w:lang w:val="pt-BR"/>
        </w:rPr>
        <w:t xml:space="preserve">O NJDOE ouviu das partes interessadas sobre a importância de envolver pais, famílias e membros da comunidade como parceiros para melhorar o sucesso e a sustentabilidade dos esforços de melhoria escolar. No mínimo, se uma escola em uma LEA for identificada como necessitando de apoio e melhoria, a LEA deve notificar seu conselho de educação e os pais dos alunos que frequentam essa escola. Além disso, as escolas identificadas devem ter um pai e um membro da comunidade na equipe de melhoria escolar que ajude a criar o plano de melhoria escolar. </w:t>
      </w:r>
    </w:p>
    <w:p w14:paraId="4914DC13" w14:textId="77777777" w:rsidR="001A2790" w:rsidRPr="00CC1CB4" w:rsidRDefault="00000000" w:rsidP="008B60BB">
      <w:pPr>
        <w:rPr>
          <w:rFonts w:cs="Times New Roman"/>
          <w:lang w:val="es-ES"/>
        </w:rPr>
      </w:pPr>
      <w:r>
        <w:rPr>
          <w:rFonts w:eastAsia="Times New Roman" w:cs="Times New Roman"/>
          <w:lang w:val="pt-BR"/>
        </w:rPr>
        <w:t xml:space="preserve">Por meio da assistência técnica, o NJDOE trabalha com as LEAs para envolver significativamente suas partes interessadas. Por exemplo, a equipe do NJDOE incentivará os líderes escolares e as LEAs a fornecer atualizações às partes interessadas da comunidade sobre o status de atingir as metas estabelecidas no plano de melhoria escolar ou lembrar às LEAs quais tipos de fundos federais (por exemplo, Título I, Parte A, Seção 1003) podem ser usados para envolver as partes interessadas, como pais e membros da comunidade. A posição do NJDOE é que o envolvimento diversificado das partes interessadas é fundamental para a melhoria da escola, e os dados e feedback da escola devem ser analisados coletivamente como parte de um processo de melhoria contínua robusto e eficaz. </w:t>
      </w:r>
    </w:p>
    <w:p w14:paraId="404B9B4C" w14:textId="77777777" w:rsidR="001875DD" w:rsidRPr="00CC1CB4" w:rsidRDefault="00000000" w:rsidP="001875DD">
      <w:pPr>
        <w:rPr>
          <w:rFonts w:cs="Times New Roman"/>
          <w:lang w:val="es-ES"/>
        </w:rPr>
      </w:pPr>
      <w:r>
        <w:rPr>
          <w:rFonts w:eastAsia="Times New Roman" w:cs="Times New Roman"/>
          <w:lang w:val="pt-BR"/>
        </w:rPr>
        <w:t>Os níveis propostos de apoio são os seguintes:</w:t>
      </w:r>
    </w:p>
    <w:p w14:paraId="2F9176A5" w14:textId="77777777" w:rsidR="001875DD" w:rsidRPr="00CC1CB4" w:rsidRDefault="00000000" w:rsidP="00AB358C">
      <w:pPr>
        <w:pStyle w:val="6"/>
        <w:rPr>
          <w:lang w:val="es-ES"/>
        </w:rPr>
      </w:pPr>
      <w:r>
        <w:rPr>
          <w:rFonts w:eastAsia="MS Mincho" w:cs="Times New Roman"/>
          <w:noProof/>
        </w:rPr>
        <mc:AlternateContent>
          <mc:Choice Requires="wps">
            <w:drawing>
              <wp:anchor distT="0" distB="0" distL="114300" distR="114300" simplePos="0" relativeHeight="251695104" behindDoc="0" locked="0" layoutInCell="1" allowOverlap="1" wp14:anchorId="5A14C2A2" wp14:editId="697BAB9F">
                <wp:simplePos x="0" y="0"/>
                <wp:positionH relativeFrom="column">
                  <wp:posOffset>4205875</wp:posOffset>
                </wp:positionH>
                <wp:positionV relativeFrom="paragraph">
                  <wp:posOffset>202565</wp:posOffset>
                </wp:positionV>
                <wp:extent cx="703963" cy="1270000"/>
                <wp:effectExtent l="0" t="0" r="1270" b="8255"/>
                <wp:wrapNone/>
                <wp:docPr id="30" name="Text Box 30"/>
                <wp:cNvGraphicFramePr/>
                <a:graphic xmlns:a="http://schemas.openxmlformats.org/drawingml/2006/main">
                  <a:graphicData uri="http://schemas.microsoft.com/office/word/2010/wordprocessingShape">
                    <wps:wsp>
                      <wps:cNvSpPr txBox="1"/>
                      <wps:spPr>
                        <a:xfrm>
                          <a:off x="0" y="0"/>
                          <a:ext cx="703963" cy="1270000"/>
                        </a:xfrm>
                        <a:prstGeom prst="rect">
                          <a:avLst/>
                        </a:prstGeom>
                        <a:solidFill>
                          <a:srgbClr val="6B6BDA"/>
                        </a:solidFill>
                        <a:ln w="6350">
                          <a:noFill/>
                        </a:ln>
                      </wps:spPr>
                      <wps:txbx>
                        <w:txbxContent>
                          <w:p w14:paraId="04F66BC0" w14:textId="77777777" w:rsidR="00EB6BB4" w:rsidRPr="00EB6BB4" w:rsidRDefault="00000000" w:rsidP="00EB6BB4">
                            <w:pPr>
                              <w:spacing w:after="0"/>
                              <w:jc w:val="center"/>
                              <w:rPr>
                                <w:rFonts w:cs="Times New Roman"/>
                                <w:b/>
                                <w:bCs/>
                                <w:color w:val="FFFFFF" w:themeColor="background1"/>
                                <w:sz w:val="28"/>
                                <w:szCs w:val="28"/>
                              </w:rPr>
                            </w:pPr>
                            <w:r>
                              <w:rPr>
                                <w:rFonts w:eastAsia="Times New Roman" w:cs="Times New Roman"/>
                                <w:b/>
                                <w:bCs/>
                                <w:color w:val="FFFFFF"/>
                                <w:sz w:val="28"/>
                                <w:szCs w:val="28"/>
                                <w:lang w:val="pt-BR"/>
                              </w:rPr>
                              <w:t xml:space="preserve">Nível </w:t>
                            </w:r>
                            <w:r>
                              <w:rPr>
                                <w:rFonts w:eastAsia="Times New Roman" w:cs="Times New Roman"/>
                                <w:b/>
                                <w:bCs/>
                                <w:color w:val="FFFFFF"/>
                                <w:sz w:val="28"/>
                                <w:szCs w:val="28"/>
                                <w:lang w:val="pt-BR"/>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14C2A2" id="Text Box 30" o:spid="_x0000_s1053" type="#_x0000_t202" style="position:absolute;margin-left:331.15pt;margin-top:15.95pt;width:55.45pt;height:100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" fillcolor="#6b6bda" stroked="f" strokeweight=".5pt">
                <v:textbox style="mso-fit-shape-to-text:t" inset="0,0,0,0">
                  <w:txbxContent>
                    <w:p w14:paraId="04F66BC0" w14:textId="77777777" w:rsidR="00EB6BB4" w:rsidRPr="00EB6BB4" w:rsidRDefault="00000000" w:rsidP="00EB6BB4">
                      <w:pPr>
                        <w:spacing w:after="0"/>
                        <w:jc w:val="center"/>
                        <w:rPr>
                          <w:rFonts w:cs="Times New Roman"/>
                          <w:b/>
                          <w:bCs/>
                          <w:color w:val="FFFFFF" w:themeColor="background1"/>
                          <w:sz w:val="28"/>
                          <w:szCs w:val="28"/>
                        </w:rPr>
                      </w:pPr>
                      <w:r>
                        <w:rPr>
                          <w:rFonts w:eastAsia="Times New Roman" w:cs="Times New Roman"/>
                          <w:b/>
                          <w:bCs/>
                          <w:color w:val="FFFFFF"/>
                          <w:sz w:val="28"/>
                          <w:szCs w:val="28"/>
                          <w:lang w:val="pt-BR"/>
                        </w:rPr>
                        <w:t xml:space="preserve">Nível </w:t>
                      </w:r>
                      <w:r>
                        <w:rPr>
                          <w:rFonts w:eastAsia="Times New Roman" w:cs="Times New Roman"/>
                          <w:b/>
                          <w:bCs/>
                          <w:color w:val="FFFFFF"/>
                          <w:sz w:val="28"/>
                          <w:szCs w:val="28"/>
                          <w:lang w:val="pt-BR"/>
                        </w:rPr>
                        <w:t>1</w:t>
                      </w:r>
                    </w:p>
                  </w:txbxContent>
                </v:textbox>
              </v:shape>
            </w:pict>
          </mc:Fallback>
        </mc:AlternateContent>
      </w:r>
      <w:r w:rsidR="006D0052" w:rsidRPr="006D19E6">
        <w:rPr>
          <w:noProof/>
        </w:rPr>
        <w:drawing>
          <wp:anchor distT="0" distB="0" distL="114300" distR="114300" simplePos="0" relativeHeight="251666432" behindDoc="0" locked="0" layoutInCell="1" allowOverlap="1" wp14:anchorId="4873ECBF" wp14:editId="1B0AE553">
            <wp:simplePos x="0" y="0"/>
            <wp:positionH relativeFrom="column">
              <wp:posOffset>3390900</wp:posOffset>
            </wp:positionH>
            <wp:positionV relativeFrom="paragraph">
              <wp:posOffset>36830</wp:posOffset>
            </wp:positionV>
            <wp:extent cx="2355215" cy="1990725"/>
            <wp:effectExtent l="0" t="0" r="6985" b="9525"/>
            <wp:wrapSquare wrapText="bothSides"/>
            <wp:docPr id="6515714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71442"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rcRect b="3986"/>
                    <a:stretch>
                      <a:fillRect/>
                    </a:stretch>
                  </pic:blipFill>
                  <pic:spPr bwMode="auto">
                    <a:xfrm>
                      <a:off x="0" y="0"/>
                      <a:ext cx="2355215"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eastAsia="Cambria" w:hAnsi="Cambria" w:cs="Arial"/>
          <w:lang w:val="pt-BR"/>
        </w:rPr>
        <w:t>Suporte de nível 1</w:t>
      </w:r>
    </w:p>
    <w:p w14:paraId="7A816F14" w14:textId="77777777" w:rsidR="008417D0" w:rsidRPr="00CC1CB4" w:rsidRDefault="00000000" w:rsidP="0096654D">
      <w:pPr>
        <w:rPr>
          <w:rFonts w:cs="Times New Roman"/>
          <w:lang w:val="es-ES"/>
        </w:rPr>
      </w:pPr>
      <w:r>
        <w:rPr>
          <w:rFonts w:eastAsia="MS Mincho" w:cs="Times New Roman"/>
          <w:noProof/>
        </w:rPr>
        <mc:AlternateContent>
          <mc:Choice Requires="wps">
            <w:drawing>
              <wp:anchor distT="0" distB="0" distL="114300" distR="114300" simplePos="0" relativeHeight="251697152" behindDoc="0" locked="0" layoutInCell="1" allowOverlap="1" wp14:anchorId="2BB356E2" wp14:editId="1A18F199">
                <wp:simplePos x="0" y="0"/>
                <wp:positionH relativeFrom="column">
                  <wp:posOffset>4228465</wp:posOffset>
                </wp:positionH>
                <wp:positionV relativeFrom="paragraph">
                  <wp:posOffset>451206</wp:posOffset>
                </wp:positionV>
                <wp:extent cx="680720" cy="1270000"/>
                <wp:effectExtent l="0" t="0" r="5080" b="3810"/>
                <wp:wrapNone/>
                <wp:docPr id="31" name="Text Box 31"/>
                <wp:cNvGraphicFramePr/>
                <a:graphic xmlns:a="http://schemas.openxmlformats.org/drawingml/2006/main">
                  <a:graphicData uri="http://schemas.microsoft.com/office/word/2010/wordprocessingShape">
                    <wps:wsp>
                      <wps:cNvSpPr txBox="1"/>
                      <wps:spPr>
                        <a:xfrm>
                          <a:off x="0" y="0"/>
                          <a:ext cx="680720" cy="1270000"/>
                        </a:xfrm>
                        <a:prstGeom prst="rect">
                          <a:avLst/>
                        </a:prstGeom>
                        <a:solidFill>
                          <a:srgbClr val="6B6BDA"/>
                        </a:solidFill>
                        <a:ln w="6350">
                          <a:noFill/>
                        </a:ln>
                      </wps:spPr>
                      <wps:txbx>
                        <w:txbxContent>
                          <w:p w14:paraId="4679130E" w14:textId="77777777" w:rsidR="00EB6BB4" w:rsidRPr="00EB6BB4" w:rsidRDefault="00000000" w:rsidP="00EB6BB4">
                            <w:pPr>
                              <w:spacing w:after="0"/>
                              <w:jc w:val="center"/>
                              <w:rPr>
                                <w:rFonts w:cs="Times New Roman"/>
                                <w:b/>
                                <w:bCs/>
                                <w:color w:val="FFFFFF" w:themeColor="background1"/>
                                <w:sz w:val="26"/>
                                <w:szCs w:val="26"/>
                              </w:rPr>
                            </w:pPr>
                            <w:r>
                              <w:rPr>
                                <w:rFonts w:eastAsia="Times New Roman" w:cs="Times New Roman"/>
                                <w:b/>
                                <w:bCs/>
                                <w:color w:val="FFFFFF"/>
                                <w:sz w:val="26"/>
                                <w:szCs w:val="26"/>
                                <w:lang w:val="pt-BR"/>
                              </w:rPr>
                              <w:t xml:space="preserve">Nível </w:t>
                            </w:r>
                            <w:r>
                              <w:rPr>
                                <w:rFonts w:eastAsia="Times New Roman" w:cs="Times New Roman"/>
                                <w:b/>
                                <w:bCs/>
                                <w:color w:val="FFFFFF"/>
                                <w:sz w:val="26"/>
                                <w:szCs w:val="26"/>
                                <w:lang w:val="pt-BR"/>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B356E2" id="Text Box 31" o:spid="_x0000_s1054" type="#_x0000_t202" style="position:absolute;margin-left:332.95pt;margin-top:35.55pt;width:53.6pt;height:100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" fillcolor="#6b6bda" stroked="f" strokeweight=".5pt">
                <v:textbox style="mso-fit-shape-to-text:t" inset="0,0,0,0">
                  <w:txbxContent>
                    <w:p w14:paraId="4679130E" w14:textId="77777777" w:rsidR="00EB6BB4" w:rsidRPr="00EB6BB4" w:rsidRDefault="00000000" w:rsidP="00EB6BB4">
                      <w:pPr>
                        <w:spacing w:after="0"/>
                        <w:jc w:val="center"/>
                        <w:rPr>
                          <w:rFonts w:cs="Times New Roman"/>
                          <w:b/>
                          <w:bCs/>
                          <w:color w:val="FFFFFF" w:themeColor="background1"/>
                          <w:sz w:val="26"/>
                          <w:szCs w:val="26"/>
                        </w:rPr>
                      </w:pPr>
                      <w:r>
                        <w:rPr>
                          <w:rFonts w:eastAsia="Times New Roman" w:cs="Times New Roman"/>
                          <w:b/>
                          <w:bCs/>
                          <w:color w:val="FFFFFF"/>
                          <w:sz w:val="26"/>
                          <w:szCs w:val="26"/>
                          <w:lang w:val="pt-BR"/>
                        </w:rPr>
                        <w:t xml:space="preserve">Nível </w:t>
                      </w:r>
                      <w:r>
                        <w:rPr>
                          <w:rFonts w:eastAsia="Times New Roman" w:cs="Times New Roman"/>
                          <w:b/>
                          <w:bCs/>
                          <w:color w:val="FFFFFF"/>
                          <w:sz w:val="26"/>
                          <w:szCs w:val="26"/>
                          <w:lang w:val="pt-BR"/>
                        </w:rPr>
                        <w:t>2</w:t>
                      </w:r>
                    </w:p>
                  </w:txbxContent>
                </v:textbox>
              </v:shape>
            </w:pict>
          </mc:Fallback>
        </mc:AlternateContent>
      </w:r>
      <w:r>
        <w:rPr>
          <w:rFonts w:eastAsia="MS Mincho" w:cs="Times New Roman"/>
          <w:noProof/>
        </w:rPr>
        <mc:AlternateContent>
          <mc:Choice Requires="wps">
            <w:drawing>
              <wp:anchor distT="0" distB="0" distL="114300" distR="114300" simplePos="0" relativeHeight="251699200" behindDoc="0" locked="0" layoutInCell="1" allowOverlap="1" wp14:anchorId="49F937B9" wp14:editId="78DB966F">
                <wp:simplePos x="0" y="0"/>
                <wp:positionH relativeFrom="column">
                  <wp:posOffset>4228465</wp:posOffset>
                </wp:positionH>
                <wp:positionV relativeFrom="paragraph">
                  <wp:posOffset>915829</wp:posOffset>
                </wp:positionV>
                <wp:extent cx="681038" cy="1270000"/>
                <wp:effectExtent l="0" t="0" r="5080" b="6350"/>
                <wp:wrapNone/>
                <wp:docPr id="32" name="Text Box 32"/>
                <wp:cNvGraphicFramePr/>
                <a:graphic xmlns:a="http://schemas.openxmlformats.org/drawingml/2006/main">
                  <a:graphicData uri="http://schemas.microsoft.com/office/word/2010/wordprocessingShape">
                    <wps:wsp>
                      <wps:cNvSpPr txBox="1"/>
                      <wps:spPr>
                        <a:xfrm>
                          <a:off x="0" y="0"/>
                          <a:ext cx="681038" cy="1270000"/>
                        </a:xfrm>
                        <a:prstGeom prst="rect">
                          <a:avLst/>
                        </a:prstGeom>
                        <a:solidFill>
                          <a:srgbClr val="6B6BDA"/>
                        </a:solidFill>
                        <a:ln w="6350">
                          <a:noFill/>
                        </a:ln>
                      </wps:spPr>
                      <wps:txbx>
                        <w:txbxContent>
                          <w:p w14:paraId="0DB51E5C" w14:textId="77777777" w:rsidR="00EB6BB4" w:rsidRPr="00EB6BB4" w:rsidRDefault="00000000" w:rsidP="00EB6BB4">
                            <w:pPr>
                              <w:spacing w:after="0"/>
                              <w:jc w:val="center"/>
                              <w:rPr>
                                <w:rFonts w:cs="Times New Roman"/>
                                <w:b/>
                                <w:bCs/>
                                <w:color w:val="FFFFFF" w:themeColor="background1"/>
                                <w:sz w:val="28"/>
                                <w:szCs w:val="28"/>
                              </w:rPr>
                            </w:pPr>
                            <w:r>
                              <w:rPr>
                                <w:rFonts w:eastAsia="Times New Roman" w:cs="Times New Roman"/>
                                <w:b/>
                                <w:bCs/>
                                <w:color w:val="FFFFFF"/>
                                <w:sz w:val="28"/>
                                <w:szCs w:val="28"/>
                                <w:lang w:val="pt-BR"/>
                              </w:rPr>
                              <w:t xml:space="preserve">Nível </w:t>
                            </w:r>
                            <w:r>
                              <w:rPr>
                                <w:rFonts w:eastAsia="Times New Roman" w:cs="Times New Roman"/>
                                <w:b/>
                                <w:bCs/>
                                <w:color w:val="FFFFFF"/>
                                <w:sz w:val="28"/>
                                <w:szCs w:val="28"/>
                                <w:lang w:val="pt-BR"/>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F937B9" id="Text Box 32" o:spid="_x0000_s1055" type="#_x0000_t202" style="position:absolute;margin-left:332.95pt;margin-top:72.1pt;width:53.65pt;height:100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" fillcolor="#6b6bda" stroked="f" strokeweight=".5pt">
                <v:textbox style="mso-fit-shape-to-text:t" inset="0,0,0,0">
                  <w:txbxContent>
                    <w:p w14:paraId="0DB51E5C" w14:textId="77777777" w:rsidR="00EB6BB4" w:rsidRPr="00EB6BB4" w:rsidRDefault="00000000" w:rsidP="00EB6BB4">
                      <w:pPr>
                        <w:spacing w:after="0"/>
                        <w:jc w:val="center"/>
                        <w:rPr>
                          <w:rFonts w:cs="Times New Roman"/>
                          <w:b/>
                          <w:bCs/>
                          <w:color w:val="FFFFFF" w:themeColor="background1"/>
                          <w:sz w:val="28"/>
                          <w:szCs w:val="28"/>
                        </w:rPr>
                      </w:pPr>
                      <w:r>
                        <w:rPr>
                          <w:rFonts w:eastAsia="Times New Roman" w:cs="Times New Roman"/>
                          <w:b/>
                          <w:bCs/>
                          <w:color w:val="FFFFFF"/>
                          <w:sz w:val="28"/>
                          <w:szCs w:val="28"/>
                          <w:lang w:val="pt-BR"/>
                        </w:rPr>
                        <w:t xml:space="preserve">Nível </w:t>
                      </w:r>
                      <w:r>
                        <w:rPr>
                          <w:rFonts w:eastAsia="Times New Roman" w:cs="Times New Roman"/>
                          <w:b/>
                          <w:bCs/>
                          <w:color w:val="FFFFFF"/>
                          <w:sz w:val="28"/>
                          <w:szCs w:val="28"/>
                          <w:lang w:val="pt-BR"/>
                        </w:rPr>
                        <w:t>3</w:t>
                      </w:r>
                    </w:p>
                  </w:txbxContent>
                </v:textbox>
              </v:shape>
            </w:pict>
          </mc:Fallback>
        </mc:AlternateContent>
      </w:r>
      <w:r>
        <w:rPr>
          <w:rFonts w:eastAsia="Times New Roman" w:cs="Times New Roman"/>
          <w:lang w:val="pt-BR"/>
        </w:rPr>
        <w:t>O suporte de Nível 1 será fornecido a todas as LEAs, incluindo aquelas identificadas no NJQSAC como de alto desempenho, sem que escolas identificadas precisem de suporte e melhoria abrangentes ou direcionados. Os suportes projetados para todas as LEAs e comunidades incluem, entre outros: informações e recursos para avaliação de necessidades, planejamento de melhoria, implementação e avaliação de eficácia. As LEAs serão convidadas a participar de treinamentos e webinars em todo o estado e terão acesso a recursos e materiais através do NJDOE.</w:t>
      </w:r>
    </w:p>
    <w:p w14:paraId="528F5BFC" w14:textId="77777777" w:rsidR="001875DD" w:rsidRPr="00CC1CB4" w:rsidRDefault="00000000" w:rsidP="00AB358C">
      <w:pPr>
        <w:pStyle w:val="6"/>
        <w:rPr>
          <w:lang w:val="es-ES"/>
        </w:rPr>
      </w:pPr>
      <w:r>
        <w:rPr>
          <w:rFonts w:ascii="Cambria" w:eastAsia="Cambria" w:hAnsi="Cambria" w:cs="Arial"/>
          <w:lang w:val="pt-BR"/>
        </w:rPr>
        <w:lastRenderedPageBreak/>
        <w:t>Suporte de nível 2</w:t>
      </w:r>
    </w:p>
    <w:p w14:paraId="60C8A6FD" w14:textId="77777777" w:rsidR="001875DD" w:rsidRPr="00CC1CB4" w:rsidRDefault="00000000" w:rsidP="001875DD">
      <w:pPr>
        <w:rPr>
          <w:rFonts w:cs="Times New Roman"/>
          <w:lang w:val="es-ES"/>
        </w:rPr>
      </w:pPr>
      <w:r>
        <w:rPr>
          <w:rFonts w:eastAsia="Times New Roman" w:cs="Times New Roman"/>
          <w:lang w:val="pt-BR"/>
        </w:rPr>
        <w:t>O suporte de Nível 2 será fornecido às LEAs que não tenham escolas identificadas como CSI e menos de um total de três escolas identificadas como ATSI ou TSI. As LEAs também podem ter planos de melhoria da LEA relacionados a uma revisão do NJQSAC.</w:t>
      </w:r>
    </w:p>
    <w:p w14:paraId="0CBB2CF4" w14:textId="77777777" w:rsidR="001875DD" w:rsidRPr="00CC1CB4" w:rsidRDefault="00000000">
      <w:pPr>
        <w:rPr>
          <w:rFonts w:cs="Times New Roman"/>
          <w:lang w:val="es-ES"/>
        </w:rPr>
      </w:pPr>
      <w:r>
        <w:rPr>
          <w:rFonts w:eastAsia="Times New Roman" w:cs="Times New Roman"/>
          <w:lang w:val="pt-BR"/>
        </w:rPr>
        <w:t>As LEAs elegíveis para suporte de Nível 2 têm a responsabilidade principal de conduzir avaliações de necessidades e desenvolver planos de melhoria da LEA que sejam complementares e focados nas necessidades identificadas. As LEAs identificadas para suporte de Nível 2 serão notificadas sobre as responsabilidades da LEA e/ou da escola de acordo com as leis estaduais e federais, incluindo um processo para aprovação e monitoramento do progresso de planos de suporte e melhoria direcionados. O NJDOE disponibilizará ferramentas e modelos para uma avaliação abrangente das necessidades, avaliações das necessidades específicas dos grupos de alunos, planos de suporte e melhoria específicos e informações sobre outros sistemas, programas e/ou estratégias baseados em evidências. O NJDOE fornecerá apoio às LEAs por meio de atividades como webinars, apresentações de grandes grupos e sessões de trabalho em nível de condado para facilitar o uso das ferramentas e o desenvolvimento de planos coordenados que atendam às necessidades dos alunos.</w:t>
      </w:r>
    </w:p>
    <w:p w14:paraId="03B8357B" w14:textId="77777777" w:rsidR="001875DD" w:rsidRPr="00CC1CB4" w:rsidRDefault="00000000" w:rsidP="001875DD">
      <w:pPr>
        <w:rPr>
          <w:rFonts w:cs="Times New Roman"/>
          <w:lang w:val="es-ES"/>
        </w:rPr>
      </w:pPr>
      <w:r>
        <w:rPr>
          <w:rFonts w:eastAsia="Times New Roman" w:cs="Times New Roman"/>
          <w:lang w:val="pt-BR"/>
        </w:rPr>
        <w:t>Com base em uma análise dos dados disponíveis, o NJDOE trabalhará em parceria com uma LEA e suas escolas que precisam de apoio direcionado para determinar o benefício da participação em programas patrocinados pelo estado, assistência técnica direcionada ou outras oportunidades disponíveis. Com base na necessidade, as LEAs podem receber orientação em práticas baseadas em evidências, ou as LEAs poderão usar fundos federais para adquirir orientação, outro desenvolvimento profissional e/ou materiais relacionados a práticas baseadas em evidências projetadas para melhorar o desempenho para grupos de alunos específicos ou para abordar indicadores específicos (por exemplo, absenteísmo crônico). A participação será opcional, a menos que uma escola não tenha demonstrado crescimento após três anos de implementação de seu plano de apoio e melhoria direcionado. Além disso, se a LEA tiver um número significativo de escolas, três ou mais, que precisam de apoio e melhoria direcionados, eles receberão apoio de Nível 3.</w:t>
      </w:r>
    </w:p>
    <w:p w14:paraId="4CE862EF" w14:textId="77777777" w:rsidR="001875DD" w:rsidRPr="00CC1CB4" w:rsidRDefault="00000000" w:rsidP="001875DD">
      <w:pPr>
        <w:rPr>
          <w:rFonts w:cs="Times New Roman"/>
          <w:lang w:val="es-ES"/>
        </w:rPr>
      </w:pPr>
      <w:r>
        <w:rPr>
          <w:rFonts w:eastAsia="Times New Roman" w:cs="Times New Roman"/>
          <w:lang w:val="pt-BR"/>
        </w:rPr>
        <w:t xml:space="preserve">O NJDOE também considerará solicitações de apoio das LEAs. Conforme necessário e apropriado, o NJDOE e/ou fornecedores terceirizados identificados e/ou contratados pelo NJDOE para programas específicos coordenarão e/ou atenderão a essas solicitações. </w:t>
      </w:r>
    </w:p>
    <w:p w14:paraId="0A284DF5" w14:textId="77777777" w:rsidR="001875DD" w:rsidRPr="00CC1CB4" w:rsidRDefault="00000000" w:rsidP="001875DD">
      <w:pPr>
        <w:rPr>
          <w:rFonts w:cs="Times New Roman"/>
          <w:lang w:val="es-ES"/>
        </w:rPr>
      </w:pPr>
      <w:r>
        <w:rPr>
          <w:rFonts w:eastAsia="Times New Roman" w:cs="Times New Roman"/>
          <w:lang w:val="pt-BR"/>
        </w:rPr>
        <w:t>Anualmente, o NJDOE revisará as classificações somativas das escolas que precisam de apoio e melhoria direcionados para determinar o progresso. Se o progresso não estiver sendo feito ou as escolas não atenderem aos critérios de saída estabelecidos pelo NJDOE, a equipe do NJDOE trabalhará em colaboração com a LEA e a liderança da escola para analisar as estratégias e os resultados do plano de melhoria e fornecer suporte adicional para garantir o progresso conforme necessário.</w:t>
      </w:r>
    </w:p>
    <w:p w14:paraId="47436F65" w14:textId="77777777" w:rsidR="001875DD" w:rsidRPr="00CC1CB4" w:rsidRDefault="00000000" w:rsidP="00AB358C">
      <w:pPr>
        <w:pStyle w:val="6"/>
        <w:rPr>
          <w:lang w:val="es-ES"/>
        </w:rPr>
      </w:pPr>
      <w:r>
        <w:rPr>
          <w:rFonts w:ascii="Cambria" w:eastAsia="Cambria" w:hAnsi="Cambria" w:cs="Arial"/>
          <w:lang w:val="pt-BR"/>
        </w:rPr>
        <w:t>Suporte de nível 3</w:t>
      </w:r>
    </w:p>
    <w:p w14:paraId="011542CC" w14:textId="77777777" w:rsidR="001875DD" w:rsidRPr="00CC1CB4" w:rsidRDefault="00000000" w:rsidP="001875DD">
      <w:pPr>
        <w:rPr>
          <w:rFonts w:cs="Times New Roman"/>
          <w:lang w:val="es-ES"/>
        </w:rPr>
      </w:pPr>
      <w:r>
        <w:rPr>
          <w:rFonts w:eastAsia="Times New Roman" w:cs="Times New Roman"/>
          <w:lang w:val="pt-BR"/>
        </w:rPr>
        <w:t xml:space="preserve">O suporte de Nível 3 será fornecido às LEAs que tenham uma escola ou escolas identificadas como necessitando de apoio e melhoria abrangentes ou que tenham um número significativo (total de três ou mais) de escolas TSI e/ou ATSI. As LEAs também podem ter um plano de melhoria da LEA resultante de uma revisão do NJQSAC. </w:t>
      </w:r>
    </w:p>
    <w:p w14:paraId="27B03C11" w14:textId="77777777" w:rsidR="001875DD" w:rsidRPr="00CC1CB4" w:rsidRDefault="00000000" w:rsidP="001875DD">
      <w:pPr>
        <w:rPr>
          <w:rFonts w:cs="Times New Roman"/>
          <w:lang w:val="es-ES"/>
        </w:rPr>
      </w:pPr>
      <w:r>
        <w:rPr>
          <w:rFonts w:eastAsia="Times New Roman" w:cs="Times New Roman"/>
          <w:lang w:val="pt-BR"/>
        </w:rPr>
        <w:lastRenderedPageBreak/>
        <w:t xml:space="preserve">Como parte das intervenções de Nível 3, o NJDOE analisará e trabalhará em colaboração com as LEAs para desenvolver os planos de suporte e melhoria abrangentes ou direcionados enviados pelas LEAs; fornecerá suporte na análise de dados, planejamento e implementação de intervenções; e monitorará o progresso na implementação do plano. O NJDOE também garantirá que todos os planos de melhoria incluam intervenções baseadas em evidências que estejam alinhadas com os planos de longo prazo da LEA. Aplicando os princípios identificados na pesquisa de implementação e melhoria, o NJDOE garantirá que os resultados sejam mensuráveis para determinar a eficácia das intervenções selecionadas. Além disso, o NJDOE oferece às LEAs uma variedade de suportes, dependendo das necessidades identificadas, que podem incluir: </w:t>
      </w:r>
    </w:p>
    <w:p w14:paraId="2EFD153F" w14:textId="77777777" w:rsidR="001875DD" w:rsidRPr="00CC1CB4" w:rsidRDefault="00000000" w:rsidP="001E4AB8">
      <w:pPr>
        <w:pStyle w:val="a6"/>
        <w:numPr>
          <w:ilvl w:val="0"/>
          <w:numId w:val="14"/>
        </w:numPr>
        <w:spacing w:after="0"/>
        <w:rPr>
          <w:rStyle w:val="cf01"/>
          <w:rFonts w:ascii="Times New Roman" w:hAnsi="Times New Roman" w:cs="Times New Roman"/>
          <w:sz w:val="22"/>
          <w:szCs w:val="22"/>
          <w:lang w:val="es-ES"/>
        </w:rPr>
      </w:pPr>
      <w:r>
        <w:rPr>
          <w:rStyle w:val="cf01"/>
          <w:rFonts w:ascii="Times New Roman" w:eastAsia="Times New Roman" w:hAnsi="Times New Roman" w:cs="Times New Roman"/>
          <w:sz w:val="22"/>
          <w:szCs w:val="22"/>
          <w:lang w:val="pt-BR"/>
        </w:rPr>
        <w:t>fundos de melhoria escolar para apoiar intervenções baseadas em evidências;</w:t>
      </w:r>
    </w:p>
    <w:p w14:paraId="3E24D24A" w14:textId="77777777" w:rsidR="001875DD" w:rsidRPr="00CC1CB4" w:rsidRDefault="00000000" w:rsidP="001E4AB8">
      <w:pPr>
        <w:pStyle w:val="a6"/>
        <w:numPr>
          <w:ilvl w:val="0"/>
          <w:numId w:val="14"/>
        </w:numPr>
        <w:spacing w:after="0"/>
        <w:rPr>
          <w:rFonts w:cs="Times New Roman"/>
          <w:lang w:val="es-ES"/>
        </w:rPr>
      </w:pPr>
      <w:r>
        <w:rPr>
          <w:rStyle w:val="cf01"/>
          <w:rFonts w:ascii="Times New Roman" w:eastAsia="Times New Roman" w:hAnsi="Times New Roman" w:cs="Times New Roman"/>
          <w:sz w:val="22"/>
          <w:szCs w:val="22"/>
          <w:lang w:val="pt-BR"/>
        </w:rPr>
        <w:t>orientação e assistência no desenvolvimento de planos de melhoria escolar;</w:t>
      </w:r>
    </w:p>
    <w:p w14:paraId="25A42C26" w14:textId="77777777" w:rsidR="001875DD" w:rsidRPr="00CC1CB4" w:rsidRDefault="00000000" w:rsidP="001E4AB8">
      <w:pPr>
        <w:pStyle w:val="pf0"/>
        <w:numPr>
          <w:ilvl w:val="0"/>
          <w:numId w:val="14"/>
        </w:numPr>
        <w:spacing w:before="0" w:beforeAutospacing="0" w:after="0" w:afterAutospacing="0" w:line="276" w:lineRule="auto"/>
        <w:rPr>
          <w:sz w:val="22"/>
          <w:szCs w:val="22"/>
          <w:lang w:val="es-ES"/>
        </w:rPr>
      </w:pPr>
      <w:r>
        <w:rPr>
          <w:rStyle w:val="cf01"/>
          <w:rFonts w:ascii="Times New Roman" w:hAnsi="Times New Roman" w:cs="Times New Roman"/>
          <w:sz w:val="22"/>
          <w:szCs w:val="22"/>
          <w:lang w:val="pt-BR"/>
        </w:rPr>
        <w:t>monitoramento do progresso da facilitação dos planos escolares anuais;</w:t>
      </w:r>
    </w:p>
    <w:p w14:paraId="263E8612" w14:textId="77777777" w:rsidR="001875DD" w:rsidRPr="00CC1CB4" w:rsidRDefault="00000000" w:rsidP="001E4AB8">
      <w:pPr>
        <w:pStyle w:val="pf0"/>
        <w:numPr>
          <w:ilvl w:val="0"/>
          <w:numId w:val="14"/>
        </w:numPr>
        <w:spacing w:before="0" w:beforeAutospacing="0" w:after="0" w:afterAutospacing="0" w:line="276" w:lineRule="auto"/>
        <w:rPr>
          <w:sz w:val="22"/>
          <w:szCs w:val="22"/>
          <w:lang w:val="es-ES"/>
        </w:rPr>
      </w:pPr>
      <w:r>
        <w:rPr>
          <w:rStyle w:val="cf01"/>
          <w:rFonts w:ascii="Times New Roman" w:hAnsi="Times New Roman" w:cs="Times New Roman"/>
          <w:sz w:val="22"/>
          <w:szCs w:val="22"/>
          <w:lang w:val="pt-BR"/>
        </w:rPr>
        <w:t>apoio para promover uma mentalidade de crescimento e melhoria contínua;</w:t>
      </w:r>
    </w:p>
    <w:p w14:paraId="47AA3954" w14:textId="77777777" w:rsidR="001875DD" w:rsidRPr="00CC1CB4" w:rsidRDefault="00000000" w:rsidP="001E4AB8">
      <w:pPr>
        <w:pStyle w:val="pf0"/>
        <w:numPr>
          <w:ilvl w:val="0"/>
          <w:numId w:val="14"/>
        </w:numPr>
        <w:spacing w:before="0" w:beforeAutospacing="0" w:after="0" w:afterAutospacing="0" w:line="276" w:lineRule="auto"/>
        <w:rPr>
          <w:sz w:val="22"/>
          <w:szCs w:val="22"/>
          <w:lang w:val="es-ES"/>
        </w:rPr>
      </w:pPr>
      <w:r>
        <w:rPr>
          <w:rStyle w:val="cf01"/>
          <w:rFonts w:ascii="Times New Roman" w:hAnsi="Times New Roman" w:cs="Times New Roman"/>
          <w:sz w:val="22"/>
          <w:szCs w:val="22"/>
          <w:lang w:val="pt-BR"/>
        </w:rPr>
        <w:t>orientação à escola e aos líderes da LEA para apoiar seu crescimento como líderes instrucionais e aprimorar sua capacidade de orientar;</w:t>
      </w:r>
    </w:p>
    <w:p w14:paraId="68662EB8" w14:textId="77777777" w:rsidR="001875DD" w:rsidRPr="00CC1CB4" w:rsidRDefault="00000000" w:rsidP="001E4AB8">
      <w:pPr>
        <w:pStyle w:val="pf0"/>
        <w:numPr>
          <w:ilvl w:val="0"/>
          <w:numId w:val="14"/>
        </w:numPr>
        <w:spacing w:before="0" w:beforeAutospacing="0" w:after="0" w:afterAutospacing="0" w:line="276" w:lineRule="auto"/>
        <w:rPr>
          <w:sz w:val="22"/>
          <w:szCs w:val="22"/>
          <w:lang w:val="es-ES"/>
        </w:rPr>
      </w:pPr>
      <w:r>
        <w:rPr>
          <w:rStyle w:val="cf01"/>
          <w:rFonts w:ascii="Times New Roman" w:hAnsi="Times New Roman" w:cs="Times New Roman"/>
          <w:sz w:val="22"/>
          <w:szCs w:val="22"/>
          <w:lang w:val="pt-BR"/>
        </w:rPr>
        <w:t>colaboração com líderes da LEA para garantir que as escolas recebam apoio crítico e para identificar e implementar práticas instrucionais baseadas em evidências;</w:t>
      </w:r>
    </w:p>
    <w:p w14:paraId="331B3591" w14:textId="77777777" w:rsidR="001875DD" w:rsidRPr="00CC1CB4" w:rsidRDefault="00000000" w:rsidP="001E4AB8">
      <w:pPr>
        <w:pStyle w:val="pf0"/>
        <w:numPr>
          <w:ilvl w:val="0"/>
          <w:numId w:val="14"/>
        </w:numPr>
        <w:spacing w:before="0" w:beforeAutospacing="0" w:after="0" w:afterAutospacing="0" w:line="276" w:lineRule="auto"/>
        <w:rPr>
          <w:sz w:val="22"/>
          <w:szCs w:val="22"/>
          <w:lang w:val="es-ES"/>
        </w:rPr>
      </w:pPr>
      <w:r>
        <w:rPr>
          <w:rStyle w:val="cf01"/>
          <w:rFonts w:ascii="Times New Roman" w:hAnsi="Times New Roman" w:cs="Times New Roman"/>
          <w:sz w:val="22"/>
          <w:szCs w:val="22"/>
          <w:lang w:val="pt-BR"/>
        </w:rPr>
        <w:t xml:space="preserve">apoio à aprendizagem profissional dos professores com base em métricas e prioridades internas de dados; </w:t>
      </w:r>
    </w:p>
    <w:p w14:paraId="35E2C4A8" w14:textId="77777777" w:rsidR="001875DD" w:rsidRPr="00CC1CB4" w:rsidRDefault="00000000" w:rsidP="001E4AB8">
      <w:pPr>
        <w:pStyle w:val="pf0"/>
        <w:numPr>
          <w:ilvl w:val="0"/>
          <w:numId w:val="14"/>
        </w:numPr>
        <w:spacing w:before="0" w:beforeAutospacing="0" w:after="0" w:afterAutospacing="0" w:line="276" w:lineRule="auto"/>
        <w:rPr>
          <w:sz w:val="22"/>
          <w:szCs w:val="22"/>
          <w:lang w:val="es-ES"/>
        </w:rPr>
      </w:pPr>
      <w:r>
        <w:rPr>
          <w:rStyle w:val="cf01"/>
          <w:rFonts w:ascii="Times New Roman" w:hAnsi="Times New Roman" w:cs="Times New Roman"/>
          <w:sz w:val="22"/>
          <w:szCs w:val="22"/>
          <w:lang w:val="pt-BR"/>
        </w:rPr>
        <w:t>facilitação de oportunidades de crescimento profissional relacionadas à melhoria da escola e da LEA;</w:t>
      </w:r>
    </w:p>
    <w:p w14:paraId="579F37B9" w14:textId="77777777" w:rsidR="001875DD" w:rsidRPr="00CC1CB4" w:rsidRDefault="00000000" w:rsidP="001E4AB8">
      <w:pPr>
        <w:pStyle w:val="pf0"/>
        <w:numPr>
          <w:ilvl w:val="0"/>
          <w:numId w:val="14"/>
        </w:numPr>
        <w:spacing w:before="0" w:beforeAutospacing="0" w:after="0" w:afterAutospacing="0" w:line="276" w:lineRule="auto"/>
        <w:rPr>
          <w:sz w:val="22"/>
          <w:szCs w:val="22"/>
          <w:lang w:val="es-ES"/>
        </w:rPr>
      </w:pPr>
      <w:r>
        <w:rPr>
          <w:rStyle w:val="cf01"/>
          <w:rFonts w:ascii="Times New Roman" w:hAnsi="Times New Roman" w:cs="Times New Roman"/>
          <w:sz w:val="22"/>
          <w:szCs w:val="22"/>
          <w:lang w:val="pt-BR"/>
        </w:rPr>
        <w:t>orientação sobre o uso de fundos federais relacionados à escola e melhoria da LEA;</w:t>
      </w:r>
    </w:p>
    <w:p w14:paraId="1229941E" w14:textId="77777777" w:rsidR="006415C4" w:rsidRPr="00CC1CB4" w:rsidRDefault="00000000" w:rsidP="001E4AB8">
      <w:pPr>
        <w:pStyle w:val="pf0"/>
        <w:numPr>
          <w:ilvl w:val="0"/>
          <w:numId w:val="14"/>
        </w:numPr>
        <w:spacing w:before="0" w:beforeAutospacing="0" w:after="240" w:afterAutospacing="0" w:line="276" w:lineRule="auto"/>
        <w:rPr>
          <w:sz w:val="22"/>
          <w:szCs w:val="22"/>
          <w:lang w:val="es-ES"/>
        </w:rPr>
      </w:pPr>
      <w:r>
        <w:rPr>
          <w:rStyle w:val="cf01"/>
          <w:rFonts w:ascii="Times New Roman" w:hAnsi="Times New Roman" w:cs="Times New Roman"/>
          <w:sz w:val="22"/>
          <w:szCs w:val="22"/>
          <w:lang w:val="pt-BR"/>
        </w:rPr>
        <w:t>programas patrocinados pelo NJDOE, assistência técnica direcionada e/ou outras oportunidades de melhoria da escola e da LEA.</w:t>
      </w:r>
    </w:p>
    <w:p w14:paraId="6024098E" w14:textId="77777777" w:rsidR="001875DD" w:rsidRPr="00CC1CB4" w:rsidRDefault="00000000" w:rsidP="001875DD">
      <w:pPr>
        <w:rPr>
          <w:rFonts w:cs="Times New Roman"/>
          <w:lang w:val="es-ES"/>
        </w:rPr>
      </w:pPr>
      <w:r>
        <w:rPr>
          <w:rFonts w:eastAsia="Times New Roman" w:cs="Times New Roman"/>
          <w:lang w:val="pt-BR"/>
        </w:rPr>
        <w:t>As partes interessadas indicaram que o acesso imediato a modelos de plano de melhoria e outros recursos também seria útil no planejamento e implementação. Como resultado, o NJDOE tem um site dedicado para recursos e ferramentas de melhoria escolar que apoiam a avaliação de necessidades, identificação de suportes, intervenções, programas/práticas baseadas em evidências etc.</w:t>
      </w:r>
    </w:p>
    <w:p w14:paraId="618F7170" w14:textId="77777777" w:rsidR="001875DD" w:rsidRPr="00CC1CB4" w:rsidRDefault="00000000" w:rsidP="001875DD">
      <w:pPr>
        <w:rPr>
          <w:rFonts w:cs="Times New Roman"/>
          <w:lang w:val="es-ES"/>
        </w:rPr>
      </w:pPr>
      <w:r>
        <w:rPr>
          <w:rFonts w:eastAsia="Times New Roman" w:cs="Times New Roman"/>
          <w:lang w:val="pt-BR"/>
        </w:rPr>
        <w:t>Por meio de orientação e implementação de iniciativas específicas, o NJDOE garantirá que as LEAs envolvam as partes interessadas locais durante as fases de avaliação de necessidades, planejamento, implementação e avaliação dos esforços de melhoria.</w:t>
      </w:r>
    </w:p>
    <w:p w14:paraId="56FFC242" w14:textId="77777777" w:rsidR="00595DB7" w:rsidRPr="00CC1CB4" w:rsidRDefault="00000000" w:rsidP="00595DB7">
      <w:pPr>
        <w:pStyle w:val="5"/>
        <w:rPr>
          <w:lang w:val="es-ES"/>
        </w:rPr>
      </w:pPr>
      <w:r>
        <w:rPr>
          <w:rFonts w:ascii="Cambria" w:eastAsia="Cambria" w:hAnsi="Cambria" w:cs="Times New Roman"/>
          <w:bCs/>
          <w:lang w:val="pt-BR"/>
        </w:rPr>
        <w:t>Recursos de melhoria escolar</w:t>
      </w:r>
    </w:p>
    <w:p w14:paraId="2CCC3F63" w14:textId="77777777" w:rsidR="00595DB7" w:rsidRPr="00CC1CB4" w:rsidRDefault="00000000" w:rsidP="00595DB7">
      <w:pPr>
        <w:rPr>
          <w:rFonts w:cs="Times New Roman"/>
          <w:lang w:val="es-ES"/>
        </w:rPr>
      </w:pPr>
      <w:r>
        <w:rPr>
          <w:rFonts w:eastAsia="Times New Roman" w:cs="Times New Roman"/>
          <w:lang w:val="pt-BR"/>
        </w:rPr>
        <w:t>Consistente com o sistema de apoio e melhoria diferenciados do NJDOE, os fundos de melhoria escolar são alocados via fórmula e/ou subsídios competitivos, incluindo a possibilidade de um subsídio competitivo limitado com base em áreas prioritárias de necessidade. Assim que o NJDOE finalizar a lista de escolas identificadas como necessitando de apoio e melhoria abrangentes ou direcionados, os fundos são distribuídos com base nas necessidades e atividades nas solicitações de subsídios aprovadas para auxiliar:</w:t>
      </w:r>
    </w:p>
    <w:p w14:paraId="32A87189" w14:textId="77777777" w:rsidR="00595DB7" w:rsidRPr="00CC1CB4" w:rsidRDefault="00000000" w:rsidP="00595DB7">
      <w:pPr>
        <w:pStyle w:val="a6"/>
        <w:numPr>
          <w:ilvl w:val="0"/>
          <w:numId w:val="9"/>
        </w:numPr>
        <w:spacing w:after="120"/>
        <w:rPr>
          <w:rFonts w:cs="Times New Roman"/>
          <w:lang w:val="es-ES"/>
        </w:rPr>
      </w:pPr>
      <w:r>
        <w:rPr>
          <w:rFonts w:eastAsia="Times New Roman" w:cs="Times New Roman"/>
          <w:lang w:val="pt-BR"/>
        </w:rPr>
        <w:t>na avaliação das necessidades escolares com base em dados;</w:t>
      </w:r>
    </w:p>
    <w:p w14:paraId="031873EF" w14:textId="77777777" w:rsidR="00595DB7" w:rsidRPr="00CC1CB4" w:rsidRDefault="00000000" w:rsidP="00595DB7">
      <w:pPr>
        <w:pStyle w:val="a6"/>
        <w:numPr>
          <w:ilvl w:val="0"/>
          <w:numId w:val="9"/>
        </w:numPr>
        <w:spacing w:after="120"/>
        <w:rPr>
          <w:rFonts w:cs="Times New Roman"/>
          <w:lang w:val="es-ES"/>
        </w:rPr>
      </w:pPr>
      <w:r>
        <w:rPr>
          <w:rFonts w:eastAsia="Times New Roman" w:cs="Times New Roman"/>
          <w:lang w:val="pt-BR"/>
        </w:rPr>
        <w:t>no desenvolvimento de um plano de melhoria;</w:t>
      </w:r>
    </w:p>
    <w:p w14:paraId="5C243F29" w14:textId="77777777" w:rsidR="00595DB7" w:rsidRPr="00CC1CB4" w:rsidRDefault="00000000" w:rsidP="00595DB7">
      <w:pPr>
        <w:pStyle w:val="a6"/>
        <w:numPr>
          <w:ilvl w:val="0"/>
          <w:numId w:val="9"/>
        </w:numPr>
        <w:spacing w:after="120"/>
        <w:rPr>
          <w:rFonts w:cs="Times New Roman"/>
          <w:lang w:val="es-ES"/>
        </w:rPr>
      </w:pPr>
      <w:r>
        <w:rPr>
          <w:rFonts w:eastAsia="Times New Roman" w:cs="Times New Roman"/>
          <w:lang w:val="pt-BR"/>
        </w:rPr>
        <w:lastRenderedPageBreak/>
        <w:t>na implementação de práticas baseadas em evidências vinculadas às necessidades dos alunos/educadores;</w:t>
      </w:r>
    </w:p>
    <w:p w14:paraId="7597EF98" w14:textId="77777777" w:rsidR="00595DB7" w:rsidRPr="00CC1CB4" w:rsidRDefault="00000000" w:rsidP="00595DB7">
      <w:pPr>
        <w:pStyle w:val="a6"/>
        <w:numPr>
          <w:ilvl w:val="0"/>
          <w:numId w:val="9"/>
        </w:numPr>
        <w:spacing w:after="120"/>
        <w:rPr>
          <w:rFonts w:cs="Times New Roman"/>
          <w:lang w:val="es-ES"/>
        </w:rPr>
      </w:pPr>
      <w:r>
        <w:rPr>
          <w:rFonts w:eastAsia="Times New Roman" w:cs="Times New Roman"/>
          <w:lang w:val="pt-BR"/>
        </w:rPr>
        <w:t>na avaliação da eficácia das intervenções.</w:t>
      </w:r>
    </w:p>
    <w:p w14:paraId="60CF9A0B" w14:textId="77777777" w:rsidR="00595DB7" w:rsidRPr="00CC1CB4" w:rsidRDefault="00000000" w:rsidP="001875DD">
      <w:pPr>
        <w:rPr>
          <w:rFonts w:cs="Times New Roman"/>
          <w:lang w:val="es-ES"/>
        </w:rPr>
      </w:pPr>
      <w:r>
        <w:rPr>
          <w:rFonts w:eastAsia="Times New Roman" w:cs="Times New Roman"/>
          <w:lang w:val="pt-BR"/>
        </w:rPr>
        <w:t>A distribuição de fundos de melhoria escolar pode ser ponderada para fornecer maior apoio financeiro às LEAs de maior necessidade. Os dados de todas as LEAs com escolas identificadas para apoio abrangente ou direcionado serão revisados anualmente para determinar se as iniciativas atuais do NJDOE e as oportunidades de orientação atendem às necessidades das escolas identificadas e de seus alunos. Além disso, as LEAs são obrigadas a conduzir uma análise de equidade de recursos como parte da avaliação anual de necessidades e envio do plano para o NJDOE. O NJDOE reconhece que a equidade nos recursos é um componente do fornecimento de acesso equitativo a oportunidades de aprendizagem para os alunos. A alocação de recursos do NJDOE e as revisões de equidade da LEA constituem uma parte do planejamento e monitoramento de progresso mais abrangentes para apoio e melhoria em LEAs e escolas identificadas.</w:t>
      </w:r>
    </w:p>
    <w:p w14:paraId="175593B5" w14:textId="77777777" w:rsidR="001875DD" w:rsidRPr="00CC1CB4" w:rsidRDefault="00000000" w:rsidP="001875DD">
      <w:pPr>
        <w:rPr>
          <w:rStyle w:val="NJDOEResponse"/>
          <w:lang w:val="es-ES"/>
        </w:rPr>
      </w:pPr>
      <w:r>
        <w:rPr>
          <w:rStyle w:val="NJDOEResponse"/>
          <w:rFonts w:eastAsia="Times New Roman"/>
          <w:color w:val="365F91"/>
          <w:lang w:val="pt-BR"/>
        </w:rPr>
        <w:t>[finalizar resposta do NJDOE]</w:t>
      </w:r>
    </w:p>
    <w:p w14:paraId="491035F5" w14:textId="77777777" w:rsidR="001875DD" w:rsidRPr="00CC1CB4" w:rsidRDefault="00000000" w:rsidP="00367F6E">
      <w:pPr>
        <w:pStyle w:val="BeginUSED"/>
        <w:rPr>
          <w:rFonts w:cs="Times New Roman"/>
          <w:lang w:val="es-ES"/>
        </w:rPr>
      </w:pPr>
      <w:r>
        <w:rPr>
          <w:rFonts w:eastAsia="Times New Roman"/>
          <w:color w:val="FFFFFF"/>
          <w:szCs w:val="4"/>
          <w:lang w:val="pt-BR"/>
        </w:rPr>
        <w:t xml:space="preserve">[iniciar o texto do USED] </w:t>
      </w:r>
    </w:p>
    <w:p w14:paraId="0DF2E27B" w14:textId="77777777" w:rsidR="00596F06" w:rsidRPr="00CC1CB4" w:rsidRDefault="00000000" w:rsidP="006575DA">
      <w:pPr>
        <w:pStyle w:val="4"/>
        <w:spacing w:before="0" w:after="0"/>
        <w:ind w:left="288"/>
        <w:rPr>
          <w:lang w:val="es-ES"/>
        </w:rPr>
      </w:pPr>
      <w:bookmarkStart w:id="104" w:name="_Toc199403716"/>
      <w:r>
        <w:rPr>
          <w:rFonts w:ascii="Cambria" w:eastAsia="Cambria" w:hAnsi="Cambria" w:cs="Arial"/>
          <w:szCs w:val="24"/>
          <w:lang w:val="pt-BR"/>
        </w:rPr>
        <w:t>f. Ação opcional adicional</w:t>
      </w:r>
      <w:bookmarkEnd w:id="104"/>
    </w:p>
    <w:p w14:paraId="39E7406E" w14:textId="77777777" w:rsidR="001875DD" w:rsidRPr="00CC1CB4" w:rsidRDefault="00000000" w:rsidP="007610EC">
      <w:pPr>
        <w:pStyle w:val="blue"/>
        <w:spacing w:after="0"/>
        <w:ind w:left="288"/>
        <w:rPr>
          <w:lang w:val="es-ES"/>
        </w:rPr>
      </w:pPr>
      <w:r>
        <w:rPr>
          <w:rFonts w:ascii="Cambria" w:eastAsia="Cambria" w:hAnsi="Cambria"/>
          <w:lang w:val="pt-BR"/>
        </w:rPr>
        <w:t xml:space="preserve">Se aplicável, descreva a ação que o estado tomará para iniciar a melhoria adicional em qualquer LEA com um número significativo ou porcentagem de escolas que são consistentemente identificadas pelo estado para apoio e melhoria abrangentes e não estão atendendo aos critérios de saída estabelecidos pelo estado ou em qualquer LEA com um número significativo ou porcentagem de escolas que implementam planos de apoio e melhoria direcionados. </w:t>
      </w:r>
    </w:p>
    <w:p w14:paraId="779F9B31" w14:textId="77777777" w:rsidR="00367F6E" w:rsidRPr="00CC1CB4" w:rsidRDefault="00000000" w:rsidP="00367F6E">
      <w:pPr>
        <w:pStyle w:val="EndUSED"/>
        <w:rPr>
          <w:rStyle w:val="NJDOEResponse"/>
          <w:i/>
          <w:lang w:val="es-ES"/>
        </w:rPr>
      </w:pPr>
      <w:r>
        <w:rPr>
          <w:rFonts w:eastAsia="Times New Roman"/>
          <w:color w:val="FFFFFF"/>
          <w:szCs w:val="4"/>
          <w:lang w:val="pt-BR"/>
        </w:rPr>
        <w:t>[finalizar texto do USED]</w:t>
      </w:r>
    </w:p>
    <w:p w14:paraId="4111A1D5" w14:textId="77777777" w:rsidR="00CB646F" w:rsidRPr="00CC1CB4" w:rsidRDefault="00000000" w:rsidP="0033188C">
      <w:pPr>
        <w:pStyle w:val="ESSAQUESTIONS"/>
        <w:numPr>
          <w:ilvl w:val="0"/>
          <w:numId w:val="0"/>
        </w:numPr>
        <w:spacing w:before="240"/>
        <w:rPr>
          <w:rStyle w:val="NJDOEResponse"/>
          <w:i w:val="0"/>
          <w:lang w:val="es-ES"/>
        </w:rPr>
      </w:pPr>
      <w:r>
        <w:rPr>
          <w:rStyle w:val="NJDOEResponse"/>
          <w:rFonts w:eastAsia="Times New Roman"/>
          <w:i w:val="0"/>
          <w:color w:val="365F91"/>
          <w:lang w:val="pt-BR"/>
        </w:rPr>
        <w:t>[iniciar a resposta do NJDOE]</w:t>
      </w:r>
    </w:p>
    <w:p w14:paraId="5C7A4C1B" w14:textId="77777777" w:rsidR="008B41B5" w:rsidRPr="00CC1CB4" w:rsidRDefault="00000000" w:rsidP="001B2306">
      <w:pPr>
        <w:pStyle w:val="Style4"/>
        <w:numPr>
          <w:ilvl w:val="0"/>
          <w:numId w:val="0"/>
        </w:numPr>
        <w:tabs>
          <w:tab w:val="left" w:pos="2700"/>
        </w:tabs>
        <w:spacing w:after="200" w:line="276" w:lineRule="auto"/>
        <w:rPr>
          <w:lang w:val="es-ES"/>
        </w:rPr>
      </w:pPr>
      <w:r>
        <w:rPr>
          <w:rFonts w:eastAsia="Times New Roman"/>
          <w:lang w:val="pt-BR"/>
        </w:rPr>
        <w:t xml:space="preserve">O suporte de Nível 3, conforme descrito acima, será fornecido a qualquer LEA com um número significativo (três ou mais) de escolas que implementam planos de apoio e melhoria direcionados. O NJDOE analisará os planos de Título I da LEA, com foco na parte de práticas baseadas em evidências do plano. O NJDOE trabalhará com a LEA e as escolas para identificar por que as atividades planejadas não resultaram no crescimento e melhoria esperados da escola. O NJDOE fornecerá orientação técnica adicional para ajudar a LEA a melhorar a implementação ou identificar diferentes intervenções. Além disso, o NJDOE aumentará as alocações fiscais às LEAs com um número significativo ou porcentagem de escolas consistentemente identificadas para apoio e melhoria abrangentes se usarem consistentemente o financiamento de melhoria escolar. Consulte acima a descrição do NJDOE sobre o processo e protocolo de análise de alocação de recursos como uma alavanca adicional de suporte para LEAs com um número significativo ou porcentagem de escolas consistentemente identificadas para suporte e melhoria abrangentes ou direcionados. </w:t>
      </w:r>
    </w:p>
    <w:p w14:paraId="5AC69EF1" w14:textId="77777777" w:rsidR="00367F6E" w:rsidRPr="00CC1CB4" w:rsidRDefault="00000000" w:rsidP="008B6B99">
      <w:pPr>
        <w:pStyle w:val="ESSAQUESTIONS"/>
        <w:numPr>
          <w:ilvl w:val="0"/>
          <w:numId w:val="0"/>
        </w:numPr>
        <w:rPr>
          <w:rStyle w:val="NJDOEResponse"/>
          <w:i w:val="0"/>
          <w:lang w:val="es-ES"/>
        </w:rPr>
      </w:pPr>
      <w:r>
        <w:rPr>
          <w:rStyle w:val="NJDOEResponse"/>
          <w:rFonts w:eastAsia="Times New Roman"/>
          <w:i w:val="0"/>
          <w:color w:val="365F91"/>
          <w:lang w:val="pt-BR"/>
        </w:rPr>
        <w:t>[finalizar resposta do NJDOE]</w:t>
      </w:r>
    </w:p>
    <w:p w14:paraId="10CC7C6A" w14:textId="77777777" w:rsidR="003723AC" w:rsidRPr="00CC1CB4" w:rsidRDefault="00000000" w:rsidP="00CB0C0E">
      <w:pPr>
        <w:pStyle w:val="BeginUSED"/>
        <w:keepNext/>
        <w:rPr>
          <w:rFonts w:asciiTheme="majorHAnsi" w:hAnsiTheme="majorHAnsi"/>
          <w:color w:val="244061" w:themeColor="accent1" w:themeShade="80"/>
          <w:lang w:val="es-ES"/>
        </w:rPr>
      </w:pPr>
      <w:r>
        <w:rPr>
          <w:rFonts w:eastAsia="Times New Roman"/>
          <w:color w:val="FFFFFF"/>
          <w:szCs w:val="4"/>
          <w:lang w:val="pt-BR"/>
        </w:rPr>
        <w:lastRenderedPageBreak/>
        <w:t>[iniciar o texto do USED]</w:t>
      </w:r>
    </w:p>
    <w:p w14:paraId="0FCDA176" w14:textId="77777777" w:rsidR="00E93B72" w:rsidRPr="00CC1CB4" w:rsidRDefault="00000000" w:rsidP="00E41CB4">
      <w:pPr>
        <w:pStyle w:val="2"/>
        <w:rPr>
          <w:lang w:val="es-ES"/>
        </w:rPr>
      </w:pPr>
      <w:bookmarkStart w:id="105" w:name="_Toc211004646"/>
      <w:r>
        <w:rPr>
          <w:rFonts w:eastAsia="Cambria"/>
          <w:szCs w:val="32"/>
          <w:lang w:val="pt-BR"/>
        </w:rPr>
        <w:t>5. Taxas desproporcionais de acesso a educadores (seção 1111(g)(1)(B) da ESEA)</w:t>
      </w:r>
      <w:bookmarkEnd w:id="105"/>
    </w:p>
    <w:p w14:paraId="5EB7F31F" w14:textId="77777777" w:rsidR="00E93B72" w:rsidRPr="00CC1CB4" w:rsidRDefault="00000000" w:rsidP="00E41CB4">
      <w:pPr>
        <w:pStyle w:val="blue"/>
        <w:ind w:left="0"/>
        <w:rPr>
          <w:lang w:val="es-ES"/>
        </w:rPr>
      </w:pPr>
      <w:r>
        <w:rPr>
          <w:rFonts w:ascii="Cambria" w:eastAsia="Cambria" w:hAnsi="Cambria"/>
          <w:lang w:val="pt-BR"/>
        </w:rPr>
        <w:t>Descrever como crianças de baixa renda e minorias matriculadas em escolas assistidas sob o Título I, Parte A, não são servidas a taxas desproporcionais por professores ineficazes, fora de campo ou inexperientes, e as medidas que o SEA usará para avaliar e relatar publicamente o progresso do SEA com relação a tal descrição. (Consistente com a seção 1111(g)(1)(B) da ESEA, esta descrição não deve ser interpretada como exigência de um estado para desenvolver ou implementar um sistema de avaliação de professor, diretor ou outro líder escolar.)</w:t>
      </w:r>
    </w:p>
    <w:p w14:paraId="51F6E27F" w14:textId="77777777" w:rsidR="00E93B72" w:rsidRPr="00CC1CB4" w:rsidRDefault="00000000" w:rsidP="003723AC">
      <w:pPr>
        <w:pStyle w:val="EndUSED"/>
        <w:rPr>
          <w:rFonts w:eastAsia="Times New Roman"/>
          <w:color w:val="365F91" w:themeColor="accent1" w:themeShade="BF"/>
          <w:lang w:val="es-ES"/>
        </w:rPr>
      </w:pPr>
      <w:r>
        <w:rPr>
          <w:rFonts w:eastAsia="Times New Roman"/>
          <w:color w:val="365F91"/>
          <w:szCs w:val="4"/>
          <w:lang w:val="pt-BR"/>
        </w:rPr>
        <w:t xml:space="preserve"> </w:t>
      </w:r>
      <w:r>
        <w:rPr>
          <w:rFonts w:eastAsia="Times New Roman"/>
          <w:color w:val="FFFFFF"/>
          <w:szCs w:val="4"/>
          <w:lang w:val="pt-BR"/>
        </w:rPr>
        <w:t>[finalizar texto do USED]</w:t>
      </w:r>
    </w:p>
    <w:p w14:paraId="075C141B" w14:textId="77777777" w:rsidR="00E93B72" w:rsidRPr="00CC1CB4" w:rsidRDefault="00000000" w:rsidP="00856537">
      <w:pPr>
        <w:spacing w:before="100" w:beforeAutospacing="1"/>
        <w:rPr>
          <w:rFonts w:eastAsia="Times New Roman" w:cs="Times New Roman"/>
          <w:color w:val="215868" w:themeColor="accent5" w:themeShade="80"/>
          <w:lang w:val="es-ES"/>
        </w:rPr>
      </w:pPr>
      <w:r>
        <w:rPr>
          <w:rFonts w:eastAsia="Times New Roman" w:cs="Times New Roman"/>
          <w:color w:val="215868"/>
          <w:lang w:val="pt-BR"/>
        </w:rPr>
        <w:t>[iniciar a resposta do NJDOE]</w:t>
      </w:r>
    </w:p>
    <w:p w14:paraId="727C0DD9" w14:textId="77777777" w:rsidR="00B551DC" w:rsidRPr="00CC1CB4" w:rsidRDefault="00000000" w:rsidP="00856537">
      <w:pPr>
        <w:pStyle w:val="A30"/>
        <w:rPr>
          <w:lang w:val="es-ES"/>
        </w:rPr>
      </w:pPr>
      <w:bookmarkStart w:id="106" w:name="_Toc199403718"/>
      <w:r>
        <w:t>Introdução e atualizações de 2024</w:t>
      </w:r>
      <w:bookmarkEnd w:id="106"/>
      <w:r>
        <w:t xml:space="preserve"> </w:t>
      </w:r>
    </w:p>
    <w:p w14:paraId="1C2C26F5" w14:textId="77777777" w:rsidR="00B551DC" w:rsidRPr="00CC1CB4" w:rsidRDefault="00000000" w:rsidP="6B71CBC4">
      <w:pPr>
        <w:shd w:val="clear" w:color="auto" w:fill="FFFFFF" w:themeFill="background1"/>
        <w:textAlignment w:val="baseline"/>
        <w:rPr>
          <w:rFonts w:ascii="Segoe UI" w:eastAsia="Times New Roman" w:hAnsi="Segoe UI" w:cs="Segoe UI"/>
          <w:sz w:val="18"/>
          <w:szCs w:val="18"/>
          <w:lang w:val="es-ES"/>
        </w:rPr>
      </w:pPr>
      <w:r>
        <w:rPr>
          <w:rFonts w:eastAsia="Times New Roman" w:cs="Times New Roman"/>
          <w:color w:val="000000"/>
          <w:lang w:val="pt-BR"/>
        </w:rPr>
        <w:t xml:space="preserve">A resposta a esta pergunta inclui atualizações desde o Plano estadual da ESSA de 2017. O NJDOE continuará a relatar dados de equidade de educadores em nível estadual por meio de seus relatórios anuais de desempenho escolar. Esses relatórios são usados para avaliar e relatar publicamente o progresso de garantir que alunos minoritários ou economicamente desfavorecidos matriculados em escolas assistidas sob o Título I, Parte A, não sejam atendidos a taxas desproporcionais por professores ineficazes, fora de campo ou inexperientes. Conforme declarado em seu Plano de ação corretiva de Revisão de desempenho escolar do ano fiscal de 2019, o NJDOE compartilhará e revisará anualmente os relatórios de desempenho escolar e os relatórios de nível da LEA com as LEAs para oferecer assistência técnica e suporte, conforme necessário. Para melhorar a qualidade das informações usadas para avaliar as necessidades da LEA nesta área, o NJDOE está alterando a definição de “professor inexperiente” do Plano estadual da ESSA de 2017. </w:t>
      </w:r>
    </w:p>
    <w:p w14:paraId="64DF58D9" w14:textId="77777777" w:rsidR="00D11250" w:rsidRPr="00CC1CB4" w:rsidRDefault="00000000" w:rsidP="00C47F4D">
      <w:pPr>
        <w:rPr>
          <w:lang w:val="es-ES"/>
        </w:rPr>
      </w:pPr>
      <w:r>
        <w:rPr>
          <w:rFonts w:eastAsia="Times New Roman" w:cs="Times New Roman"/>
          <w:color w:val="000000"/>
          <w:lang w:val="pt-BR"/>
        </w:rPr>
        <w:t xml:space="preserve">As informações abaixo incluem as taxas nas quais os alunos são ensinados por professores fora de campo, ineficazes e inexperientes e mostram possíveis lacunas de equidade de educadores para alunos de baixa renda e minorias em Nova Jersey. Essas taxas foram atualizadas desde 2017. Observe que os termos “crianças minoritárias” e “baixa renda”, embora não estejam alinhados aos esforços de Nova Jersey para usar linguagem baseada em ativos, são usados no Plano estadual da ESSA e para os requisitos anuais de relatório de desempenho escolar. O termo é usado aqui para se alinhar com a linguagem da lei federal. </w:t>
      </w:r>
    </w:p>
    <w:p w14:paraId="6760607C" w14:textId="77777777" w:rsidR="009C3B0D" w:rsidRPr="00CC1CB4" w:rsidRDefault="00000000" w:rsidP="00FE518F">
      <w:pPr>
        <w:pStyle w:val="4"/>
        <w:rPr>
          <w:lang w:val="es-ES"/>
        </w:rPr>
      </w:pPr>
      <w:bookmarkStart w:id="107" w:name="_Toc199403719"/>
      <w:r>
        <w:rPr>
          <w:rFonts w:ascii="Cambria" w:eastAsia="Cambria" w:hAnsi="Cambria" w:cs="Arial"/>
          <w:szCs w:val="24"/>
          <w:lang w:val="pt-BR"/>
        </w:rPr>
        <w:t>Porcentagens nas quais os alunos são ensinados por professores fora de campo</w:t>
      </w:r>
      <w:bookmarkEnd w:id="107"/>
    </w:p>
    <w:p w14:paraId="77626536" w14:textId="77777777" w:rsidR="000814C0" w:rsidRPr="00CC1CB4" w:rsidRDefault="00000000" w:rsidP="008B6B99">
      <w:pPr>
        <w:textAlignment w:val="baseline"/>
        <w:rPr>
          <w:rFonts w:eastAsia="Times New Roman" w:cs="Times New Roman"/>
          <w:lang w:val="es-ES"/>
        </w:rPr>
      </w:pPr>
      <w:r>
        <w:rPr>
          <w:rFonts w:eastAsia="Times New Roman" w:cs="Times New Roman"/>
          <w:lang w:val="pt-BR"/>
        </w:rPr>
        <w:t xml:space="preserve">Todos os alunos merecem professores que estejam preparados para ensinar um assunto no ano apropriada. Nova Jersey tem um rigoroso sistema de licenciamento para garantir que os professores estejam preparados para impactar positivamente os resultados dos alunos no primeiro ano na sala de aula. De acordo com a Statewide Educator Equity Data de 2022-2023, o NJDOE identificou 2.811 casos em que um professor de Nova Jersey estava trabalhando fora de campo (isso representa aproximadamente 2,4% da população do ensino), embora os regulamentos de certificação estaduais proíbam os educadores de trabalhar fora do assunto para o qual estão licenciados. Dados em nível estudantil revelaram que as </w:t>
      </w:r>
      <w:r>
        <w:rPr>
          <w:rFonts w:eastAsia="Times New Roman" w:cs="Times New Roman"/>
          <w:lang w:val="pt-BR"/>
        </w:rPr>
        <w:lastRenderedPageBreak/>
        <w:t xml:space="preserve">lacunas de equidade persistem entre grupos de estudantes raciais e étnicos e entre estudantes economicamente desfavorecidos e não economicamente desfavorecidos. </w:t>
      </w:r>
    </w:p>
    <w:p w14:paraId="14D1C59A" w14:textId="77777777" w:rsidR="000814C0" w:rsidRPr="00CC1CB4" w:rsidRDefault="00000000" w:rsidP="00623B22">
      <w:pPr>
        <w:spacing w:after="0"/>
        <w:textAlignment w:val="baseline"/>
        <w:rPr>
          <w:rFonts w:eastAsia="Times New Roman" w:cs="Times New Roman"/>
          <w:lang w:val="es-ES"/>
        </w:rPr>
      </w:pPr>
      <w:r>
        <w:rPr>
          <w:rFonts w:eastAsia="Times New Roman" w:cs="Times New Roman"/>
          <w:lang w:val="pt-BR"/>
        </w:rPr>
        <w:t xml:space="preserve">O gráfico abaixo mostra a comparação de fora de campo em todo o estado, na qual 19,52% dos alunos de famílias economicamente desfavorecidas em escolas de Título I são ensinados por um ou mais professores que estão fora de campo, em comparação com 15,46% de todos os alunos em todo o estado e em comparação com 9,96% dos alunos de não baixa renda em escolas que não são de título I. Além disso, 18,62% dos alunos minoritários foram ensinados por um ou mais professores que estão fora de campo. </w:t>
      </w:r>
    </w:p>
    <w:tbl>
      <w:tblPr>
        <w:tblW w:w="98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20" w:firstRow="1" w:lastRow="0" w:firstColumn="0" w:lastColumn="0" w:noHBand="0" w:noVBand="1"/>
      </w:tblPr>
      <w:tblGrid>
        <w:gridCol w:w="1782"/>
        <w:gridCol w:w="1610"/>
        <w:gridCol w:w="1611"/>
        <w:gridCol w:w="1611"/>
        <w:gridCol w:w="1611"/>
        <w:gridCol w:w="1611"/>
      </w:tblGrid>
      <w:tr w:rsidR="00C566B2" w:rsidRPr="00C04CDD" w14:paraId="2D0F2309" w14:textId="77777777" w:rsidTr="00623B22">
        <w:trPr>
          <w:trHeight w:val="1500"/>
          <w:tblHeader/>
        </w:trPr>
        <w:tc>
          <w:tcPr>
            <w:tcW w:w="1782" w:type="dxa"/>
            <w:tcBorders>
              <w:right w:val="single" w:sz="4" w:space="0" w:color="FFFFFF" w:themeColor="background1"/>
            </w:tcBorders>
            <w:shd w:val="clear" w:color="auto" w:fill="1F4E79"/>
            <w:hideMark/>
          </w:tcPr>
          <w:p w14:paraId="4E965785" w14:textId="77777777" w:rsidR="004A4C6E" w:rsidRPr="00623B22" w:rsidRDefault="00000000" w:rsidP="00623B22">
            <w:pPr>
              <w:spacing w:after="0"/>
              <w:textAlignment w:val="baseline"/>
              <w:rPr>
                <w:rFonts w:eastAsia="Times New Roman" w:cs="Times New Roman"/>
                <w:b/>
                <w:color w:val="FFFFFF" w:themeColor="background1"/>
              </w:rPr>
            </w:pPr>
            <w:r>
              <w:rPr>
                <w:rFonts w:eastAsia="Times New Roman" w:cs="Times New Roman"/>
                <w:b/>
                <w:bCs/>
                <w:color w:val="FFFFFF"/>
                <w:lang w:val="pt-BR"/>
              </w:rPr>
              <w:t>Categoria</w:t>
            </w:r>
          </w:p>
        </w:tc>
        <w:tc>
          <w:tcPr>
            <w:tcW w:w="1610" w:type="dxa"/>
            <w:tcBorders>
              <w:left w:val="single" w:sz="4" w:space="0" w:color="FFFFFF" w:themeColor="background1"/>
              <w:right w:val="single" w:sz="4" w:space="0" w:color="FFFFFF" w:themeColor="background1"/>
            </w:tcBorders>
            <w:shd w:val="clear" w:color="auto" w:fill="1F4E79"/>
            <w:hideMark/>
          </w:tcPr>
          <w:p w14:paraId="78A87A74" w14:textId="77777777" w:rsidR="004A4C6E" w:rsidRPr="00CC1CB4" w:rsidRDefault="00000000" w:rsidP="00623B22">
            <w:pPr>
              <w:spacing w:after="0"/>
              <w:textAlignment w:val="baseline"/>
              <w:rPr>
                <w:rFonts w:eastAsia="Times New Roman" w:cs="Times New Roman"/>
                <w:b/>
                <w:color w:val="FFFFFF" w:themeColor="background1"/>
                <w:lang w:val="es-ES"/>
              </w:rPr>
            </w:pPr>
            <w:r>
              <w:rPr>
                <w:rFonts w:eastAsia="Times New Roman" w:cs="Times New Roman"/>
                <w:b/>
                <w:bCs/>
                <w:color w:val="FFFFFF"/>
                <w:lang w:val="pt-BR"/>
              </w:rPr>
              <w:t>Porcentagem de alunos em geral</w:t>
            </w:r>
          </w:p>
        </w:tc>
        <w:tc>
          <w:tcPr>
            <w:tcW w:w="1611" w:type="dxa"/>
            <w:tcBorders>
              <w:left w:val="single" w:sz="4" w:space="0" w:color="FFFFFF" w:themeColor="background1"/>
              <w:right w:val="single" w:sz="4" w:space="0" w:color="FFFFFF" w:themeColor="background1"/>
            </w:tcBorders>
            <w:shd w:val="clear" w:color="auto" w:fill="1F4E79"/>
            <w:hideMark/>
          </w:tcPr>
          <w:p w14:paraId="726EBEFB" w14:textId="77777777" w:rsidR="004A4C6E" w:rsidRPr="00CC1CB4" w:rsidRDefault="00000000" w:rsidP="00623B22">
            <w:pPr>
              <w:spacing w:after="0"/>
              <w:textAlignment w:val="baseline"/>
              <w:rPr>
                <w:rFonts w:eastAsia="Times New Roman" w:cs="Times New Roman"/>
                <w:b/>
                <w:color w:val="FFFFFF" w:themeColor="background1"/>
                <w:lang w:val="es-ES"/>
              </w:rPr>
            </w:pPr>
            <w:r>
              <w:rPr>
                <w:rFonts w:eastAsia="Times New Roman" w:cs="Times New Roman"/>
                <w:b/>
                <w:bCs/>
                <w:color w:val="FFFFFF"/>
                <w:lang w:val="pt-BR"/>
              </w:rPr>
              <w:t>Porcentagem de alunos de baixa renda em escolas de Título I</w:t>
            </w:r>
          </w:p>
        </w:tc>
        <w:tc>
          <w:tcPr>
            <w:tcW w:w="1611" w:type="dxa"/>
            <w:tcBorders>
              <w:left w:val="single" w:sz="4" w:space="0" w:color="FFFFFF" w:themeColor="background1"/>
              <w:right w:val="single" w:sz="4" w:space="0" w:color="FFFFFF" w:themeColor="background1"/>
            </w:tcBorders>
            <w:shd w:val="clear" w:color="auto" w:fill="1F4E79"/>
            <w:hideMark/>
          </w:tcPr>
          <w:p w14:paraId="1DA1935B" w14:textId="77777777" w:rsidR="004A4C6E" w:rsidRPr="00CC1CB4" w:rsidRDefault="00000000" w:rsidP="00623B22">
            <w:pPr>
              <w:spacing w:after="0"/>
              <w:textAlignment w:val="baseline"/>
              <w:rPr>
                <w:rFonts w:eastAsia="Times New Roman" w:cs="Times New Roman"/>
                <w:b/>
                <w:color w:val="FFFFFF" w:themeColor="background1"/>
                <w:lang w:val="es-ES"/>
              </w:rPr>
            </w:pPr>
            <w:r>
              <w:rPr>
                <w:rFonts w:eastAsia="Times New Roman" w:cs="Times New Roman"/>
                <w:b/>
                <w:bCs/>
                <w:color w:val="FFFFFF"/>
                <w:lang w:val="pt-BR"/>
              </w:rPr>
              <w:t>Porcentagem de alunos que não são de baixa renda em escolas que não são de Título I</w:t>
            </w:r>
          </w:p>
        </w:tc>
        <w:tc>
          <w:tcPr>
            <w:tcW w:w="1611" w:type="dxa"/>
            <w:tcBorders>
              <w:left w:val="single" w:sz="4" w:space="0" w:color="FFFFFF" w:themeColor="background1"/>
              <w:right w:val="single" w:sz="4" w:space="0" w:color="FFFFFF" w:themeColor="background1"/>
            </w:tcBorders>
            <w:shd w:val="clear" w:color="auto" w:fill="1F4E79"/>
          </w:tcPr>
          <w:p w14:paraId="5A9EBA63" w14:textId="77777777" w:rsidR="004A4C6E" w:rsidRPr="00CC1CB4" w:rsidRDefault="00000000" w:rsidP="00623B22">
            <w:pPr>
              <w:spacing w:after="0"/>
              <w:textAlignment w:val="baseline"/>
              <w:rPr>
                <w:rFonts w:eastAsia="Times New Roman" w:cs="Times New Roman"/>
                <w:b/>
                <w:color w:val="FFFFFF" w:themeColor="background1"/>
                <w:lang w:val="es-ES"/>
              </w:rPr>
            </w:pPr>
            <w:r>
              <w:rPr>
                <w:rFonts w:eastAsia="Times New Roman" w:cs="Times New Roman"/>
                <w:b/>
                <w:bCs/>
                <w:color w:val="FFFFFF"/>
                <w:lang w:val="pt-BR"/>
              </w:rPr>
              <w:t>Porcentagem de alunos minoritários em escolas de Título I</w:t>
            </w:r>
          </w:p>
        </w:tc>
        <w:tc>
          <w:tcPr>
            <w:tcW w:w="1611" w:type="dxa"/>
            <w:tcBorders>
              <w:left w:val="single" w:sz="4" w:space="0" w:color="FFFFFF" w:themeColor="background1"/>
            </w:tcBorders>
            <w:shd w:val="clear" w:color="auto" w:fill="1F4E79"/>
          </w:tcPr>
          <w:p w14:paraId="166147E0" w14:textId="77777777" w:rsidR="004A4C6E" w:rsidRPr="00CC1CB4" w:rsidRDefault="00000000" w:rsidP="00623B22">
            <w:pPr>
              <w:spacing w:after="0"/>
              <w:textAlignment w:val="baseline"/>
              <w:rPr>
                <w:rFonts w:eastAsia="Times New Roman" w:cs="Times New Roman"/>
                <w:b/>
                <w:color w:val="FFFFFF" w:themeColor="background1"/>
                <w:lang w:val="es-ES"/>
              </w:rPr>
            </w:pPr>
            <w:r>
              <w:rPr>
                <w:rFonts w:eastAsia="Times New Roman" w:cs="Times New Roman"/>
                <w:b/>
                <w:bCs/>
                <w:color w:val="FFFFFF"/>
                <w:lang w:val="pt-BR"/>
              </w:rPr>
              <w:t>Porcentagem de alunos não minoritários em escolas que não são de Título I</w:t>
            </w:r>
          </w:p>
        </w:tc>
      </w:tr>
      <w:tr w:rsidR="00C566B2" w14:paraId="18C36C59" w14:textId="77777777" w:rsidTr="00623B22">
        <w:trPr>
          <w:trHeight w:val="1158"/>
          <w:tblHeader/>
        </w:trPr>
        <w:tc>
          <w:tcPr>
            <w:tcW w:w="1782" w:type="dxa"/>
            <w:shd w:val="clear" w:color="auto" w:fill="FFFFFF"/>
            <w:hideMark/>
          </w:tcPr>
          <w:p w14:paraId="38BFCEC3" w14:textId="77777777" w:rsidR="00672A92" w:rsidRPr="00CC1CB4" w:rsidRDefault="00000000" w:rsidP="00623B22">
            <w:pPr>
              <w:spacing w:after="0"/>
              <w:textAlignment w:val="baseline"/>
              <w:rPr>
                <w:rFonts w:eastAsia="Times New Roman" w:cs="Times New Roman"/>
                <w:lang w:val="es-ES"/>
              </w:rPr>
            </w:pPr>
            <w:r>
              <w:rPr>
                <w:rFonts w:eastAsia="Times New Roman" w:cs="Times New Roman"/>
                <w:lang w:val="pt-BR"/>
              </w:rPr>
              <w:t>Alunos ensinados por um ou mais professores que estão fora de campo</w:t>
            </w:r>
          </w:p>
        </w:tc>
        <w:tc>
          <w:tcPr>
            <w:tcW w:w="1610" w:type="dxa"/>
            <w:shd w:val="clear" w:color="auto" w:fill="FFFFFF"/>
            <w:hideMark/>
          </w:tcPr>
          <w:p w14:paraId="316BD50D" w14:textId="77777777" w:rsidR="00672A92" w:rsidRPr="00623B22" w:rsidRDefault="00000000" w:rsidP="00623B22">
            <w:pPr>
              <w:spacing w:after="0"/>
              <w:jc w:val="center"/>
              <w:textAlignment w:val="baseline"/>
              <w:rPr>
                <w:rFonts w:eastAsia="Times New Roman" w:cs="Times New Roman"/>
              </w:rPr>
            </w:pPr>
            <w:r>
              <w:rPr>
                <w:rFonts w:eastAsia="Times New Roman" w:cs="Times New Roman"/>
                <w:lang w:val="pt-BR"/>
              </w:rPr>
              <w:t>15,46%</w:t>
            </w:r>
          </w:p>
        </w:tc>
        <w:tc>
          <w:tcPr>
            <w:tcW w:w="1611" w:type="dxa"/>
            <w:shd w:val="clear" w:color="auto" w:fill="FFFFFF"/>
            <w:hideMark/>
          </w:tcPr>
          <w:p w14:paraId="10D90EC5" w14:textId="77777777" w:rsidR="00672A92" w:rsidRPr="00623B22" w:rsidRDefault="00000000" w:rsidP="00623B22">
            <w:pPr>
              <w:spacing w:after="0"/>
              <w:jc w:val="center"/>
              <w:textAlignment w:val="baseline"/>
              <w:rPr>
                <w:rFonts w:eastAsia="Times New Roman" w:cs="Times New Roman"/>
              </w:rPr>
            </w:pPr>
            <w:r>
              <w:rPr>
                <w:rFonts w:eastAsia="Times New Roman" w:cs="Times New Roman"/>
                <w:lang w:val="pt-BR"/>
              </w:rPr>
              <w:t>19,52%</w:t>
            </w:r>
          </w:p>
        </w:tc>
        <w:tc>
          <w:tcPr>
            <w:tcW w:w="1611" w:type="dxa"/>
            <w:shd w:val="clear" w:color="auto" w:fill="FFFFFF"/>
            <w:hideMark/>
          </w:tcPr>
          <w:p w14:paraId="72185422" w14:textId="77777777" w:rsidR="00672A92" w:rsidRPr="00623B22" w:rsidRDefault="00000000" w:rsidP="00623B22">
            <w:pPr>
              <w:spacing w:after="0"/>
              <w:jc w:val="center"/>
              <w:textAlignment w:val="baseline"/>
              <w:rPr>
                <w:rFonts w:eastAsia="Times New Roman" w:cs="Times New Roman"/>
              </w:rPr>
            </w:pPr>
            <w:r>
              <w:rPr>
                <w:rFonts w:eastAsia="Times New Roman" w:cs="Times New Roman"/>
                <w:lang w:val="pt-BR"/>
              </w:rPr>
              <w:t>9,96%</w:t>
            </w:r>
          </w:p>
        </w:tc>
        <w:tc>
          <w:tcPr>
            <w:tcW w:w="1611" w:type="dxa"/>
            <w:shd w:val="clear" w:color="auto" w:fill="FFFFFF"/>
          </w:tcPr>
          <w:p w14:paraId="2A60A1E0" w14:textId="77777777" w:rsidR="004A4C6E" w:rsidRPr="00623B22" w:rsidRDefault="00000000" w:rsidP="00623B22">
            <w:pPr>
              <w:spacing w:after="0"/>
              <w:jc w:val="center"/>
              <w:textAlignment w:val="baseline"/>
              <w:rPr>
                <w:rFonts w:eastAsia="Times New Roman" w:cs="Times New Roman"/>
              </w:rPr>
            </w:pPr>
            <w:r>
              <w:rPr>
                <w:rFonts w:eastAsia="Times New Roman" w:cs="Times New Roman"/>
                <w:lang w:val="pt-BR"/>
              </w:rPr>
              <w:t>18,62%</w:t>
            </w:r>
          </w:p>
        </w:tc>
        <w:tc>
          <w:tcPr>
            <w:tcW w:w="1611" w:type="dxa"/>
            <w:shd w:val="clear" w:color="auto" w:fill="FFFFFF"/>
          </w:tcPr>
          <w:p w14:paraId="582EDC39" w14:textId="77777777" w:rsidR="004A4C6E" w:rsidRPr="00623B22" w:rsidRDefault="00000000" w:rsidP="00623B22">
            <w:pPr>
              <w:spacing w:after="0"/>
              <w:jc w:val="center"/>
              <w:textAlignment w:val="baseline"/>
              <w:rPr>
                <w:rFonts w:eastAsia="Times New Roman" w:cs="Times New Roman"/>
              </w:rPr>
            </w:pPr>
            <w:r>
              <w:rPr>
                <w:rFonts w:eastAsia="Times New Roman" w:cs="Times New Roman"/>
                <w:lang w:val="pt-BR"/>
              </w:rPr>
              <w:t>10,43%</w:t>
            </w:r>
          </w:p>
        </w:tc>
      </w:tr>
    </w:tbl>
    <w:p w14:paraId="1C204C8E" w14:textId="77777777" w:rsidR="00AB5820" w:rsidRPr="00CC1CB4" w:rsidRDefault="00000000" w:rsidP="00FE518F">
      <w:pPr>
        <w:spacing w:before="240"/>
        <w:textAlignment w:val="baseline"/>
        <w:rPr>
          <w:rFonts w:eastAsia="Times New Roman" w:cs="Times New Roman"/>
          <w:b/>
          <w:bCs/>
          <w:color w:val="074F6A"/>
          <w:lang w:val="es-ES"/>
        </w:rPr>
      </w:pPr>
      <w:r>
        <w:rPr>
          <w:rFonts w:eastAsia="Times New Roman" w:cs="Times New Roman"/>
          <w:b/>
          <w:bCs/>
          <w:color w:val="074F6A"/>
          <w:lang w:val="pt-BR"/>
        </w:rPr>
        <w:t xml:space="preserve">Porcentagens nas quais os alunos são ensinados por professores ineficazes </w:t>
      </w:r>
    </w:p>
    <w:p w14:paraId="1E259C3C" w14:textId="77777777" w:rsidR="007A43AE" w:rsidRPr="00CC1CB4" w:rsidRDefault="00000000" w:rsidP="007A43AE">
      <w:pPr>
        <w:textAlignment w:val="baseline"/>
        <w:rPr>
          <w:rFonts w:eastAsia="Times New Roman" w:cs="Times New Roman"/>
          <w:lang w:val="es-ES"/>
        </w:rPr>
      </w:pPr>
      <w:r>
        <w:rPr>
          <w:rFonts w:eastAsia="Times New Roman" w:cs="Times New Roman"/>
          <w:lang w:val="pt-BR"/>
        </w:rPr>
        <w:t xml:space="preserve">O gráfico abaixo mostra a comparação ineficiente em todo o estado, na qual 0,39% dos alunos de famílias economicamente desfavorecidas nas escolas de Título I são ensinados por um ou mais professores que são ineficazes, em comparação com 0,16% de todos os alunos em todo o estado e em comparação com menos de 0,01% dos alunos que não são de baixa renda em escolas que não são de Título I. Além disso, 0,35% dos alunos minoritários foram ensinados por um ou mais professores que são ineficazes. O gráfico abaixo inclui os dados de participação acionária do educador de 2019-2020. </w:t>
      </w: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20" w:firstRow="1" w:lastRow="0" w:firstColumn="0" w:lastColumn="0" w:noHBand="0" w:noVBand="1"/>
      </w:tblPr>
      <w:tblGrid>
        <w:gridCol w:w="1563"/>
        <w:gridCol w:w="1559"/>
        <w:gridCol w:w="1559"/>
        <w:gridCol w:w="1560"/>
        <w:gridCol w:w="1559"/>
        <w:gridCol w:w="1560"/>
      </w:tblGrid>
      <w:tr w:rsidR="00C566B2" w:rsidRPr="00C04CDD" w14:paraId="316FD782" w14:textId="77777777" w:rsidTr="005E4CEB">
        <w:trPr>
          <w:trHeight w:val="741"/>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23E76990" w14:textId="77777777" w:rsidR="00FB70F4" w:rsidRPr="00623B22" w:rsidRDefault="00000000" w:rsidP="00623B22">
            <w:pPr>
              <w:spacing w:after="0"/>
              <w:textAlignment w:val="baseline"/>
              <w:rPr>
                <w:rFonts w:eastAsia="Times New Roman" w:cs="Times New Roman"/>
                <w:b/>
                <w:color w:val="FFFFFF" w:themeColor="background1"/>
              </w:rPr>
            </w:pPr>
            <w:r>
              <w:rPr>
                <w:rFonts w:eastAsia="Times New Roman" w:cs="Times New Roman"/>
                <w:b/>
                <w:bCs/>
                <w:color w:val="FFFFFF"/>
                <w:lang w:val="pt-BR"/>
              </w:rPr>
              <w:t>Categoria</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7FC982E3" w14:textId="77777777" w:rsidR="00FB70F4" w:rsidRPr="00CC1CB4" w:rsidRDefault="00000000" w:rsidP="00623B22">
            <w:pPr>
              <w:spacing w:after="0"/>
              <w:textAlignment w:val="baseline"/>
              <w:rPr>
                <w:rFonts w:eastAsia="Times New Roman" w:cs="Times New Roman"/>
                <w:b/>
                <w:color w:val="FFFFFF" w:themeColor="background1"/>
                <w:lang w:val="es-ES"/>
              </w:rPr>
            </w:pPr>
            <w:r>
              <w:rPr>
                <w:rFonts w:eastAsia="Times New Roman" w:cs="Times New Roman"/>
                <w:b/>
                <w:bCs/>
                <w:color w:val="FFFFFF"/>
                <w:lang w:val="pt-BR"/>
              </w:rPr>
              <w:t>Porcentagem de alunos em geral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70AF4CE7" w14:textId="77777777" w:rsidR="00FB70F4" w:rsidRPr="00CC1CB4" w:rsidRDefault="00000000" w:rsidP="00623B22">
            <w:pPr>
              <w:spacing w:after="0"/>
              <w:textAlignment w:val="baseline"/>
              <w:rPr>
                <w:rFonts w:eastAsia="Times New Roman" w:cs="Times New Roman"/>
                <w:b/>
                <w:color w:val="FFFFFF" w:themeColor="background1"/>
                <w:lang w:val="es-ES"/>
              </w:rPr>
            </w:pPr>
            <w:r>
              <w:rPr>
                <w:rFonts w:eastAsia="Times New Roman" w:cs="Times New Roman"/>
                <w:b/>
                <w:bCs/>
                <w:color w:val="FFFFFF"/>
                <w:lang w:val="pt-BR"/>
              </w:rPr>
              <w:t>Porcentagem de alunos de baixa renda em escolas de Título I</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10261F4D" w14:textId="77777777" w:rsidR="00FB70F4" w:rsidRPr="00CC1CB4" w:rsidRDefault="00000000" w:rsidP="00623B22">
            <w:pPr>
              <w:spacing w:after="0"/>
              <w:textAlignment w:val="baseline"/>
              <w:rPr>
                <w:rFonts w:eastAsia="Times New Roman" w:cs="Times New Roman"/>
                <w:b/>
                <w:color w:val="FFFFFF" w:themeColor="background1"/>
                <w:lang w:val="es-ES"/>
              </w:rPr>
            </w:pPr>
            <w:r>
              <w:rPr>
                <w:rFonts w:eastAsia="Times New Roman" w:cs="Times New Roman"/>
                <w:b/>
                <w:bCs/>
                <w:color w:val="FFFFFF"/>
                <w:lang w:val="pt-BR"/>
              </w:rPr>
              <w:t>Porcentagem de alunos que não são de baixa renda em escolas que não são de Título I</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218B774F" w14:textId="77777777" w:rsidR="00FB70F4" w:rsidRPr="00CC1CB4" w:rsidRDefault="00000000" w:rsidP="00623B22">
            <w:pPr>
              <w:spacing w:after="0"/>
              <w:textAlignment w:val="baseline"/>
              <w:rPr>
                <w:rFonts w:eastAsia="Times New Roman" w:cs="Times New Roman"/>
                <w:b/>
                <w:color w:val="FFFFFF" w:themeColor="background1"/>
                <w:lang w:val="es-ES"/>
              </w:rPr>
            </w:pPr>
            <w:r>
              <w:rPr>
                <w:rFonts w:eastAsia="Times New Roman" w:cs="Times New Roman"/>
                <w:b/>
                <w:bCs/>
                <w:color w:val="FFFFFF"/>
                <w:lang w:val="pt-BR"/>
              </w:rPr>
              <w:t>Porcentagem de alunos minoritários em escolas de Título I</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7E6CDD39" w14:textId="77777777" w:rsidR="00FB70F4" w:rsidRPr="00CC1CB4" w:rsidRDefault="00000000" w:rsidP="00623B22">
            <w:pPr>
              <w:spacing w:after="0"/>
              <w:textAlignment w:val="baseline"/>
              <w:rPr>
                <w:rFonts w:eastAsia="Times New Roman" w:cs="Times New Roman"/>
                <w:b/>
                <w:color w:val="FFFFFF" w:themeColor="background1"/>
                <w:lang w:val="es-ES"/>
              </w:rPr>
            </w:pPr>
            <w:r>
              <w:rPr>
                <w:rFonts w:eastAsia="Times New Roman" w:cs="Times New Roman"/>
                <w:b/>
                <w:bCs/>
                <w:color w:val="FFFFFF"/>
                <w:lang w:val="pt-BR"/>
              </w:rPr>
              <w:t>Porcentagem de alunos não minoritários em escolas que não são de Título I</w:t>
            </w:r>
          </w:p>
        </w:tc>
      </w:tr>
      <w:tr w:rsidR="00C566B2" w14:paraId="3E06A2FC" w14:textId="77777777" w:rsidTr="005E4CEB">
        <w:trPr>
          <w:trHeight w:val="732"/>
          <w:tblHeader/>
        </w:trPr>
        <w:tc>
          <w:tcPr>
            <w:tcW w:w="0" w:type="auto"/>
            <w:tcBorders>
              <w:top w:val="single" w:sz="4" w:space="0" w:color="FFFFFF" w:themeColor="background1"/>
            </w:tcBorders>
            <w:shd w:val="clear" w:color="auto" w:fill="FFFFFF"/>
            <w:hideMark/>
          </w:tcPr>
          <w:p w14:paraId="2AAB5D2F" w14:textId="77777777" w:rsidR="00FB70F4" w:rsidRPr="00CC1CB4" w:rsidRDefault="00000000" w:rsidP="00623B22">
            <w:pPr>
              <w:textAlignment w:val="baseline"/>
              <w:rPr>
                <w:rFonts w:eastAsia="Times New Roman" w:cs="Times New Roman"/>
                <w:lang w:val="es-ES"/>
              </w:rPr>
            </w:pPr>
            <w:r>
              <w:rPr>
                <w:rFonts w:eastAsia="Times New Roman" w:cs="Times New Roman"/>
                <w:lang w:val="pt-BR"/>
              </w:rPr>
              <w:t>Alunos ensinados por um ou mais professores ineficazes</w:t>
            </w:r>
          </w:p>
        </w:tc>
        <w:tc>
          <w:tcPr>
            <w:tcW w:w="1559" w:type="dxa"/>
            <w:tcBorders>
              <w:top w:val="single" w:sz="4" w:space="0" w:color="FFFFFF" w:themeColor="background1"/>
            </w:tcBorders>
            <w:shd w:val="clear" w:color="auto" w:fill="FFFFFF"/>
            <w:hideMark/>
          </w:tcPr>
          <w:p w14:paraId="0B22AE71" w14:textId="77777777" w:rsidR="00FB70F4" w:rsidRPr="00623B22" w:rsidRDefault="00000000" w:rsidP="00623B22">
            <w:pPr>
              <w:textAlignment w:val="baseline"/>
              <w:rPr>
                <w:rFonts w:eastAsia="Times New Roman" w:cs="Times New Roman"/>
              </w:rPr>
            </w:pPr>
            <w:r>
              <w:rPr>
                <w:rFonts w:eastAsia="Times New Roman" w:cs="Times New Roman"/>
                <w:lang w:val="pt-BR"/>
              </w:rPr>
              <w:t>0,16%</w:t>
            </w:r>
          </w:p>
        </w:tc>
        <w:tc>
          <w:tcPr>
            <w:tcW w:w="1559" w:type="dxa"/>
            <w:tcBorders>
              <w:top w:val="single" w:sz="4" w:space="0" w:color="FFFFFF" w:themeColor="background1"/>
            </w:tcBorders>
            <w:shd w:val="clear" w:color="auto" w:fill="FFFFFF"/>
            <w:hideMark/>
          </w:tcPr>
          <w:p w14:paraId="4C8ADAC6" w14:textId="77777777" w:rsidR="00FB70F4" w:rsidRPr="00623B22" w:rsidRDefault="00000000" w:rsidP="00623B22">
            <w:pPr>
              <w:textAlignment w:val="baseline"/>
              <w:rPr>
                <w:rFonts w:eastAsia="Times New Roman" w:cs="Times New Roman"/>
              </w:rPr>
            </w:pPr>
            <w:r>
              <w:rPr>
                <w:rFonts w:eastAsia="Times New Roman" w:cs="Times New Roman"/>
                <w:lang w:val="pt-BR"/>
              </w:rPr>
              <w:t>0,39%</w:t>
            </w:r>
          </w:p>
        </w:tc>
        <w:tc>
          <w:tcPr>
            <w:tcW w:w="1560" w:type="dxa"/>
            <w:tcBorders>
              <w:top w:val="single" w:sz="4" w:space="0" w:color="FFFFFF" w:themeColor="background1"/>
            </w:tcBorders>
            <w:shd w:val="clear" w:color="auto" w:fill="FFFFFF"/>
            <w:hideMark/>
          </w:tcPr>
          <w:p w14:paraId="05F7C0D7" w14:textId="77777777" w:rsidR="00FB70F4" w:rsidRPr="00623B22" w:rsidRDefault="00000000" w:rsidP="00623B22">
            <w:pPr>
              <w:textAlignment w:val="baseline"/>
              <w:rPr>
                <w:rFonts w:eastAsia="Times New Roman" w:cs="Times New Roman"/>
              </w:rPr>
            </w:pPr>
            <w:r>
              <w:rPr>
                <w:rFonts w:eastAsia="Times New Roman" w:cs="Times New Roman"/>
                <w:lang w:val="pt-BR"/>
              </w:rPr>
              <w:t>Menos de 0,01%</w:t>
            </w:r>
          </w:p>
        </w:tc>
        <w:tc>
          <w:tcPr>
            <w:tcW w:w="1559" w:type="dxa"/>
            <w:tcBorders>
              <w:top w:val="single" w:sz="4" w:space="0" w:color="FFFFFF" w:themeColor="background1"/>
            </w:tcBorders>
            <w:shd w:val="clear" w:color="auto" w:fill="FFFFFF"/>
            <w:hideMark/>
          </w:tcPr>
          <w:p w14:paraId="0CADA298" w14:textId="77777777" w:rsidR="00FB70F4" w:rsidRPr="00623B22" w:rsidRDefault="00000000" w:rsidP="00623B22">
            <w:pPr>
              <w:textAlignment w:val="baseline"/>
              <w:rPr>
                <w:rFonts w:eastAsia="Times New Roman" w:cs="Times New Roman"/>
              </w:rPr>
            </w:pPr>
            <w:r>
              <w:rPr>
                <w:rFonts w:eastAsia="Times New Roman" w:cs="Times New Roman"/>
                <w:lang w:val="pt-BR"/>
              </w:rPr>
              <w:t>0,35%</w:t>
            </w:r>
          </w:p>
        </w:tc>
        <w:tc>
          <w:tcPr>
            <w:tcW w:w="1560" w:type="dxa"/>
            <w:tcBorders>
              <w:top w:val="single" w:sz="4" w:space="0" w:color="FFFFFF" w:themeColor="background1"/>
            </w:tcBorders>
            <w:shd w:val="clear" w:color="auto" w:fill="FFFFFF"/>
            <w:hideMark/>
          </w:tcPr>
          <w:p w14:paraId="7C435451" w14:textId="77777777" w:rsidR="00FB70F4" w:rsidRPr="00623B22" w:rsidRDefault="00000000" w:rsidP="00623B22">
            <w:pPr>
              <w:textAlignment w:val="baseline"/>
              <w:rPr>
                <w:rFonts w:eastAsia="Times New Roman" w:cs="Times New Roman"/>
              </w:rPr>
            </w:pPr>
            <w:r>
              <w:rPr>
                <w:rFonts w:eastAsia="Times New Roman" w:cs="Times New Roman"/>
                <w:lang w:val="pt-BR"/>
              </w:rPr>
              <w:t>Menos de 0,01%</w:t>
            </w:r>
          </w:p>
        </w:tc>
      </w:tr>
    </w:tbl>
    <w:p w14:paraId="1FA76541" w14:textId="77777777" w:rsidR="00EA5921" w:rsidRPr="00CC1CB4" w:rsidRDefault="00000000" w:rsidP="00807BBE">
      <w:pPr>
        <w:spacing w:before="240"/>
        <w:textAlignment w:val="baseline"/>
        <w:rPr>
          <w:rFonts w:eastAsia="Times New Roman" w:cs="Times New Roman"/>
          <w:b/>
          <w:color w:val="074F6A"/>
          <w:lang w:val="es-ES"/>
        </w:rPr>
      </w:pPr>
      <w:r>
        <w:rPr>
          <w:rFonts w:eastAsia="Times New Roman" w:cs="Times New Roman"/>
          <w:b/>
          <w:bCs/>
          <w:color w:val="074F6A"/>
          <w:lang w:val="pt-BR"/>
        </w:rPr>
        <w:t xml:space="preserve">Porcentagens nas quais os alunos são ensinados por pelo menos um professor inexperiente </w:t>
      </w:r>
    </w:p>
    <w:p w14:paraId="73E441EE" w14:textId="77777777" w:rsidR="00B551DC" w:rsidRPr="00CC1CB4" w:rsidRDefault="00000000" w:rsidP="007A43AE">
      <w:pPr>
        <w:textAlignment w:val="baseline"/>
        <w:rPr>
          <w:rFonts w:eastAsia="Times New Roman" w:cs="Times New Roman"/>
          <w:lang w:val="es-ES"/>
        </w:rPr>
      </w:pPr>
      <w:r>
        <w:rPr>
          <w:rFonts w:eastAsia="Times New Roman" w:cs="Times New Roman"/>
          <w:lang w:val="pt-BR"/>
        </w:rPr>
        <w:lastRenderedPageBreak/>
        <w:t>O número de alunos que têm pelo menos um professor inexperiente tem sido historicamente muito alto (mais de três quartos de todos os alunos), com menos variação entre os grupos de alunos. As alterações propostas abaixo visam melhorar a qualidade dos dados coletados nesta categoria.</w:t>
      </w:r>
    </w:p>
    <w:p w14:paraId="16C24711" w14:textId="77777777" w:rsidR="00861DA7" w:rsidRPr="00CC1CB4" w:rsidRDefault="00000000" w:rsidP="00861DA7">
      <w:pPr>
        <w:textAlignment w:val="baseline"/>
        <w:rPr>
          <w:rFonts w:eastAsia="Times New Roman" w:cs="Times New Roman"/>
          <w:lang w:val="es-ES"/>
        </w:rPr>
      </w:pPr>
      <w:r>
        <w:rPr>
          <w:rFonts w:eastAsia="Times New Roman" w:cs="Times New Roman"/>
          <w:lang w:val="pt-BR"/>
        </w:rPr>
        <w:t xml:space="preserve">O gráfico abaixo mostra a comparação de professores inexperientes em todo o estado, na qual 80,46% dos alunos de famílias economicamente desfavorecidas em escolas de Título I são ensinados por um ou mais professores inexperientes, em comparação com 79,79% de todos os alunos em todo o estado e em comparação com 76,86% dos alunos que não são de baixa renda em escolas que não são de Título I. Além disso, 80,33% dos alunos minoritários foram ensinados por um ou mais professores inexperientes. </w:t>
      </w:r>
    </w:p>
    <w:tbl>
      <w:tblPr>
        <w:tblW w:w="94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20" w:firstRow="1" w:lastRow="0" w:firstColumn="0" w:lastColumn="0" w:noHBand="0" w:noVBand="1"/>
      </w:tblPr>
      <w:tblGrid>
        <w:gridCol w:w="1887"/>
        <w:gridCol w:w="1512"/>
        <w:gridCol w:w="1513"/>
        <w:gridCol w:w="1512"/>
        <w:gridCol w:w="1513"/>
        <w:gridCol w:w="1513"/>
      </w:tblGrid>
      <w:tr w:rsidR="00C566B2" w:rsidRPr="00C04CDD" w14:paraId="4F279737" w14:textId="77777777" w:rsidTr="005E4CEB">
        <w:trPr>
          <w:trHeight w:val="1500"/>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362D178A" w14:textId="77777777" w:rsidR="004C191D" w:rsidRPr="00807BBE" w:rsidRDefault="00000000" w:rsidP="00807BBE">
            <w:pPr>
              <w:spacing w:after="0"/>
              <w:textAlignment w:val="baseline"/>
              <w:rPr>
                <w:rFonts w:eastAsia="Times New Roman" w:cs="Times New Roman"/>
                <w:b/>
                <w:color w:val="FFFFFF" w:themeColor="background1"/>
              </w:rPr>
            </w:pPr>
            <w:r>
              <w:rPr>
                <w:rFonts w:eastAsia="Times New Roman" w:cs="Times New Roman"/>
                <w:b/>
                <w:bCs/>
                <w:color w:val="FFFFFF"/>
                <w:lang w:val="pt-BR"/>
              </w:rPr>
              <w:t>Categoria</w:t>
            </w:r>
          </w:p>
        </w:tc>
        <w:tc>
          <w:tcPr>
            <w:tcW w:w="15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7AECE418" w14:textId="77777777" w:rsidR="004C191D" w:rsidRPr="00CC1CB4" w:rsidRDefault="00000000" w:rsidP="00807BBE">
            <w:pPr>
              <w:spacing w:after="0"/>
              <w:textAlignment w:val="baseline"/>
              <w:rPr>
                <w:rFonts w:eastAsia="Times New Roman" w:cs="Times New Roman"/>
                <w:b/>
                <w:color w:val="FFFFFF" w:themeColor="background1"/>
                <w:lang w:val="es-ES"/>
              </w:rPr>
            </w:pPr>
            <w:r>
              <w:rPr>
                <w:rFonts w:eastAsia="Times New Roman" w:cs="Times New Roman"/>
                <w:b/>
                <w:bCs/>
                <w:color w:val="FFFFFF"/>
                <w:lang w:val="pt-BR"/>
              </w:rPr>
              <w:t>Porcentagem de alunos em geral</w:t>
            </w:r>
          </w:p>
        </w:tc>
        <w:tc>
          <w:tcPr>
            <w:tcW w:w="1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6CF75A30" w14:textId="77777777" w:rsidR="004C191D" w:rsidRPr="00CC1CB4" w:rsidRDefault="00000000" w:rsidP="00807BBE">
            <w:pPr>
              <w:spacing w:after="0"/>
              <w:textAlignment w:val="baseline"/>
              <w:rPr>
                <w:rFonts w:eastAsia="Times New Roman" w:cs="Times New Roman"/>
                <w:b/>
                <w:color w:val="FFFFFF" w:themeColor="background1"/>
                <w:lang w:val="es-ES"/>
              </w:rPr>
            </w:pPr>
            <w:r>
              <w:rPr>
                <w:rFonts w:eastAsia="Times New Roman" w:cs="Times New Roman"/>
                <w:b/>
                <w:bCs/>
                <w:color w:val="FFFFFF"/>
                <w:lang w:val="pt-BR"/>
              </w:rPr>
              <w:t>Porcentagem de alunos de baixa renda em escolas de Título I</w:t>
            </w:r>
          </w:p>
        </w:tc>
        <w:tc>
          <w:tcPr>
            <w:tcW w:w="15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684BCBCF" w14:textId="77777777" w:rsidR="004C191D" w:rsidRPr="00CC1CB4" w:rsidRDefault="00000000" w:rsidP="00807BBE">
            <w:pPr>
              <w:spacing w:after="0"/>
              <w:textAlignment w:val="baseline"/>
              <w:rPr>
                <w:rFonts w:eastAsia="Times New Roman" w:cs="Times New Roman"/>
                <w:b/>
                <w:color w:val="FFFFFF" w:themeColor="background1"/>
                <w:lang w:val="es-ES"/>
              </w:rPr>
            </w:pPr>
            <w:r>
              <w:rPr>
                <w:rFonts w:eastAsia="Times New Roman" w:cs="Times New Roman"/>
                <w:b/>
                <w:bCs/>
                <w:color w:val="FFFFFF"/>
                <w:lang w:val="pt-BR"/>
              </w:rPr>
              <w:t>Porcentagem de alunos que não são de baixa renda em escolas que não são de Título I</w:t>
            </w:r>
          </w:p>
        </w:tc>
        <w:tc>
          <w:tcPr>
            <w:tcW w:w="1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cPr>
          <w:p w14:paraId="3ED6C573" w14:textId="77777777" w:rsidR="004C191D" w:rsidRPr="00CC1CB4" w:rsidRDefault="00000000" w:rsidP="00807BBE">
            <w:pPr>
              <w:spacing w:after="0"/>
              <w:textAlignment w:val="baseline"/>
              <w:rPr>
                <w:rFonts w:eastAsia="Times New Roman" w:cs="Times New Roman"/>
                <w:b/>
                <w:color w:val="FFFFFF" w:themeColor="background1"/>
                <w:lang w:val="es-ES"/>
              </w:rPr>
            </w:pPr>
            <w:r>
              <w:rPr>
                <w:rFonts w:eastAsia="Times New Roman" w:cs="Times New Roman"/>
                <w:b/>
                <w:bCs/>
                <w:color w:val="FFFFFF"/>
                <w:lang w:val="pt-BR"/>
              </w:rPr>
              <w:t>Porcentagem de alunos minoritários em escolas de Título I</w:t>
            </w:r>
          </w:p>
        </w:tc>
        <w:tc>
          <w:tcPr>
            <w:tcW w:w="1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cPr>
          <w:p w14:paraId="5061B347" w14:textId="77777777" w:rsidR="004C191D" w:rsidRPr="00CC1CB4" w:rsidRDefault="00000000" w:rsidP="00807BBE">
            <w:pPr>
              <w:spacing w:after="0"/>
              <w:textAlignment w:val="baseline"/>
              <w:rPr>
                <w:rFonts w:eastAsia="Times New Roman" w:cs="Times New Roman"/>
                <w:b/>
                <w:color w:val="FFFFFF" w:themeColor="background1"/>
                <w:lang w:val="es-ES"/>
              </w:rPr>
            </w:pPr>
            <w:r>
              <w:rPr>
                <w:rFonts w:eastAsia="Times New Roman" w:cs="Times New Roman"/>
                <w:b/>
                <w:bCs/>
                <w:color w:val="FFFFFF"/>
                <w:lang w:val="pt-BR"/>
              </w:rPr>
              <w:t>Porcentagem de alunos não minoritários em escolas que não são de Título I</w:t>
            </w:r>
          </w:p>
        </w:tc>
      </w:tr>
      <w:tr w:rsidR="00C566B2" w14:paraId="044B91A1" w14:textId="77777777" w:rsidTr="005E4CEB">
        <w:trPr>
          <w:trHeight w:val="933"/>
        </w:trPr>
        <w:tc>
          <w:tcPr>
            <w:tcW w:w="0" w:type="auto"/>
            <w:tcBorders>
              <w:top w:val="single" w:sz="4" w:space="0" w:color="FFFFFF" w:themeColor="background1"/>
            </w:tcBorders>
            <w:shd w:val="clear" w:color="auto" w:fill="FFFFFF"/>
            <w:hideMark/>
          </w:tcPr>
          <w:p w14:paraId="3CE0EC73" w14:textId="77777777" w:rsidR="004C191D" w:rsidRPr="00C04CDD" w:rsidRDefault="00000000" w:rsidP="00807BBE">
            <w:pPr>
              <w:textAlignment w:val="baseline"/>
              <w:rPr>
                <w:rFonts w:eastAsia="Times New Roman" w:cs="Times New Roman"/>
                <w:lang w:val="fr-FR"/>
              </w:rPr>
            </w:pPr>
            <w:r>
              <w:rPr>
                <w:rFonts w:eastAsia="Times New Roman" w:cs="Times New Roman"/>
                <w:lang w:val="pt-BR"/>
              </w:rPr>
              <w:t>Alunos ministrados por um ou mais professores inexperientes</w:t>
            </w:r>
          </w:p>
        </w:tc>
        <w:tc>
          <w:tcPr>
            <w:tcW w:w="1512" w:type="dxa"/>
            <w:tcBorders>
              <w:top w:val="single" w:sz="4" w:space="0" w:color="FFFFFF" w:themeColor="background1"/>
            </w:tcBorders>
            <w:shd w:val="clear" w:color="auto" w:fill="FFFFFF"/>
            <w:hideMark/>
          </w:tcPr>
          <w:p w14:paraId="1BDBDEF5" w14:textId="77777777" w:rsidR="004C191D" w:rsidRPr="00807BBE" w:rsidRDefault="00000000" w:rsidP="00807BBE">
            <w:pPr>
              <w:jc w:val="center"/>
              <w:textAlignment w:val="baseline"/>
              <w:rPr>
                <w:rFonts w:eastAsia="Times New Roman" w:cs="Times New Roman"/>
              </w:rPr>
            </w:pPr>
            <w:r>
              <w:rPr>
                <w:rFonts w:eastAsia="Times New Roman" w:cs="Times New Roman"/>
                <w:lang w:val="pt-BR"/>
              </w:rPr>
              <w:t>79,79%</w:t>
            </w:r>
          </w:p>
        </w:tc>
        <w:tc>
          <w:tcPr>
            <w:tcW w:w="1513" w:type="dxa"/>
            <w:tcBorders>
              <w:top w:val="single" w:sz="4" w:space="0" w:color="FFFFFF" w:themeColor="background1"/>
            </w:tcBorders>
            <w:shd w:val="clear" w:color="auto" w:fill="FFFFFF"/>
            <w:hideMark/>
          </w:tcPr>
          <w:p w14:paraId="5D05150C" w14:textId="77777777" w:rsidR="004C191D" w:rsidRPr="00807BBE" w:rsidRDefault="00000000" w:rsidP="00807BBE">
            <w:pPr>
              <w:jc w:val="center"/>
              <w:textAlignment w:val="baseline"/>
              <w:rPr>
                <w:rFonts w:eastAsia="Times New Roman" w:cs="Times New Roman"/>
              </w:rPr>
            </w:pPr>
            <w:r>
              <w:rPr>
                <w:rFonts w:eastAsia="Times New Roman" w:cs="Times New Roman"/>
                <w:lang w:val="pt-BR"/>
              </w:rPr>
              <w:t>80,46%</w:t>
            </w:r>
          </w:p>
        </w:tc>
        <w:tc>
          <w:tcPr>
            <w:tcW w:w="1512" w:type="dxa"/>
            <w:tcBorders>
              <w:top w:val="single" w:sz="4" w:space="0" w:color="FFFFFF" w:themeColor="background1"/>
            </w:tcBorders>
            <w:shd w:val="clear" w:color="auto" w:fill="FFFFFF"/>
            <w:hideMark/>
          </w:tcPr>
          <w:p w14:paraId="27056878" w14:textId="77777777" w:rsidR="004C191D" w:rsidRPr="00807BBE" w:rsidRDefault="00000000" w:rsidP="00807BBE">
            <w:pPr>
              <w:jc w:val="center"/>
              <w:textAlignment w:val="baseline"/>
              <w:rPr>
                <w:rFonts w:eastAsia="Times New Roman" w:cs="Times New Roman"/>
              </w:rPr>
            </w:pPr>
            <w:r>
              <w:rPr>
                <w:rFonts w:eastAsia="Times New Roman" w:cs="Times New Roman"/>
                <w:lang w:val="pt-BR"/>
              </w:rPr>
              <w:t>76,86%</w:t>
            </w:r>
          </w:p>
        </w:tc>
        <w:tc>
          <w:tcPr>
            <w:tcW w:w="1513" w:type="dxa"/>
            <w:tcBorders>
              <w:top w:val="single" w:sz="4" w:space="0" w:color="FFFFFF" w:themeColor="background1"/>
            </w:tcBorders>
            <w:shd w:val="clear" w:color="auto" w:fill="FFFFFF"/>
          </w:tcPr>
          <w:p w14:paraId="158587C8" w14:textId="77777777" w:rsidR="004C191D" w:rsidRPr="00807BBE" w:rsidRDefault="00000000" w:rsidP="00807BBE">
            <w:pPr>
              <w:jc w:val="center"/>
              <w:textAlignment w:val="baseline"/>
              <w:rPr>
                <w:rFonts w:eastAsia="Times New Roman" w:cs="Times New Roman"/>
              </w:rPr>
            </w:pPr>
            <w:r>
              <w:rPr>
                <w:rFonts w:eastAsia="Times New Roman" w:cs="Times New Roman"/>
                <w:lang w:val="pt-BR"/>
              </w:rPr>
              <w:t>80,33%</w:t>
            </w:r>
          </w:p>
        </w:tc>
        <w:tc>
          <w:tcPr>
            <w:tcW w:w="1513" w:type="dxa"/>
            <w:tcBorders>
              <w:top w:val="single" w:sz="4" w:space="0" w:color="FFFFFF" w:themeColor="background1"/>
            </w:tcBorders>
            <w:shd w:val="clear" w:color="auto" w:fill="FFFFFF"/>
          </w:tcPr>
          <w:p w14:paraId="3EB6C25F" w14:textId="77777777" w:rsidR="004C191D" w:rsidRPr="00807BBE" w:rsidRDefault="00000000" w:rsidP="00807BBE">
            <w:pPr>
              <w:jc w:val="center"/>
              <w:textAlignment w:val="baseline"/>
              <w:rPr>
                <w:rFonts w:eastAsia="Times New Roman" w:cs="Times New Roman"/>
              </w:rPr>
            </w:pPr>
            <w:r>
              <w:rPr>
                <w:rFonts w:eastAsia="Times New Roman" w:cs="Times New Roman"/>
                <w:lang w:val="pt-BR"/>
              </w:rPr>
              <w:t>75,68%</w:t>
            </w:r>
          </w:p>
        </w:tc>
      </w:tr>
    </w:tbl>
    <w:p w14:paraId="621E7C2B" w14:textId="77777777" w:rsidR="00B551DC" w:rsidRPr="008B6B99" w:rsidRDefault="00000000" w:rsidP="00856537">
      <w:pPr>
        <w:pStyle w:val="A30"/>
      </w:pPr>
      <w:bookmarkStart w:id="108" w:name="_Toc199403720"/>
      <w:r>
        <w:t>Definições</w:t>
      </w:r>
      <w:bookmarkEnd w:id="108"/>
      <w:r>
        <w:t xml:space="preserve"> </w:t>
      </w:r>
    </w:p>
    <w:p w14:paraId="468E5DAE" w14:textId="77777777" w:rsidR="00B551DC" w:rsidRPr="00CC1CB4" w:rsidRDefault="00000000" w:rsidP="6B71CBC4">
      <w:pPr>
        <w:textAlignment w:val="baseline"/>
        <w:rPr>
          <w:rFonts w:ascii="Segoe UI" w:eastAsia="Times New Roman" w:hAnsi="Segoe UI" w:cs="Segoe UI"/>
          <w:sz w:val="18"/>
          <w:szCs w:val="18"/>
          <w:lang w:val="es-ES"/>
        </w:rPr>
      </w:pPr>
      <w:r>
        <w:rPr>
          <w:rFonts w:eastAsia="Times New Roman" w:cs="Times New Roman"/>
          <w:lang w:val="pt-BR"/>
        </w:rPr>
        <w:t xml:space="preserve">O NJDOE descobriu que, ao definir “professor inexperiente” como educador com menos de quatro anos de experiência prévia em uma determinada LEA, os dados estaduais e de nível de LEA não forneceram ao NJDOE um entendimento diferenciado das necessidades de pessoal. Atualizar a definição para significar um educador com menos de quatro anos de experiência anterior permitirá que os revisores diferenciem as escolas com base na experiência geral na profissão de ensino, não apenas professores que são novos na LEA. </w:t>
      </w:r>
    </w:p>
    <w:p w14:paraId="5EACB0CE" w14:textId="77777777" w:rsidR="00B551DC" w:rsidRPr="00CC1CB4" w:rsidRDefault="00000000" w:rsidP="6B71CBC4">
      <w:pPr>
        <w:textAlignment w:val="baseline"/>
        <w:rPr>
          <w:rFonts w:eastAsia="Times New Roman" w:cs="Times New Roman"/>
          <w:lang w:val="es-ES"/>
        </w:rPr>
      </w:pPr>
      <w:r>
        <w:rPr>
          <w:rFonts w:eastAsia="Times New Roman" w:cs="Times New Roman"/>
          <w:lang w:val="pt-BR"/>
        </w:rPr>
        <w:t xml:space="preserve">Portanto, o NJDOE alterou a definição de “inexperiente” e manterá as outras definições capturadas no Plano estadual da ESSA de 2017. O gráfico abaixo inclui as atualizações descritas e atualizações secundárias adicionais para clareza e consistência de linguagem. </w:t>
      </w:r>
    </w:p>
    <w:p w14:paraId="2207AB73" w14:textId="77777777" w:rsidR="00A02863" w:rsidRPr="00CC1CB4" w:rsidRDefault="00000000" w:rsidP="00F86F30">
      <w:pPr>
        <w:pStyle w:val="aff0"/>
        <w:rPr>
          <w:rFonts w:ascii="Segoe UI" w:hAnsi="Segoe UI"/>
          <w:lang w:val="es-ES"/>
        </w:rPr>
      </w:pPr>
      <w:r>
        <w:rPr>
          <w:rFonts w:eastAsia="Cambria"/>
          <w:lang w:val="pt-BR"/>
        </w:rPr>
        <w:t>Figura A.21: Definições estaduais para termos-chave</w:t>
      </w:r>
    </w:p>
    <w:tbl>
      <w:tblPr>
        <w:tblW w:w="0" w:type="dxa"/>
        <w:tblBorders>
          <w:top w:val="outset" w:sz="6" w:space="0" w:color="auto"/>
          <w:left w:val="outset" w:sz="6" w:space="0" w:color="auto"/>
          <w:bottom w:val="outset" w:sz="6" w:space="0" w:color="auto"/>
          <w:right w:val="outset" w:sz="6" w:space="0" w:color="auto"/>
        </w:tblBorders>
        <w:tblCellMar>
          <w:top w:w="58" w:type="dxa"/>
          <w:left w:w="58" w:type="dxa"/>
          <w:bottom w:w="58" w:type="dxa"/>
          <w:right w:w="58" w:type="dxa"/>
        </w:tblCellMar>
        <w:tblLook w:val="0420" w:firstRow="1" w:lastRow="0" w:firstColumn="0" w:lastColumn="0" w:noHBand="0" w:noVBand="1"/>
      </w:tblPr>
      <w:tblGrid>
        <w:gridCol w:w="2325"/>
        <w:gridCol w:w="6915"/>
      </w:tblGrid>
      <w:tr w:rsidR="00C566B2" w:rsidRPr="00C04CDD" w14:paraId="18B9467C" w14:textId="77777777" w:rsidTr="008B6B99">
        <w:trPr>
          <w:trHeight w:val="285"/>
          <w:tblHeader/>
        </w:trPr>
        <w:tc>
          <w:tcPr>
            <w:tcW w:w="2325" w:type="dxa"/>
            <w:tcBorders>
              <w:top w:val="single" w:sz="6" w:space="0" w:color="auto"/>
              <w:left w:val="single" w:sz="6" w:space="0" w:color="auto"/>
              <w:bottom w:val="single" w:sz="6" w:space="0" w:color="auto"/>
              <w:right w:val="single" w:sz="6" w:space="0" w:color="FFFFFF"/>
            </w:tcBorders>
            <w:shd w:val="clear" w:color="auto" w:fill="1F4E79"/>
            <w:hideMark/>
          </w:tcPr>
          <w:p w14:paraId="1B4921BD" w14:textId="77777777" w:rsidR="00B551DC" w:rsidRPr="007F3AF1" w:rsidRDefault="00000000" w:rsidP="00B551DC">
            <w:pPr>
              <w:spacing w:after="0" w:line="240" w:lineRule="auto"/>
              <w:ind w:left="60" w:hanging="60"/>
              <w:textAlignment w:val="baseline"/>
              <w:rPr>
                <w:rFonts w:eastAsia="Times New Roman" w:cs="Times New Roman"/>
              </w:rPr>
            </w:pPr>
            <w:r>
              <w:rPr>
                <w:rFonts w:eastAsia="Times New Roman" w:cs="Times New Roman"/>
                <w:b/>
                <w:bCs/>
                <w:color w:val="FFFFFF"/>
                <w:lang w:val="pt-BR"/>
              </w:rPr>
              <w:t>Termo-chave</w:t>
            </w:r>
            <w:r>
              <w:rPr>
                <w:rFonts w:eastAsia="Times New Roman" w:cs="Times New Roman"/>
                <w:color w:val="0078D4"/>
                <w:lang w:val="pt-BR"/>
              </w:rPr>
              <w:t xml:space="preserve"> </w:t>
            </w:r>
          </w:p>
        </w:tc>
        <w:tc>
          <w:tcPr>
            <w:tcW w:w="6915" w:type="dxa"/>
            <w:tcBorders>
              <w:top w:val="single" w:sz="6" w:space="0" w:color="auto"/>
              <w:left w:val="single" w:sz="6" w:space="0" w:color="FFFFFF"/>
              <w:bottom w:val="single" w:sz="6" w:space="0" w:color="auto"/>
              <w:right w:val="single" w:sz="6" w:space="0" w:color="auto"/>
            </w:tcBorders>
            <w:shd w:val="clear" w:color="auto" w:fill="1F4E79"/>
            <w:hideMark/>
          </w:tcPr>
          <w:p w14:paraId="5FA003A9" w14:textId="77777777" w:rsidR="00B551DC" w:rsidRPr="00CC1CB4" w:rsidRDefault="00000000" w:rsidP="00B551DC">
            <w:pPr>
              <w:spacing w:after="0" w:line="240" w:lineRule="auto"/>
              <w:textAlignment w:val="baseline"/>
              <w:rPr>
                <w:rFonts w:eastAsia="Times New Roman" w:cs="Times New Roman"/>
                <w:lang w:val="es-ES"/>
              </w:rPr>
            </w:pPr>
            <w:r>
              <w:rPr>
                <w:rFonts w:eastAsia="Times New Roman" w:cs="Times New Roman"/>
                <w:b/>
                <w:bCs/>
                <w:color w:val="FFFFFF"/>
                <w:lang w:val="pt-BR"/>
              </w:rPr>
              <w:t xml:space="preserve">Definição em todo o estado </w:t>
            </w:r>
          </w:p>
        </w:tc>
      </w:tr>
      <w:tr w:rsidR="00C566B2" w:rsidRPr="00856537" w14:paraId="7F7FD6DA" w14:textId="77777777" w:rsidTr="008B6B99">
        <w:trPr>
          <w:trHeight w:val="285"/>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16D1BF97" w14:textId="77777777" w:rsidR="00B551DC" w:rsidRPr="007F3AF1" w:rsidRDefault="00000000" w:rsidP="00B551DC">
            <w:pPr>
              <w:spacing w:after="0" w:line="240" w:lineRule="auto"/>
              <w:textAlignment w:val="baseline"/>
              <w:rPr>
                <w:rFonts w:eastAsia="Times New Roman" w:cs="Times New Roman"/>
              </w:rPr>
            </w:pPr>
            <w:r>
              <w:rPr>
                <w:rFonts w:eastAsia="Times New Roman" w:cs="Times New Roman"/>
                <w:lang w:val="pt-BR"/>
              </w:rPr>
              <w:t xml:space="preserve">Abaixo do professor eficaz </w:t>
            </w:r>
          </w:p>
        </w:tc>
        <w:tc>
          <w:tcPr>
            <w:tcW w:w="6915" w:type="dxa"/>
            <w:tcBorders>
              <w:top w:val="single" w:sz="6" w:space="0" w:color="auto"/>
              <w:left w:val="single" w:sz="6" w:space="0" w:color="auto"/>
              <w:bottom w:val="single" w:sz="6" w:space="0" w:color="auto"/>
              <w:right w:val="single" w:sz="6" w:space="0" w:color="auto"/>
            </w:tcBorders>
            <w:shd w:val="clear" w:color="auto" w:fill="auto"/>
            <w:hideMark/>
          </w:tcPr>
          <w:p w14:paraId="07AFD4B5" w14:textId="77777777" w:rsidR="00B551DC" w:rsidRPr="00CC1CB4" w:rsidRDefault="00000000" w:rsidP="00B551DC">
            <w:pPr>
              <w:spacing w:after="0" w:line="240" w:lineRule="auto"/>
              <w:textAlignment w:val="baseline"/>
              <w:rPr>
                <w:rFonts w:eastAsia="Times New Roman" w:cs="Times New Roman"/>
                <w:lang w:val="es-ES"/>
              </w:rPr>
            </w:pPr>
            <w:r>
              <w:rPr>
                <w:rFonts w:eastAsia="Times New Roman" w:cs="Times New Roman"/>
                <w:lang w:val="pt-BR"/>
              </w:rPr>
              <w:t xml:space="preserve">Um educador que recebe uma classificação de avaliação somativa anual de “ineficaz” ou “parcialmente eficaz” (ou seja, &lt; 2,65/4,0) no sistema de avaliação AchieveNJ (N.J.A.C. 6A:10). </w:t>
            </w:r>
          </w:p>
        </w:tc>
      </w:tr>
      <w:tr w:rsidR="00C566B2" w:rsidRPr="00856537" w14:paraId="4CF8D69C" w14:textId="77777777" w:rsidTr="008B6B99">
        <w:trPr>
          <w:trHeight w:val="285"/>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666264C0" w14:textId="77777777" w:rsidR="00B551DC" w:rsidRPr="007F3AF1" w:rsidRDefault="00000000" w:rsidP="00B551DC">
            <w:pPr>
              <w:spacing w:after="0" w:line="240" w:lineRule="auto"/>
              <w:textAlignment w:val="baseline"/>
              <w:rPr>
                <w:rFonts w:eastAsia="Times New Roman" w:cs="Times New Roman"/>
              </w:rPr>
            </w:pPr>
            <w:r>
              <w:rPr>
                <w:rFonts w:eastAsia="Times New Roman" w:cs="Times New Roman"/>
                <w:lang w:val="pt-BR"/>
              </w:rPr>
              <w:t xml:space="preserve">Professor ineficaz </w:t>
            </w:r>
          </w:p>
        </w:tc>
        <w:tc>
          <w:tcPr>
            <w:tcW w:w="6915" w:type="dxa"/>
            <w:tcBorders>
              <w:top w:val="single" w:sz="6" w:space="0" w:color="auto"/>
              <w:left w:val="single" w:sz="6" w:space="0" w:color="auto"/>
              <w:bottom w:val="single" w:sz="6" w:space="0" w:color="auto"/>
              <w:right w:val="single" w:sz="6" w:space="0" w:color="auto"/>
            </w:tcBorders>
            <w:shd w:val="clear" w:color="auto" w:fill="auto"/>
            <w:hideMark/>
          </w:tcPr>
          <w:p w14:paraId="67C007D1" w14:textId="77777777" w:rsidR="00B551DC" w:rsidRPr="00CC1CB4" w:rsidRDefault="00000000" w:rsidP="00B551DC">
            <w:pPr>
              <w:spacing w:after="0" w:line="240" w:lineRule="auto"/>
              <w:textAlignment w:val="baseline"/>
              <w:rPr>
                <w:rFonts w:eastAsia="Times New Roman" w:cs="Times New Roman"/>
                <w:lang w:val="es-ES"/>
              </w:rPr>
            </w:pPr>
            <w:r>
              <w:rPr>
                <w:rFonts w:eastAsia="Times New Roman" w:cs="Times New Roman"/>
                <w:lang w:val="pt-BR"/>
              </w:rPr>
              <w:t xml:space="preserve">Um educador que recebe uma classificação de avaliação somativa anual de “ineficaz” (ou seja, &lt; 1,85/4,0) no sistema de avaliação AchieveNJ (N.J.A.C. 6A:10). </w:t>
            </w:r>
          </w:p>
        </w:tc>
      </w:tr>
      <w:tr w:rsidR="00C566B2" w:rsidRPr="00C04CDD" w14:paraId="730F139A" w14:textId="77777777" w:rsidTr="008B6B99">
        <w:trPr>
          <w:trHeight w:val="285"/>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014DF7EA" w14:textId="77777777" w:rsidR="00B551DC" w:rsidRPr="007F3AF1" w:rsidRDefault="00000000" w:rsidP="00B551DC">
            <w:pPr>
              <w:spacing w:after="0" w:line="240" w:lineRule="auto"/>
              <w:textAlignment w:val="baseline"/>
              <w:rPr>
                <w:rFonts w:eastAsia="Times New Roman" w:cs="Times New Roman"/>
              </w:rPr>
            </w:pPr>
            <w:r>
              <w:rPr>
                <w:rFonts w:eastAsia="Times New Roman" w:cs="Times New Roman"/>
                <w:lang w:val="pt-BR"/>
              </w:rPr>
              <w:t xml:space="preserve">Professor inexperiente </w:t>
            </w:r>
          </w:p>
        </w:tc>
        <w:tc>
          <w:tcPr>
            <w:tcW w:w="6915" w:type="dxa"/>
            <w:tcBorders>
              <w:top w:val="single" w:sz="6" w:space="0" w:color="auto"/>
              <w:left w:val="single" w:sz="6" w:space="0" w:color="auto"/>
              <w:bottom w:val="single" w:sz="6" w:space="0" w:color="auto"/>
              <w:right w:val="single" w:sz="6" w:space="0" w:color="auto"/>
            </w:tcBorders>
            <w:shd w:val="clear" w:color="auto" w:fill="auto"/>
            <w:hideMark/>
          </w:tcPr>
          <w:p w14:paraId="272C8C4C" w14:textId="77777777" w:rsidR="00B551DC" w:rsidRPr="00CC1CB4" w:rsidRDefault="00000000" w:rsidP="00B551DC">
            <w:pPr>
              <w:spacing w:after="0" w:line="240" w:lineRule="auto"/>
              <w:textAlignment w:val="baseline"/>
              <w:rPr>
                <w:rFonts w:eastAsia="Times New Roman" w:cs="Times New Roman"/>
                <w:lang w:val="es-ES"/>
              </w:rPr>
            </w:pPr>
            <w:r>
              <w:rPr>
                <w:rFonts w:eastAsia="Times New Roman" w:cs="Times New Roman"/>
                <w:lang w:val="pt-BR"/>
              </w:rPr>
              <w:t xml:space="preserve">Um educador com menos de quatro anos de experiência anterior. </w:t>
            </w:r>
          </w:p>
        </w:tc>
      </w:tr>
      <w:tr w:rsidR="00C566B2" w:rsidRPr="00C04CDD" w14:paraId="5D1D112E" w14:textId="77777777" w:rsidTr="008B6B99">
        <w:trPr>
          <w:trHeight w:val="285"/>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246FF80A" w14:textId="77777777" w:rsidR="00B551DC" w:rsidRPr="007F3AF1" w:rsidRDefault="00000000" w:rsidP="00B551DC">
            <w:pPr>
              <w:spacing w:after="0" w:line="240" w:lineRule="auto"/>
              <w:textAlignment w:val="baseline"/>
              <w:rPr>
                <w:rFonts w:eastAsia="Times New Roman" w:cs="Times New Roman"/>
              </w:rPr>
            </w:pPr>
            <w:r>
              <w:rPr>
                <w:rFonts w:eastAsia="Times New Roman" w:cs="Times New Roman"/>
                <w:lang w:val="pt-BR"/>
              </w:rPr>
              <w:lastRenderedPageBreak/>
              <w:t xml:space="preserve">Estudante economicamente desfavorecido </w:t>
            </w:r>
          </w:p>
        </w:tc>
        <w:tc>
          <w:tcPr>
            <w:tcW w:w="6915" w:type="dxa"/>
            <w:tcBorders>
              <w:top w:val="single" w:sz="6" w:space="0" w:color="auto"/>
              <w:left w:val="single" w:sz="6" w:space="0" w:color="auto"/>
              <w:bottom w:val="single" w:sz="6" w:space="0" w:color="auto"/>
              <w:right w:val="single" w:sz="6" w:space="0" w:color="auto"/>
            </w:tcBorders>
            <w:shd w:val="clear" w:color="auto" w:fill="auto"/>
            <w:hideMark/>
          </w:tcPr>
          <w:p w14:paraId="768B67E1" w14:textId="77777777" w:rsidR="00B551DC" w:rsidRPr="00CC1CB4" w:rsidRDefault="00000000" w:rsidP="00B551DC">
            <w:pPr>
              <w:spacing w:after="0" w:line="240" w:lineRule="auto"/>
              <w:textAlignment w:val="baseline"/>
              <w:rPr>
                <w:rFonts w:eastAsia="Times New Roman" w:cs="Times New Roman"/>
                <w:lang w:val="es-ES"/>
              </w:rPr>
            </w:pPr>
            <w:r>
              <w:rPr>
                <w:rFonts w:eastAsia="Times New Roman" w:cs="Times New Roman"/>
                <w:lang w:val="pt-BR"/>
              </w:rPr>
              <w:t xml:space="preserve">Um aluno elegível para almoço gratuito ou com preço reduzido, identificado como “economicamente desfavorecido” em Nova Jersey. </w:t>
            </w:r>
          </w:p>
        </w:tc>
      </w:tr>
      <w:tr w:rsidR="00C566B2" w:rsidRPr="00856537" w14:paraId="5294C608" w14:textId="77777777" w:rsidTr="008B6B99">
        <w:trPr>
          <w:trHeight w:val="285"/>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3F290806" w14:textId="77777777" w:rsidR="00B551DC" w:rsidRPr="007F3AF1" w:rsidRDefault="00000000" w:rsidP="00B551DC">
            <w:pPr>
              <w:spacing w:after="0" w:line="240" w:lineRule="auto"/>
              <w:textAlignment w:val="baseline"/>
              <w:rPr>
                <w:rFonts w:eastAsia="Times New Roman" w:cs="Times New Roman"/>
              </w:rPr>
            </w:pPr>
            <w:r>
              <w:rPr>
                <w:rFonts w:eastAsia="Times New Roman" w:cs="Times New Roman"/>
                <w:lang w:val="pt-BR"/>
              </w:rPr>
              <w:t xml:space="preserve">Estudante minoritário </w:t>
            </w:r>
          </w:p>
        </w:tc>
        <w:tc>
          <w:tcPr>
            <w:tcW w:w="6915" w:type="dxa"/>
            <w:tcBorders>
              <w:top w:val="single" w:sz="6" w:space="0" w:color="auto"/>
              <w:left w:val="single" w:sz="6" w:space="0" w:color="auto"/>
              <w:bottom w:val="single" w:sz="6" w:space="0" w:color="auto"/>
              <w:right w:val="single" w:sz="6" w:space="0" w:color="auto"/>
            </w:tcBorders>
            <w:shd w:val="clear" w:color="auto" w:fill="auto"/>
            <w:hideMark/>
          </w:tcPr>
          <w:p w14:paraId="2425A0C1" w14:textId="77777777" w:rsidR="00B551DC" w:rsidRPr="00CC1CB4" w:rsidRDefault="00000000" w:rsidP="00B551DC">
            <w:pPr>
              <w:spacing w:after="0" w:line="240" w:lineRule="auto"/>
              <w:textAlignment w:val="baseline"/>
              <w:rPr>
                <w:rFonts w:eastAsia="Times New Roman" w:cs="Times New Roman"/>
                <w:lang w:val="es-ES"/>
              </w:rPr>
            </w:pPr>
            <w:r>
              <w:rPr>
                <w:rFonts w:eastAsia="Times New Roman" w:cs="Times New Roman"/>
                <w:lang w:val="pt-BR"/>
              </w:rPr>
              <w:t xml:space="preserve">Um estudante de cor, que inclui os seguintes grupos de estudantes: indígena americano ou nativo do Alasca; asiático, nativo do Havaí ou das ilhas do Pacífico; negro ou afro-americano; hispânico/latino; e duas ou mais raças. </w:t>
            </w:r>
          </w:p>
        </w:tc>
      </w:tr>
      <w:tr w:rsidR="00C566B2" w:rsidRPr="00C04CDD" w14:paraId="41DAE2FD" w14:textId="77777777" w:rsidTr="008B6B99">
        <w:trPr>
          <w:trHeight w:val="285"/>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307E0A68" w14:textId="77777777" w:rsidR="00B551DC" w:rsidRPr="007F3AF1" w:rsidRDefault="00000000" w:rsidP="00B551DC">
            <w:pPr>
              <w:spacing w:after="0" w:line="240" w:lineRule="auto"/>
              <w:textAlignment w:val="baseline"/>
              <w:rPr>
                <w:rFonts w:eastAsia="Times New Roman" w:cs="Times New Roman"/>
              </w:rPr>
            </w:pPr>
            <w:r>
              <w:rPr>
                <w:rFonts w:eastAsia="Times New Roman" w:cs="Times New Roman"/>
                <w:lang w:val="pt-BR"/>
              </w:rPr>
              <w:t xml:space="preserve">Professor fora de campo </w:t>
            </w:r>
          </w:p>
        </w:tc>
        <w:tc>
          <w:tcPr>
            <w:tcW w:w="6915" w:type="dxa"/>
            <w:tcBorders>
              <w:top w:val="single" w:sz="6" w:space="0" w:color="auto"/>
              <w:left w:val="single" w:sz="6" w:space="0" w:color="auto"/>
              <w:bottom w:val="single" w:sz="6" w:space="0" w:color="auto"/>
              <w:right w:val="single" w:sz="6" w:space="0" w:color="auto"/>
            </w:tcBorders>
            <w:shd w:val="clear" w:color="auto" w:fill="auto"/>
            <w:hideMark/>
          </w:tcPr>
          <w:p w14:paraId="6E620807" w14:textId="77777777" w:rsidR="00B551DC" w:rsidRPr="00CC1CB4" w:rsidRDefault="00000000" w:rsidP="00B551DC">
            <w:pPr>
              <w:spacing w:after="0" w:line="240" w:lineRule="auto"/>
              <w:textAlignment w:val="baseline"/>
              <w:rPr>
                <w:rFonts w:eastAsia="Times New Roman" w:cs="Times New Roman"/>
                <w:lang w:val="es-ES"/>
              </w:rPr>
            </w:pPr>
            <w:r>
              <w:rPr>
                <w:rFonts w:eastAsia="Times New Roman" w:cs="Times New Roman"/>
                <w:lang w:val="pt-BR"/>
              </w:rPr>
              <w:t xml:space="preserve">Um educador que ensina fora de sua área de certificação, conforme determinado pelo NJDOE. </w:t>
            </w:r>
          </w:p>
        </w:tc>
      </w:tr>
    </w:tbl>
    <w:p w14:paraId="0542D3DD" w14:textId="77777777" w:rsidR="00B551DC" w:rsidRPr="00CC1CB4" w:rsidRDefault="00000000" w:rsidP="00856537">
      <w:pPr>
        <w:pStyle w:val="A30"/>
      </w:pPr>
      <w:bookmarkStart w:id="109" w:name="_Toc199403721"/>
      <w:r>
        <w:t>Assistência técnica da LEA</w:t>
      </w:r>
      <w:bookmarkEnd w:id="109"/>
      <w:r>
        <w:t xml:space="preserve"> </w:t>
      </w:r>
    </w:p>
    <w:p w14:paraId="6FC6717E" w14:textId="77777777" w:rsidR="00B551DC" w:rsidRPr="00CC1CB4" w:rsidRDefault="00000000" w:rsidP="00D819D9">
      <w:pPr>
        <w:textAlignment w:val="baseline"/>
        <w:rPr>
          <w:rFonts w:ascii="Segoe UI" w:eastAsia="Times New Roman" w:hAnsi="Segoe UI" w:cs="Segoe UI"/>
          <w:sz w:val="18"/>
          <w:szCs w:val="18"/>
          <w:lang w:val="es-ES"/>
        </w:rPr>
      </w:pPr>
      <w:r>
        <w:rPr>
          <w:rFonts w:eastAsia="Times New Roman" w:cs="Times New Roman"/>
          <w:color w:val="000000"/>
          <w:lang w:val="pt-BR"/>
        </w:rPr>
        <w:t>Para apoiar as LEAs, o NJDOE compartilhará e revisará anualmente os relatórios de desempenho escolar e relatórios de nível da LEA com as LEAs para oferecer assistência técnica e suporte, conforme necessário. Incorporado na assistência técnica e sistemas de revisão existentes, incluindo o desenvolvimento de cada Plano de equidade abrangente da LEA, a equipe da Divisão de Suporte e Serviços de Campo do NJDOE trabalhará com as LEAs para analisar os dados do educador. A equipe do NJDOE oferecerá apoio direcionado adicional às LEAs, no qual estudantes</w:t>
      </w:r>
      <w:r>
        <w:rPr>
          <w:rFonts w:eastAsia="Times New Roman" w:cs="Times New Roman"/>
          <w:strike/>
          <w:color w:val="0078D4"/>
          <w:lang w:val="pt-BR"/>
        </w:rPr>
        <w:t xml:space="preserve"> </w:t>
      </w:r>
      <w:r>
        <w:rPr>
          <w:rFonts w:eastAsia="Times New Roman" w:cs="Times New Roman"/>
          <w:color w:val="000000"/>
          <w:lang w:val="pt-BR"/>
        </w:rPr>
        <w:t>minoritários ou estudantes economicamente desfavorecidos</w:t>
      </w:r>
      <w:r>
        <w:rPr>
          <w:rFonts w:eastAsia="Times New Roman" w:cs="Times New Roman"/>
          <w:strike/>
          <w:color w:val="0078D4"/>
          <w:lang w:val="pt-BR"/>
        </w:rPr>
        <w:t xml:space="preserve"> </w:t>
      </w:r>
      <w:r>
        <w:rPr>
          <w:rFonts w:eastAsia="Times New Roman" w:cs="Times New Roman"/>
          <w:color w:val="000000"/>
          <w:lang w:val="pt-BR"/>
        </w:rPr>
        <w:t xml:space="preserve">no Título I, Parte A, escolas são mais propensos do que seus colegas brancos ou de baixa renda a serem ensinados por professores ineficientes, inexperientes e fora de campo. </w:t>
      </w:r>
    </w:p>
    <w:p w14:paraId="2AFCCF0F" w14:textId="2E74F3FC" w:rsidR="003723AC" w:rsidRPr="00CC1CB4" w:rsidRDefault="00000000" w:rsidP="00D11F20">
      <w:pPr>
        <w:textAlignment w:val="baseline"/>
        <w:rPr>
          <w:rFonts w:eastAsia="Aptos" w:cs="Times New Roman"/>
          <w:color w:val="365F91" w:themeColor="accent1" w:themeShade="BF"/>
          <w:lang w:val="es-ES"/>
        </w:rPr>
      </w:pPr>
      <w:r>
        <w:rPr>
          <w:rStyle w:val="NJDOEResponse"/>
          <w:rFonts w:eastAsia="Times New Roman"/>
          <w:color w:val="365F91"/>
          <w:lang w:val="pt-BR"/>
        </w:rPr>
        <w:t>[finalizar resposta do NJDOE]</w:t>
      </w:r>
    </w:p>
    <w:p w14:paraId="3FA035A9" w14:textId="77777777" w:rsidR="00B551DC" w:rsidRPr="00CC1CB4" w:rsidRDefault="00000000" w:rsidP="003723AC">
      <w:pPr>
        <w:pStyle w:val="BeginUSED"/>
        <w:rPr>
          <w:rFonts w:ascii="Segoe UI" w:eastAsia="Times New Roman" w:hAnsi="Segoe UI" w:cs="Segoe UI"/>
          <w:sz w:val="18"/>
          <w:szCs w:val="18"/>
          <w:lang w:val="es-ES"/>
        </w:rPr>
      </w:pPr>
      <w:r>
        <w:rPr>
          <w:rFonts w:eastAsia="Times New Roman"/>
          <w:color w:val="FFFFFF"/>
          <w:szCs w:val="4"/>
          <w:lang w:val="pt-BR"/>
        </w:rPr>
        <w:t>[iniciar o texto do USED]</w:t>
      </w:r>
    </w:p>
    <w:p w14:paraId="00376B9E" w14:textId="77777777" w:rsidR="00E93B72" w:rsidRPr="00CC1CB4" w:rsidRDefault="00000000" w:rsidP="00E41CB4">
      <w:pPr>
        <w:pStyle w:val="2"/>
        <w:spacing w:before="0"/>
        <w:rPr>
          <w:lang w:val="es-ES"/>
        </w:rPr>
      </w:pPr>
      <w:bookmarkStart w:id="110" w:name="_Toc211004647"/>
      <w:r>
        <w:rPr>
          <w:rFonts w:eastAsia="Cambria"/>
          <w:szCs w:val="32"/>
          <w:lang w:val="pt-BR"/>
        </w:rPr>
        <w:t>6. Condições escolares (ESEA seção 1111(g)(1)(C))</w:t>
      </w:r>
      <w:bookmarkEnd w:id="110"/>
    </w:p>
    <w:p w14:paraId="692829FE" w14:textId="77777777" w:rsidR="00A46F4C" w:rsidRPr="00CC1CB4" w:rsidRDefault="00000000" w:rsidP="00E41CB4">
      <w:pPr>
        <w:pStyle w:val="blue"/>
        <w:spacing w:after="0"/>
        <w:ind w:left="0"/>
        <w:rPr>
          <w:lang w:val="es-ES"/>
        </w:rPr>
      </w:pPr>
      <w:r>
        <w:rPr>
          <w:rFonts w:ascii="Cambria" w:eastAsia="Cambria" w:hAnsi="Cambria"/>
          <w:lang w:val="pt-BR"/>
        </w:rPr>
        <w:t xml:space="preserve">Descrever como a agência SEA apoiará as LEAs recebendo assistência sob o Título I, Parte A, para melhorar as condições escolares para o aprendizado dos alunos, incluindo a redução de: </w:t>
      </w:r>
    </w:p>
    <w:p w14:paraId="44DFEBD0" w14:textId="77777777" w:rsidR="00A46F4C" w:rsidRPr="00CC1CB4" w:rsidRDefault="00000000">
      <w:pPr>
        <w:pStyle w:val="blue"/>
        <w:numPr>
          <w:ilvl w:val="0"/>
          <w:numId w:val="180"/>
        </w:numPr>
        <w:spacing w:after="0"/>
        <w:rPr>
          <w:lang w:val="es-ES"/>
        </w:rPr>
      </w:pPr>
      <w:r>
        <w:rPr>
          <w:rFonts w:ascii="Cambria" w:eastAsia="Cambria" w:hAnsi="Cambria"/>
          <w:lang w:val="pt-BR"/>
        </w:rPr>
        <w:t>incidências de bullying e assédio;</w:t>
      </w:r>
    </w:p>
    <w:p w14:paraId="5D665A0F" w14:textId="77777777" w:rsidR="00A46F4C" w:rsidRPr="00CC1CB4" w:rsidRDefault="00000000">
      <w:pPr>
        <w:pStyle w:val="blue"/>
        <w:numPr>
          <w:ilvl w:val="0"/>
          <w:numId w:val="180"/>
        </w:numPr>
        <w:spacing w:after="0"/>
        <w:rPr>
          <w:lang w:val="es-ES"/>
        </w:rPr>
      </w:pPr>
      <w:r>
        <w:rPr>
          <w:rFonts w:ascii="Cambria" w:eastAsia="Cambria" w:hAnsi="Cambria"/>
          <w:lang w:val="pt-BR"/>
        </w:rPr>
        <w:t>o uso excessivo de práticas disciplinares que removem os alunos da sala de aula;</w:t>
      </w:r>
    </w:p>
    <w:p w14:paraId="3A99E6F0" w14:textId="77777777" w:rsidR="00E93B72" w:rsidRPr="00CC1CB4" w:rsidRDefault="00000000">
      <w:pPr>
        <w:pStyle w:val="blue"/>
        <w:numPr>
          <w:ilvl w:val="0"/>
          <w:numId w:val="180"/>
        </w:numPr>
        <w:spacing w:after="0"/>
        <w:rPr>
          <w:lang w:val="es-ES"/>
        </w:rPr>
      </w:pPr>
      <w:r>
        <w:rPr>
          <w:rFonts w:ascii="Cambria" w:eastAsia="Cambria" w:hAnsi="Cambria"/>
          <w:lang w:val="pt-BR"/>
        </w:rPr>
        <w:t>o uso de intervenções comportamentais aversivas que comprometem a saúde e a segurança dos alunos.</w:t>
      </w:r>
    </w:p>
    <w:p w14:paraId="3D3D57D5" w14:textId="77777777" w:rsidR="003723AC" w:rsidRPr="00CC1CB4" w:rsidRDefault="00000000" w:rsidP="003723AC">
      <w:pPr>
        <w:pStyle w:val="EndUSED"/>
        <w:rPr>
          <w:lang w:val="es-ES"/>
        </w:rPr>
      </w:pPr>
      <w:r>
        <w:rPr>
          <w:rFonts w:eastAsia="Times New Roman"/>
          <w:color w:val="FFFFFF"/>
          <w:szCs w:val="4"/>
          <w:lang w:val="pt-BR"/>
        </w:rPr>
        <w:t xml:space="preserve">[finalizar texto do USED] </w:t>
      </w:r>
    </w:p>
    <w:p w14:paraId="755F6DA1" w14:textId="77777777" w:rsidR="00E93B72" w:rsidRPr="00CC1CB4" w:rsidRDefault="00000000" w:rsidP="0033188C">
      <w:pPr>
        <w:spacing w:before="240"/>
        <w:rPr>
          <w:rFonts w:asciiTheme="majorHAnsi" w:eastAsiaTheme="majorEastAsia" w:hAnsiTheme="majorHAnsi" w:cstheme="majorBidi"/>
          <w:color w:val="000000" w:themeColor="text1"/>
          <w:lang w:val="es-ES"/>
        </w:rPr>
      </w:pPr>
      <w:r>
        <w:rPr>
          <w:rStyle w:val="NJDOEResponse"/>
          <w:rFonts w:eastAsia="Times New Roman"/>
          <w:color w:val="365F91"/>
          <w:lang w:val="pt-BR"/>
        </w:rPr>
        <w:t>[iniciar a resposta do NJDOE]</w:t>
      </w:r>
    </w:p>
    <w:p w14:paraId="68FD9EDD" w14:textId="77777777" w:rsidR="00E93B72" w:rsidRPr="00CC1CB4" w:rsidRDefault="00000000" w:rsidP="00856537">
      <w:pPr>
        <w:pStyle w:val="A30"/>
      </w:pPr>
      <w:bookmarkStart w:id="111" w:name="_Toc199403723"/>
      <w:r>
        <w:t>Introdução</w:t>
      </w:r>
      <w:bookmarkEnd w:id="111"/>
    </w:p>
    <w:p w14:paraId="64C47B58" w14:textId="77777777" w:rsidR="00E93B72" w:rsidRPr="00CC1CB4" w:rsidRDefault="00000000" w:rsidP="00D819D9">
      <w:pPr>
        <w:rPr>
          <w:rFonts w:eastAsia="Times New Roman" w:cs="Times New Roman"/>
          <w:color w:val="000000" w:themeColor="text1"/>
          <w:sz w:val="24"/>
          <w:szCs w:val="24"/>
          <w:lang w:val="es-ES"/>
        </w:rPr>
      </w:pPr>
      <w:r>
        <w:rPr>
          <w:rFonts w:eastAsia="Times New Roman" w:cs="Times New Roman"/>
          <w:lang w:val="pt-BR"/>
        </w:rPr>
        <w:t xml:space="preserve">O NJDOE tem uma longa história de oferecer aos educadores uma riqueza de recursos e oportunidades de aprendizagem profissional para atender às necessidades exclusivas de seus alunos. Nos últimos anos, tem havido maior foco na criação de comunidades de aprendizagem seguras, pois as tendências de dados mostram que os alunos continuam a exibir desafios de saúde comportamental e mental desde a pandemia. Da mesma forma, as escolas que utilizam abordagens positivas para a disciplina normalmente têm maior sucesso em engajar os alunos. </w:t>
      </w:r>
    </w:p>
    <w:p w14:paraId="60BCD0DC" w14:textId="77777777" w:rsidR="00E93B72" w:rsidRPr="00CC1CB4" w:rsidRDefault="00000000" w:rsidP="00D819D9">
      <w:pPr>
        <w:rPr>
          <w:rFonts w:eastAsia="Times New Roman" w:cs="Times New Roman"/>
          <w:color w:val="000000" w:themeColor="text1"/>
          <w:sz w:val="24"/>
          <w:szCs w:val="24"/>
          <w:lang w:val="es-ES"/>
        </w:rPr>
      </w:pPr>
      <w:r>
        <w:rPr>
          <w:rFonts w:eastAsia="Times New Roman" w:cs="Times New Roman"/>
          <w:lang w:val="pt-BR"/>
        </w:rPr>
        <w:t xml:space="preserve">Apoiar a aprendizagem social e emocional continua a ser uma área de prioridade, uma vez que pesquisas mostram que alunos que frequentam escolas com climas escolares positivos e que aprendem habilidades </w:t>
      </w:r>
      <w:r>
        <w:rPr>
          <w:rFonts w:eastAsia="Times New Roman" w:cs="Times New Roman"/>
          <w:lang w:val="pt-BR"/>
        </w:rPr>
        <w:lastRenderedPageBreak/>
        <w:t xml:space="preserve">de aprendizagem social e emocional são mais propensos a frequentar a escola. O NJDOE pretende continuar a apoiar as LEAs na melhoria das condições escolares para a aprendizagem de todos os alunos, melhorando o clima escolar, promovendo a aprendizagem social e emocional e usando abordagens positivas para a disciplina. O NJDOE fornecerá suporte às LEAs, conectando-as com recursos que melhor se adaptem às necessidades e prioridades das várias atividades identificadas nesta seção. Além disso, o NJDOE planeja divulgar informações e auxiliar as LEAs na implementação de competências de aprendizagem social e emocional. </w:t>
      </w:r>
    </w:p>
    <w:p w14:paraId="46A5655B" w14:textId="77777777" w:rsidR="00E93B72" w:rsidRPr="00CC1CB4" w:rsidRDefault="00000000" w:rsidP="00D819D9">
      <w:pPr>
        <w:rPr>
          <w:rFonts w:eastAsia="Times New Roman" w:cs="Times New Roman"/>
          <w:color w:val="000000" w:themeColor="text1"/>
          <w:sz w:val="24"/>
          <w:szCs w:val="24"/>
          <w:lang w:val="es-ES"/>
        </w:rPr>
      </w:pPr>
      <w:r>
        <w:rPr>
          <w:rFonts w:eastAsia="Times New Roman" w:cs="Times New Roman"/>
          <w:lang w:val="pt-BR"/>
        </w:rPr>
        <w:t>Conforme descrito no Plano estadual da ESSA de 2017, o NJDOE tomou medidas significativas para promover políticas e práticas que levam a climas escolares positivos. Exemplos de políticas incluem aquelas que proíbem assédio, intimidação, ou bullying; estratégias de melhoria climática de escola de qualidade; códigos de conduta dos alunos que enfatizam expectativas comportamentais positivas e parâmetros para intervenção e remediação; programas de prevenção e intervenção contra drogas e álcool; e intervenção e serviços de referência projetados para apoiar os alunos com aprendizado, comportamento, ou dificuldades de saúde e ajudar a equipe que tem dificuldades em abordar a aprendizagem dos alunos, comportamento, ou necessidades de saúde. O NJDOE forneceu orientação, programas e serviços em colaboração com agências estaduais e comunitárias para promover escolas seguras e de apoio por meio da coleta de dados, relatórios e solicitações de assistência.</w:t>
      </w:r>
    </w:p>
    <w:p w14:paraId="522E414E" w14:textId="77777777" w:rsidR="00E93B72" w:rsidRPr="00CC1CB4" w:rsidRDefault="00000000" w:rsidP="00856537">
      <w:pPr>
        <w:pStyle w:val="A30"/>
      </w:pPr>
      <w:bookmarkStart w:id="112" w:name="_Toc199403724"/>
      <w:r>
        <w:t>Sistema de suporte em camadas de Nova Jersey (NJTSS) e suportes de comportamento positivo em escolas de Nova Jersey (NJPBSIS)</w:t>
      </w:r>
      <w:bookmarkEnd w:id="112"/>
      <w:r>
        <w:t xml:space="preserve"> </w:t>
      </w:r>
    </w:p>
    <w:p w14:paraId="538C20BB" w14:textId="77777777" w:rsidR="00E93B72" w:rsidRPr="00CC1CB4" w:rsidRDefault="00000000" w:rsidP="00D819D9">
      <w:pPr>
        <w:rPr>
          <w:rFonts w:eastAsia="Times New Roman" w:cs="Times New Roman"/>
          <w:color w:val="000000" w:themeColor="text1"/>
          <w:sz w:val="24"/>
          <w:szCs w:val="24"/>
          <w:lang w:val="es-ES"/>
        </w:rPr>
      </w:pPr>
      <w:r>
        <w:rPr>
          <w:rFonts w:eastAsia="Times New Roman" w:cs="Times New Roman"/>
          <w:lang w:val="pt-BR"/>
        </w:rPr>
        <w:t>A liderança e o compromisso do NJDOE são indicados em seu apoio à implementação de práticas baseadas em evidências</w:t>
      </w:r>
      <w:r>
        <w:rPr>
          <w:rFonts w:eastAsia="Times New Roman" w:cs="Times New Roman"/>
          <w:vertAlign w:val="superscript"/>
          <w:lang w:val="pt-BR"/>
        </w:rPr>
        <w:t>1</w:t>
      </w:r>
      <w:r>
        <w:rPr>
          <w:rFonts w:eastAsia="Times New Roman" w:cs="Times New Roman"/>
          <w:lang w:val="pt-BR"/>
        </w:rPr>
        <w:t xml:space="preserve"> por meio do Sistema de suporte em camadas de Nova Jersey (New Jersey Tiered System of Supports, NJTSS) e da iniciativa de Apoio ao comportamento positivo em escolas de Nova Jersey (New Jersey Positive Behavior Support in Schools, NJPBSIS). O NJTSS inclui uma cultura e clima escolares positivos como um de seus pilares fundamentais. Além disso, o sistema em níveis promove intervenções comportamentais positivas como uma estratégia para abordar efetivamente as necessidades de todos os alunos. </w:t>
      </w:r>
    </w:p>
    <w:p w14:paraId="41D08624" w14:textId="77777777" w:rsidR="00E93B72" w:rsidRPr="00CC1CB4" w:rsidRDefault="00000000" w:rsidP="00D819D9">
      <w:pPr>
        <w:rPr>
          <w:rFonts w:eastAsia="Times New Roman" w:cs="Times New Roman"/>
          <w:color w:val="000000" w:themeColor="text1"/>
          <w:sz w:val="24"/>
          <w:szCs w:val="24"/>
          <w:lang w:val="es-ES"/>
        </w:rPr>
      </w:pPr>
      <w:r>
        <w:rPr>
          <w:rFonts w:eastAsia="Times New Roman" w:cs="Times New Roman"/>
          <w:lang w:val="pt-BR"/>
        </w:rPr>
        <w:t xml:space="preserve">A NJPBSIS, apoiada pelo financiamento da IDEA Parte B, é uma colaboração entre a NJDOE e o The Boggs Center on Developmental Disabilities na Rutgers Robert Wood Johnson Medical School. A NJPBSIS começou em 2000 e oferece treinamento extensivo e assistência técnica para escolas em Nova Jersey. A NJPBSIS solicita que as LEAs que receberam treinamento forneçam inventários anuais de fidelidade para manter uma lista de implementadores. De ano para ano, aproximadamente 200 escolas fornecem seus dados de implementação. As escolas que implementam com 70% de fidelidade ou mais são reconhecidas com um “crachá” digital que pode ser exibido em seu site. Anualmente, os dados de suspensão em nível de LEA são compilados, e as 10% melhores LEAs com as maiores taxas de suspensão de alunos com deficiências são convidados a se inscrever no grupo de treinamento da NJPBSIS. A NJPBSIS é uma abordagem preventiva de várias camadas para toda a escola que resultou consistentemente em referências reduzidas de conduta no escritório e suspensões fora da escola para estudantes de educação geral, bem como para estudantes com deficiências quando é implementado com fidelidade de 70% ou mais. </w:t>
      </w:r>
    </w:p>
    <w:p w14:paraId="77B6F59B" w14:textId="77777777" w:rsidR="00E93B72" w:rsidRPr="00CC1CB4" w:rsidRDefault="00000000" w:rsidP="0033188C">
      <w:pPr>
        <w:rPr>
          <w:rFonts w:eastAsia="Times New Roman" w:cs="Times New Roman"/>
          <w:color w:val="000000" w:themeColor="text1"/>
          <w:sz w:val="24"/>
          <w:szCs w:val="24"/>
          <w:lang w:val="es-ES"/>
        </w:rPr>
      </w:pPr>
      <w:r>
        <w:rPr>
          <w:rFonts w:eastAsia="Times New Roman" w:cs="Times New Roman"/>
          <w:lang w:val="pt-BR"/>
        </w:rPr>
        <w:t xml:space="preserve">Anualmente, a NJPBSIS matricula um novo grupo de até 35 escolas para um processo de desenvolvimento profissional de três anos. A inscrição está aberta a todas as LEAs e, para verificar a </w:t>
      </w:r>
      <w:r>
        <w:rPr>
          <w:rFonts w:eastAsia="Times New Roman" w:cs="Times New Roman"/>
          <w:lang w:val="pt-BR"/>
        </w:rPr>
        <w:lastRenderedPageBreak/>
        <w:t xml:space="preserve">prontidão e o compromisso administrativo, apenas as escolas selecionadas por meio do processo de candidatura competitiva são elegíveis para treinamento e suporte de orientação. No entanto, recursos extensos estão disponíveis on-line para qualquer escola interessada em implementar a abordagem. </w:t>
      </w:r>
    </w:p>
    <w:p w14:paraId="40F9360B" w14:textId="77777777" w:rsidR="00E93B72" w:rsidRPr="00CC1CB4" w:rsidRDefault="00000000" w:rsidP="00856537">
      <w:pPr>
        <w:pStyle w:val="A30"/>
      </w:pPr>
      <w:bookmarkStart w:id="113" w:name="_Toc199403725"/>
      <w:r>
        <w:t>Clima escolar</w:t>
      </w:r>
      <w:bookmarkEnd w:id="113"/>
    </w:p>
    <w:p w14:paraId="339B0BDA" w14:textId="77777777" w:rsidR="00E93B72" w:rsidRPr="00CC1CB4" w:rsidRDefault="00000000" w:rsidP="00D819D9">
      <w:pPr>
        <w:rPr>
          <w:rFonts w:eastAsia="Times New Roman" w:cs="Times New Roman"/>
          <w:color w:val="000000" w:themeColor="text1"/>
          <w:sz w:val="24"/>
          <w:szCs w:val="24"/>
          <w:lang w:val="es-ES"/>
        </w:rPr>
      </w:pPr>
      <w:r>
        <w:rPr>
          <w:rFonts w:eastAsia="Times New Roman" w:cs="Times New Roman"/>
          <w:lang w:val="pt-BR"/>
        </w:rPr>
        <w:t xml:space="preserve">Para apoiar as escolas em sua avaliação do clima escolar, o NJDOE, em colaboração com o Projeto de Transformação Climática Escolar (SCTP) na Rutgers University, desenvolveu a Pesquisa de Melhoria Climática da Escola de Nova Jersey (New Jersey School Climate Improvement Survey, NJ-SCI), que substitui a Pesquisa Climática da Escola de Nova Jersey (New Jersey School Climate Survey, NJCSC) e foi desenvolvida com as necessidades específicas das escolas de Nova Jersey em mente. A pesquisa NJ-SCI foi criada para ajudar as escolas a identificar os pontos fortes e as necessidades climáticas escolares e usar dados para criar planos estratégicos para melhorar as condições de ensino e aprendizagem. A plataforma da NJ-SCI é um aplicativo gratuito, baseado na web, projetado para aumentar o acesso da LEA e da escola a ferramentas e recursos para planejamento e implementação de melhoria climática escolar orientado por dados. </w:t>
      </w:r>
    </w:p>
    <w:p w14:paraId="5E228B73" w14:textId="77777777" w:rsidR="00E93B72" w:rsidRPr="00CC1CB4" w:rsidRDefault="00000000" w:rsidP="00D819D9">
      <w:pPr>
        <w:rPr>
          <w:rFonts w:eastAsia="Times New Roman" w:cs="Times New Roman"/>
          <w:color w:val="000000" w:themeColor="text1"/>
          <w:sz w:val="24"/>
          <w:szCs w:val="24"/>
          <w:lang w:val="es-ES"/>
        </w:rPr>
      </w:pPr>
      <w:r>
        <w:rPr>
          <w:rFonts w:eastAsia="Times New Roman" w:cs="Times New Roman"/>
          <w:lang w:val="pt-BR"/>
        </w:rPr>
        <w:t>Este instrumento válido, confiável e gratuito pode ser usado para coletar e analisar respostas de alunos, funcionários e pais/cuidadores em cinco domínios, bem como medir condições de aprendizagem em oito áreas para reforçar condições positivas e abordar vulnerabilidades em condições de aprendizagem locais. A pesquisa e as ferramentas de comunicação associadas estão disponíveis em vários idiomas para alunos e pais/cuidadores. O NJDOE desenvolveu a Pesquisa de clima escolar para a LEA e as equipes de liderança escolar para analisar os resultados da pesquisa de clima escolar, identificar as necessidades climáticas e selecionar, implementar e sustentar intervenções apropriadas, como a PBSIS. São fornecidos recursos on-line para expandir e auxiliar as LEAs na identificação de estratégias e intervenções baseadas em evidências para atender às necessidades identificadas. O NJDOE também finalizou o desenvolvimento de competências de aprendizagem social e emocional e materiais de apoio para promover climas escolares positivos e abordagens positivas para melhorar o comportamento dos alunos. Competências e materiais de apoio de aprendizagem social e emocional são o resultado de um grupo de trabalho liderado pelo NJDOE composto por funcionários do NJDOE de várias divisões; professores e administradores; líderes de associações de educação em todo o estado; especialistas nas áreas de clima escolar e aprendizagem social e emocional; e representantes de ensino superior, justiça juvenil, saúde mental, uso de substâncias, prevenção de suicídio, deficiências, proteção infantil e educação profissional e técnica. Nos últimos dois anos, o grupo de trabalho analisou a pesquisa, examinou padrões em outros estados e desenvolveu as competências e materiais de apoio para fornecer às escolas recursos práticos que podem ser implementados com fidelidade e sustentados para apoiar o desenvolvimento positivo dos alunos.</w:t>
      </w:r>
    </w:p>
    <w:p w14:paraId="6E4CB223" w14:textId="77777777" w:rsidR="00E93B72" w:rsidRPr="00CC1CB4" w:rsidRDefault="00000000" w:rsidP="00D819D9">
      <w:pPr>
        <w:rPr>
          <w:rFonts w:eastAsia="Times New Roman" w:cs="Times New Roman"/>
          <w:color w:val="000000" w:themeColor="text1"/>
          <w:sz w:val="24"/>
          <w:szCs w:val="24"/>
          <w:lang w:val="es-ES"/>
        </w:rPr>
      </w:pPr>
      <w:r>
        <w:rPr>
          <w:rFonts w:eastAsia="Times New Roman" w:cs="Times New Roman"/>
          <w:lang w:val="pt-BR"/>
        </w:rPr>
        <w:t xml:space="preserve">O NJDOE tem o compromisso de ajudar as LEAs a apoiar ambientes de aprendizagem que aumentem o engajamento e a motivação e afetem positivamente a realização acadêmica, as taxas de formação e o comportamento dos alunos. O foco em estratégias de instrução específicas no desenvolvimento de recursos de instrução on-line projetados através da lente da </w:t>
      </w:r>
      <w:hyperlink r:id="rId37">
        <w:r w:rsidR="00E93B72">
          <w:rPr>
            <w:rFonts w:eastAsia="Times New Roman" w:cs="Times New Roman"/>
            <w:color w:val="0000FF"/>
            <w:u w:val="single"/>
            <w:lang w:val="pt-BR"/>
          </w:rPr>
          <w:t>estrutura de Design Universal para Aprendizagem (Universal Design for Learning, UDL)</w:t>
        </w:r>
      </w:hyperlink>
      <w:r>
        <w:rPr>
          <w:rFonts w:eastAsia="Times New Roman" w:cs="Times New Roman"/>
          <w:lang w:val="pt-BR"/>
        </w:rPr>
        <w:t xml:space="preserve"> permitirá aos educadores a oportunidade de dominar práticas baseadas em pesquisa que fazem a diferença. Esses recursos, combinados com a assistência intradepartamental, colaborativa e direcionada com as iniciativas do NJDOE mencionadas acima, apoiam diretamente o cumprimento de uma educação completa.</w:t>
      </w:r>
    </w:p>
    <w:p w14:paraId="0F5AD01F" w14:textId="77777777" w:rsidR="00E93B72" w:rsidRPr="00CC1CB4" w:rsidRDefault="00000000" w:rsidP="00856537">
      <w:pPr>
        <w:pStyle w:val="A30"/>
      </w:pPr>
      <w:bookmarkStart w:id="114" w:name="_Toc199403726"/>
      <w:r>
        <w:lastRenderedPageBreak/>
        <w:t>Suportes abrangentes para promover a participação</w:t>
      </w:r>
      <w:bookmarkEnd w:id="114"/>
    </w:p>
    <w:p w14:paraId="29EEDBDA" w14:textId="77777777" w:rsidR="00A1784C" w:rsidRPr="00CC1CB4" w:rsidRDefault="00000000" w:rsidP="00D819D9">
      <w:pPr>
        <w:rPr>
          <w:rFonts w:cs="Times New Roman"/>
          <w:lang w:val="es-ES"/>
        </w:rPr>
      </w:pPr>
      <w:r>
        <w:rPr>
          <w:rFonts w:eastAsia="Times New Roman" w:cs="Times New Roman"/>
          <w:lang w:val="pt-BR"/>
        </w:rPr>
        <w:t xml:space="preserve">Para complementar os esforços atuais descritos acima, bem como para auxiliar as LEAs na redução das taxas de absenteísmo crônico, o NJDOE usou fundos estaduais para apoiar um membro da equipe que fornece liderança no desenvolvimento e implementação de: </w:t>
      </w:r>
    </w:p>
    <w:p w14:paraId="4B750293" w14:textId="77777777" w:rsidR="00A1784C" w:rsidRPr="00CC1CB4" w:rsidRDefault="00000000">
      <w:pPr>
        <w:pStyle w:val="a6"/>
        <w:numPr>
          <w:ilvl w:val="0"/>
          <w:numId w:val="181"/>
        </w:numPr>
        <w:rPr>
          <w:rFonts w:eastAsia="Times New Roman" w:cs="Times New Roman"/>
          <w:color w:val="000000" w:themeColor="text1"/>
          <w:sz w:val="24"/>
          <w:szCs w:val="24"/>
          <w:lang w:val="es-ES"/>
        </w:rPr>
      </w:pPr>
      <w:r>
        <w:rPr>
          <w:rFonts w:eastAsia="Times New Roman" w:cs="Times New Roman"/>
          <w:lang w:val="pt-BR"/>
        </w:rPr>
        <w:t>melhores práticas e programas para abordar o absenteísmo crônico;</w:t>
      </w:r>
    </w:p>
    <w:p w14:paraId="62F0AD13" w14:textId="77777777" w:rsidR="00A1784C" w:rsidRPr="00CC1CB4" w:rsidRDefault="00000000">
      <w:pPr>
        <w:pStyle w:val="a6"/>
        <w:numPr>
          <w:ilvl w:val="0"/>
          <w:numId w:val="181"/>
        </w:numPr>
        <w:rPr>
          <w:rFonts w:eastAsia="Times New Roman" w:cs="Times New Roman"/>
          <w:color w:val="000000" w:themeColor="text1"/>
          <w:sz w:val="24"/>
          <w:szCs w:val="24"/>
          <w:lang w:val="es-ES"/>
        </w:rPr>
      </w:pPr>
      <w:r>
        <w:rPr>
          <w:rFonts w:eastAsia="Times New Roman" w:cs="Times New Roman"/>
          <w:lang w:val="pt-BR"/>
        </w:rPr>
        <w:t>estratégias para monitorar e avaliar o absenteísmo crônico;</w:t>
      </w:r>
    </w:p>
    <w:p w14:paraId="462C8C6A" w14:textId="77777777" w:rsidR="00A1784C" w:rsidRPr="00CC1CB4" w:rsidRDefault="00000000">
      <w:pPr>
        <w:pStyle w:val="a6"/>
        <w:numPr>
          <w:ilvl w:val="0"/>
          <w:numId w:val="181"/>
        </w:numPr>
        <w:rPr>
          <w:rFonts w:eastAsia="Times New Roman" w:cs="Times New Roman"/>
          <w:color w:val="000000" w:themeColor="text1"/>
          <w:sz w:val="24"/>
          <w:szCs w:val="24"/>
          <w:lang w:val="es-ES"/>
        </w:rPr>
      </w:pPr>
      <w:r>
        <w:rPr>
          <w:rFonts w:eastAsia="Times New Roman" w:cs="Times New Roman"/>
          <w:lang w:val="pt-BR"/>
        </w:rPr>
        <w:t>programas e técnicas de prevenção e intervenção;</w:t>
      </w:r>
    </w:p>
    <w:p w14:paraId="3613A888" w14:textId="77777777" w:rsidR="00A1784C" w:rsidRPr="00CC1CB4" w:rsidRDefault="00000000">
      <w:pPr>
        <w:pStyle w:val="a6"/>
        <w:numPr>
          <w:ilvl w:val="0"/>
          <w:numId w:val="181"/>
        </w:numPr>
        <w:rPr>
          <w:rFonts w:eastAsia="Times New Roman" w:cs="Times New Roman"/>
          <w:color w:val="000000" w:themeColor="text1"/>
          <w:sz w:val="24"/>
          <w:szCs w:val="24"/>
          <w:lang w:val="es-ES"/>
        </w:rPr>
      </w:pPr>
      <w:r>
        <w:rPr>
          <w:rFonts w:eastAsia="Times New Roman" w:cs="Times New Roman"/>
          <w:lang w:val="pt-BR"/>
        </w:rPr>
        <w:t>treinamento, assistência técnica e recursos;</w:t>
      </w:r>
    </w:p>
    <w:p w14:paraId="2B354412" w14:textId="77777777" w:rsidR="00E93B72" w:rsidRPr="00CC1CB4" w:rsidRDefault="00000000">
      <w:pPr>
        <w:pStyle w:val="a6"/>
        <w:numPr>
          <w:ilvl w:val="0"/>
          <w:numId w:val="181"/>
        </w:numPr>
        <w:rPr>
          <w:rFonts w:eastAsia="Times New Roman" w:cs="Times New Roman"/>
          <w:color w:val="000000" w:themeColor="text1"/>
          <w:sz w:val="24"/>
          <w:szCs w:val="24"/>
          <w:lang w:val="es-ES"/>
        </w:rPr>
      </w:pPr>
      <w:r>
        <w:rPr>
          <w:rFonts w:eastAsia="Times New Roman" w:cs="Times New Roman"/>
          <w:lang w:val="pt-BR"/>
        </w:rPr>
        <w:t>limpeza, análise e relato de dados de absenteísmo crônico. As taxas de absenteísmo crônico, que estão incluídas no sistema de responsabilidade da ESSA do estado, também podem ser usadas como uma medida para ajudar as LEAs a avaliar continuamente o clima escolar e os esforços de aprendizagem social e emocional.</w:t>
      </w:r>
    </w:p>
    <w:p w14:paraId="35813823" w14:textId="77777777" w:rsidR="00E93B72" w:rsidRPr="00CC1CB4" w:rsidRDefault="00000000" w:rsidP="00D819D9">
      <w:pPr>
        <w:rPr>
          <w:rFonts w:eastAsia="Times New Roman" w:cs="Times New Roman"/>
          <w:color w:val="000000" w:themeColor="text1"/>
          <w:sz w:val="24"/>
          <w:szCs w:val="24"/>
          <w:lang w:val="es-ES"/>
        </w:rPr>
      </w:pPr>
      <w:r>
        <w:rPr>
          <w:rFonts w:eastAsia="Times New Roman" w:cs="Times New Roman"/>
          <w:lang w:val="pt-BR"/>
        </w:rPr>
        <w:t xml:space="preserve">Mais recentemente, a </w:t>
      </w:r>
      <w:r>
        <w:rPr>
          <w:rFonts w:eastAsia="Times New Roman" w:cs="Times New Roman"/>
          <w:i/>
          <w:iCs/>
          <w:lang w:val="pt-BR"/>
        </w:rPr>
        <w:t>Tomada de decisão baseada em dados para abordar o absenteísmo crônico</w:t>
      </w:r>
      <w:r>
        <w:rPr>
          <w:rFonts w:eastAsia="Times New Roman" w:cs="Times New Roman"/>
          <w:lang w:val="pt-BR"/>
        </w:rPr>
        <w:t xml:space="preserve"> foi desenvolvida para fornecer às LEAs orientação sobre como responder ao absenteísmo crônico. A orientação incorpora regras, regulamentos específicos de Nova Jersey e uma gama de recursos disponíveis. As LEAs são incentivadas a consultar este recurso para desenvolver planos de ação baseados em pesquisa que incluam estratégias que visam especificamente as barreiras que contribuem para as ausências de seus alunos. Este recurso fornece um guia passo a passo que começa com a identificação dos principais membros da LEA, coleta e análise de dados acionáveis e apoia a LEA na instalação e operação de um modelo em níveis para abordar o absenteísmo dos alunos e incentivar a frequência regular.</w:t>
      </w:r>
    </w:p>
    <w:p w14:paraId="39536923" w14:textId="77777777" w:rsidR="00E93B72" w:rsidRPr="00CC1CB4" w:rsidRDefault="00000000" w:rsidP="00D819D9">
      <w:pPr>
        <w:rPr>
          <w:rFonts w:eastAsia="Times New Roman" w:cs="Times New Roman"/>
          <w:color w:val="000000" w:themeColor="text1"/>
          <w:sz w:val="24"/>
          <w:szCs w:val="24"/>
          <w:lang w:val="es-ES"/>
        </w:rPr>
      </w:pPr>
      <w:r>
        <w:rPr>
          <w:rFonts w:eastAsia="Times New Roman" w:cs="Times New Roman"/>
          <w:lang w:val="pt-BR"/>
        </w:rPr>
        <w:t>Para que os alunos aprendam e alcancem todo o seu potencial, é fundamental que estejam na escola e envolvidos no processo de aprendizagem. A ideia por trás de uma abordagem multicamadas é que a maioria dos alunos responderá às estratégias de toda a escola para melhorar a frequência e o engajamento (suporte de Nível 1), mas que essas estratégias não serão suficientes para todos os alunos: alguns alunos exigem suporte mais personalizado (Nível 2) e um número ainda menor pode precisar de medidas mais intensivas (Nível 3) para reconectá-los com a escola. Pesquisas mostram que ausências de alunos afetam a capacidade de uma criança de ter sucesso na escola.</w:t>
      </w:r>
      <w:r>
        <w:rPr>
          <w:rFonts w:eastAsia="Times New Roman" w:cs="Times New Roman"/>
          <w:vertAlign w:val="superscript"/>
          <w:lang w:val="pt-BR"/>
        </w:rPr>
        <w:t>2</w:t>
      </w:r>
      <w:r>
        <w:rPr>
          <w:rFonts w:eastAsia="Times New Roman" w:cs="Times New Roman"/>
          <w:lang w:val="pt-BR"/>
        </w:rPr>
        <w:t xml:space="preserve"> </w:t>
      </w:r>
    </w:p>
    <w:p w14:paraId="4FF5360F" w14:textId="77777777" w:rsidR="00E93B72" w:rsidRPr="00CC1CB4" w:rsidRDefault="00000000" w:rsidP="00D819D9">
      <w:pPr>
        <w:rPr>
          <w:rFonts w:eastAsia="Times New Roman" w:cs="Times New Roman"/>
          <w:color w:val="000000" w:themeColor="text1"/>
          <w:sz w:val="24"/>
          <w:szCs w:val="24"/>
          <w:lang w:val="es-ES"/>
        </w:rPr>
      </w:pPr>
      <w:r>
        <w:rPr>
          <w:rFonts w:eastAsia="Times New Roman" w:cs="Times New Roman"/>
          <w:lang w:val="pt-BR"/>
        </w:rPr>
        <w:t xml:space="preserve">Além do apoio mencionado acima, o NJDOE continuará a apoiar as LEAs no uso de fundos sob o Título I, Parte A para atender às necessidades de toda a criança, o que inclui o bem-estar social e emocional dos alunos. Atualmente, o NJDOE incentiva as LEAs a se envolverem em uma revisão abrangente da cultura escolar, incluindo disciplina e comportamento dos alunos, definirem objetivos de aprendizagem para aprendizagem social e emocional, resolução de conflitos, segurança escolar, e programa iniciativas e abordagens relacionadas ao clima escolar como parte da avaliação de necessidades para o Título I, Parte A. Ao identificar essas questões como necessidades que afetam o sucesso acadêmico dos alunos, as LEAs podem usar os fundos do seu Título I, Parte A para a implementação das intervenções apropriadas e desenvolvimento profissional para abordar questões como bullying e assédio, e práticas disciplinares questionáveis. Além disso, em colaboração com as partes interessadas, o NJDOE está publicando um documento de “Orientação baseada em atividade da ESA” para apoiar o uso do Título I, Parte A, incluindo, entre outros, sistemas de suporte em vários níveis, como o </w:t>
      </w:r>
      <w:r>
        <w:rPr>
          <w:rFonts w:eastAsia="Times New Roman" w:cs="Times New Roman"/>
          <w:lang w:val="pt-BR"/>
        </w:rPr>
        <w:br/>
      </w:r>
      <w:hyperlink r:id="rId38">
        <w:r w:rsidR="00E93B72">
          <w:rPr>
            <w:rFonts w:eastAsia="Times New Roman" w:cs="Times New Roman"/>
            <w:color w:val="0000FF"/>
            <w:u w:val="single"/>
            <w:lang w:val="pt-BR"/>
          </w:rPr>
          <w:t>Sistema de suporte em camadas de Nova Jersey (NJTSS).</w:t>
        </w:r>
      </w:hyperlink>
      <w:r>
        <w:rPr>
          <w:rFonts w:eastAsia="Times New Roman" w:cs="Times New Roman"/>
          <w:lang w:val="pt-BR"/>
        </w:rPr>
        <w:t xml:space="preserve"> O recurso orienta as LEAs sobre como usar os fundos do Título I, Parte A, para apoiar um sistema bem-sucedido em:</w:t>
      </w:r>
    </w:p>
    <w:p w14:paraId="0D27CF32" w14:textId="77777777" w:rsidR="00E93B72" w:rsidRPr="00CC1CB4" w:rsidRDefault="00000000" w:rsidP="009C11F3">
      <w:pPr>
        <w:pStyle w:val="a6"/>
        <w:numPr>
          <w:ilvl w:val="0"/>
          <w:numId w:val="6"/>
        </w:numPr>
        <w:rPr>
          <w:rFonts w:eastAsia="Times New Roman" w:cs="Times New Roman"/>
          <w:color w:val="000000" w:themeColor="text1"/>
          <w:sz w:val="24"/>
          <w:szCs w:val="24"/>
          <w:lang w:val="es-ES"/>
        </w:rPr>
      </w:pPr>
      <w:r>
        <w:rPr>
          <w:rFonts w:eastAsia="Times New Roman" w:cs="Times New Roman"/>
          <w:lang w:val="pt-BR"/>
        </w:rPr>
        <w:lastRenderedPageBreak/>
        <w:t>abordar as necessidades acadêmicas, comportamentais, socioemocionais e de saúde dos alunos usando dados;</w:t>
      </w:r>
    </w:p>
    <w:p w14:paraId="4B445A4D" w14:textId="77777777" w:rsidR="00E93B72" w:rsidRPr="00CC1CB4" w:rsidRDefault="00000000" w:rsidP="009C11F3">
      <w:pPr>
        <w:pStyle w:val="a6"/>
        <w:numPr>
          <w:ilvl w:val="0"/>
          <w:numId w:val="6"/>
        </w:numPr>
        <w:rPr>
          <w:rFonts w:eastAsia="Times New Roman" w:cs="Times New Roman"/>
          <w:color w:val="000000" w:themeColor="text1"/>
          <w:sz w:val="24"/>
          <w:szCs w:val="24"/>
          <w:lang w:val="es-ES"/>
        </w:rPr>
      </w:pPr>
      <w:r>
        <w:rPr>
          <w:rFonts w:eastAsia="Times New Roman" w:cs="Times New Roman"/>
          <w:lang w:val="pt-BR"/>
        </w:rPr>
        <w:t>promover um clima escolar positivo e aprendizagem social e emocional;</w:t>
      </w:r>
    </w:p>
    <w:p w14:paraId="18490B1A" w14:textId="77777777" w:rsidR="00E93B72" w:rsidRPr="002B2AC3" w:rsidRDefault="00000000" w:rsidP="009C11F3">
      <w:pPr>
        <w:pStyle w:val="a6"/>
        <w:numPr>
          <w:ilvl w:val="0"/>
          <w:numId w:val="6"/>
        </w:numPr>
        <w:rPr>
          <w:rFonts w:eastAsia="Times New Roman" w:cs="Times New Roman"/>
          <w:color w:val="000000" w:themeColor="text1"/>
          <w:sz w:val="24"/>
          <w:szCs w:val="24"/>
        </w:rPr>
      </w:pPr>
      <w:r>
        <w:rPr>
          <w:rFonts w:eastAsia="Times New Roman" w:cs="Times New Roman"/>
          <w:lang w:val="pt-BR"/>
        </w:rPr>
        <w:t>reduzir a desproporcionalidade;</w:t>
      </w:r>
    </w:p>
    <w:p w14:paraId="453B90BA" w14:textId="77777777" w:rsidR="00E93B72" w:rsidRPr="00CC1CB4" w:rsidRDefault="00000000" w:rsidP="009C11F3">
      <w:pPr>
        <w:pStyle w:val="a6"/>
        <w:numPr>
          <w:ilvl w:val="0"/>
          <w:numId w:val="6"/>
        </w:numPr>
        <w:rPr>
          <w:rFonts w:eastAsia="Times New Roman" w:cs="Times New Roman"/>
          <w:color w:val="000000" w:themeColor="text1"/>
          <w:sz w:val="24"/>
          <w:szCs w:val="24"/>
          <w:lang w:val="es-ES"/>
        </w:rPr>
      </w:pPr>
      <w:r>
        <w:rPr>
          <w:rFonts w:eastAsia="Times New Roman" w:cs="Times New Roman"/>
          <w:lang w:val="pt-BR"/>
        </w:rPr>
        <w:t>usar abordagens positivas à disciplina para reduzir o uso de práticas disciplinares excludentes, como suspensões e intervenções comportamentais aversivas;</w:t>
      </w:r>
    </w:p>
    <w:p w14:paraId="192C16D3" w14:textId="77777777" w:rsidR="00E93B72" w:rsidRPr="00CC1CB4" w:rsidRDefault="00000000" w:rsidP="009C11F3">
      <w:pPr>
        <w:pStyle w:val="a6"/>
        <w:numPr>
          <w:ilvl w:val="0"/>
          <w:numId w:val="6"/>
        </w:numPr>
        <w:rPr>
          <w:rFonts w:eastAsia="Times New Roman" w:cs="Times New Roman"/>
          <w:color w:val="000000" w:themeColor="text1"/>
          <w:sz w:val="24"/>
          <w:szCs w:val="24"/>
          <w:lang w:val="es-ES"/>
        </w:rPr>
      </w:pPr>
      <w:r>
        <w:rPr>
          <w:rFonts w:eastAsia="Times New Roman" w:cs="Times New Roman"/>
          <w:lang w:val="pt-BR"/>
        </w:rPr>
        <w:t>melhorar a realização acadêmica e a realização de metas após o secundário.</w:t>
      </w:r>
    </w:p>
    <w:p w14:paraId="4B745BAB" w14:textId="77777777" w:rsidR="00E93B72" w:rsidRPr="00CC1CB4" w:rsidRDefault="00000000" w:rsidP="00D819D9">
      <w:pPr>
        <w:rPr>
          <w:rFonts w:eastAsia="Times New Roman" w:cs="Times New Roman"/>
          <w:color w:val="365F91" w:themeColor="accent1" w:themeShade="BF"/>
          <w:lang w:val="es-ES"/>
        </w:rPr>
      </w:pPr>
      <w:r>
        <w:rPr>
          <w:rStyle w:val="NJDOEResponse"/>
          <w:rFonts w:eastAsia="Times New Roman"/>
          <w:color w:val="365F91"/>
          <w:lang w:val="pt-BR"/>
        </w:rPr>
        <w:t>[finalizar resposta do NJDOE]</w:t>
      </w:r>
    </w:p>
    <w:p w14:paraId="49ED7FBE" w14:textId="77777777" w:rsidR="00E93B72" w:rsidRPr="00CC1CB4" w:rsidRDefault="00000000" w:rsidP="003723AC">
      <w:pPr>
        <w:pStyle w:val="BeginUSED"/>
        <w:rPr>
          <w:rFonts w:asciiTheme="majorHAnsi" w:eastAsiaTheme="majorEastAsia" w:hAnsiTheme="majorHAnsi" w:cstheme="majorBidi"/>
          <w:color w:val="365F91" w:themeColor="accent1" w:themeShade="BF"/>
          <w:lang w:val="es-ES"/>
        </w:rPr>
      </w:pPr>
      <w:r>
        <w:rPr>
          <w:rFonts w:eastAsia="Times New Roman"/>
          <w:color w:val="FFFFFF"/>
          <w:szCs w:val="4"/>
          <w:lang w:val="pt-BR"/>
        </w:rPr>
        <w:t>[iniciar o texto do USED]</w:t>
      </w:r>
    </w:p>
    <w:p w14:paraId="374A86F2" w14:textId="77777777" w:rsidR="00E93B72" w:rsidRPr="00CC1CB4" w:rsidRDefault="00000000" w:rsidP="00E41CB4">
      <w:pPr>
        <w:pStyle w:val="2"/>
        <w:spacing w:before="0"/>
        <w:rPr>
          <w:lang w:val="es-ES"/>
        </w:rPr>
      </w:pPr>
      <w:bookmarkStart w:id="115" w:name="_Toc211004648"/>
      <w:r>
        <w:rPr>
          <w:rFonts w:eastAsia="Cambria"/>
          <w:szCs w:val="32"/>
          <w:lang w:val="pt-BR"/>
        </w:rPr>
        <w:t>7</w:t>
      </w:r>
      <w:r>
        <w:rPr>
          <w:rFonts w:eastAsia="Cambria"/>
          <w:b w:val="0"/>
          <w:bCs w:val="0"/>
          <w:szCs w:val="32"/>
          <w:lang w:val="pt-BR"/>
        </w:rPr>
        <w:t>.</w:t>
      </w:r>
      <w:r>
        <w:rPr>
          <w:rFonts w:eastAsia="Cambria"/>
          <w:szCs w:val="32"/>
          <w:lang w:val="pt-BR"/>
        </w:rPr>
        <w:t xml:space="preserve"> Transições escolares (seção ESEA 1111(g)(1)(D))</w:t>
      </w:r>
      <w:bookmarkEnd w:id="115"/>
    </w:p>
    <w:p w14:paraId="4127D379" w14:textId="77777777" w:rsidR="00E93B72" w:rsidRPr="00CC1CB4" w:rsidRDefault="00000000" w:rsidP="00E41CB4">
      <w:pPr>
        <w:spacing w:after="0"/>
        <w:rPr>
          <w:rFonts w:asciiTheme="majorHAnsi" w:eastAsiaTheme="majorEastAsia" w:hAnsiTheme="majorHAnsi" w:cstheme="majorBidi"/>
          <w:color w:val="244061" w:themeColor="accent1" w:themeShade="80"/>
          <w:lang w:val="es-ES"/>
        </w:rPr>
      </w:pPr>
      <w:r>
        <w:rPr>
          <w:rFonts w:ascii="Cambria" w:eastAsia="Cambria" w:hAnsi="Cambria" w:cs="Times New Roman"/>
          <w:color w:val="244061"/>
          <w:lang w:val="pt-BR"/>
        </w:rPr>
        <w:t>Descrever como o estado apoiará as LEAs a receber assistência sob o Título I, Parte A para atender às necessidades dos alunos em todos os níveis de escolaridade (especialmente alunos no ensino médio e médio), incluindo como o estado trabalhará com tais LEAs para fornecer transições eficazes de alunos do ensino fundamental e médio a fim de diminuir o risco de desistência dos alunos.</w:t>
      </w:r>
    </w:p>
    <w:p w14:paraId="2FE88F77" w14:textId="77777777" w:rsidR="003723AC" w:rsidRPr="00CC1CB4" w:rsidRDefault="00000000" w:rsidP="00E41CB4">
      <w:pPr>
        <w:pStyle w:val="EndUSED"/>
        <w:rPr>
          <w:rStyle w:val="normaltextrun"/>
          <w:color w:val="365F91" w:themeColor="accent1" w:themeShade="BF"/>
          <w:sz w:val="22"/>
          <w:lang w:val="es-ES"/>
        </w:rPr>
      </w:pPr>
      <w:r>
        <w:rPr>
          <w:rFonts w:eastAsia="Times New Roman"/>
          <w:color w:val="FFFFFF"/>
          <w:szCs w:val="4"/>
          <w:lang w:val="pt-BR"/>
        </w:rPr>
        <w:t>[finalizar texto do USED]</w:t>
      </w:r>
    </w:p>
    <w:p w14:paraId="07D49F27" w14:textId="77777777" w:rsidR="00CB2D94" w:rsidRPr="00CC1CB4" w:rsidRDefault="00000000" w:rsidP="004D2055">
      <w:pPr>
        <w:rPr>
          <w:rFonts w:ascii="Segoe UI" w:hAnsi="Segoe UI" w:cs="Segoe UI"/>
          <w:sz w:val="18"/>
          <w:szCs w:val="18"/>
          <w:lang w:val="es-ES"/>
        </w:rPr>
      </w:pPr>
      <w:r>
        <w:rPr>
          <w:rStyle w:val="normaltextrun"/>
          <w:rFonts w:eastAsia="Times New Roman" w:cs="Arial"/>
          <w:color w:val="365F91"/>
          <w:lang w:val="pt-BR"/>
        </w:rPr>
        <w:t xml:space="preserve">[iniciar a resposta do NJDOE] </w:t>
      </w:r>
    </w:p>
    <w:p w14:paraId="02EA4342" w14:textId="77777777" w:rsidR="00CB2D94" w:rsidRPr="00CC1CB4" w:rsidRDefault="00000000" w:rsidP="004D2055">
      <w:pPr>
        <w:rPr>
          <w:rFonts w:ascii="Segoe UI" w:hAnsi="Segoe UI" w:cs="Segoe UI"/>
          <w:sz w:val="18"/>
          <w:szCs w:val="18"/>
          <w:lang w:val="es-ES"/>
        </w:rPr>
      </w:pPr>
      <w:r>
        <w:rPr>
          <w:rStyle w:val="normaltextrun"/>
          <w:rFonts w:eastAsia="Times New Roman" w:cs="Arial"/>
          <w:color w:val="000000"/>
          <w:lang w:val="pt-BR"/>
        </w:rPr>
        <w:t xml:space="preserve">O NJDOE está comprometido em apoiar as LEAs, especialmente aquelas que recebem fundos do Título I, Parte A, para atender às necessidades dos alunos em transição em vários níveis educacionais. Isso inclui transições da educação infantil para o ensino fundamental, ensino fundamental I para o ensino fundamental II, ensino fundamental II para o ensino médio e ensino médio para a educação pós-secundária e carreiras. </w:t>
      </w:r>
    </w:p>
    <w:p w14:paraId="7022F545" w14:textId="77777777" w:rsidR="00CB2D94" w:rsidRPr="00CC1CB4" w:rsidRDefault="00000000" w:rsidP="004D2055">
      <w:pPr>
        <w:rPr>
          <w:rFonts w:ascii="Segoe UI" w:hAnsi="Segoe UI" w:cs="Segoe UI"/>
          <w:sz w:val="18"/>
          <w:szCs w:val="18"/>
          <w:lang w:val="es-ES"/>
        </w:rPr>
      </w:pPr>
      <w:r>
        <w:rPr>
          <w:rStyle w:val="normaltextrun"/>
          <w:rFonts w:eastAsia="Times New Roman" w:cs="Arial"/>
          <w:color w:val="000000"/>
          <w:lang w:val="pt-BR"/>
        </w:rPr>
        <w:t xml:space="preserve">Para facilitar transições eficazes, o NJDOE enfatiza a colaboração entre LEAs, particularmente devido às diversas configurações de LEA do estado, como LEAs apenas para ensino fundamental e apenas para ensino médio. Reconhecendo a importância de transições perfeitas, o NJDOE implementou iniciativas para melhorar a qualidade e a visibilidade dos dados entre as LEAs, instituições pós-secundárias, agências estaduais e partes interessadas. </w:t>
      </w:r>
    </w:p>
    <w:p w14:paraId="08283E0D" w14:textId="77777777" w:rsidR="00CB2D94" w:rsidRPr="00CC1CB4" w:rsidRDefault="00000000" w:rsidP="004D2055">
      <w:pPr>
        <w:rPr>
          <w:rFonts w:ascii="Segoe UI" w:hAnsi="Segoe UI" w:cs="Segoe UI"/>
          <w:sz w:val="18"/>
          <w:szCs w:val="18"/>
          <w:lang w:val="es-ES"/>
        </w:rPr>
      </w:pPr>
      <w:r>
        <w:rPr>
          <w:rStyle w:val="normaltextrun"/>
          <w:rFonts w:eastAsia="Times New Roman" w:cs="Arial"/>
          <w:color w:val="000000"/>
          <w:lang w:val="pt-BR"/>
        </w:rPr>
        <w:t xml:space="preserve">Por exemplo, o NJDOE expandiu seu Sistema de Dados Longitudinal Estadual (Statewide Longitudinal Data System, SLDS) para abranger dados desde o nascimento até a educação e até a força de trabalho, permitindo o rastreamento abrangente do progresso e dos resultados dos alunos. Além disso, parcerias com outras agências estaduais levaram a iniciativas como o Sistema de Análise Empresarial para Aprendizado Precoce de Nova Jersey (New Jersey Enterprise Analysis System for Early Learning, NJ EASEL) e o Sistema de Educação para Ganhos de Nova Jersey (New Jersey Education to Earnings System, NJ EEDS), com foco na coleta de dados relacionados a oportunidades de cuidados precoces e educação, obtenção de faculdade, trajetórias de carreira e ganhos. </w:t>
      </w:r>
    </w:p>
    <w:p w14:paraId="0AE12502" w14:textId="77777777" w:rsidR="00CB2D94" w:rsidRPr="00CC1CB4" w:rsidRDefault="00000000" w:rsidP="004D2055">
      <w:pPr>
        <w:rPr>
          <w:rFonts w:ascii="Segoe UI" w:hAnsi="Segoe UI" w:cs="Segoe UI"/>
          <w:sz w:val="18"/>
          <w:szCs w:val="18"/>
          <w:lang w:val="es-ES"/>
        </w:rPr>
      </w:pPr>
      <w:r>
        <w:rPr>
          <w:rStyle w:val="normaltextrun"/>
          <w:rFonts w:eastAsia="Times New Roman" w:cs="Arial"/>
          <w:color w:val="000000"/>
          <w:lang w:val="pt-BR"/>
        </w:rPr>
        <w:t xml:space="preserve">Para alunos com deficiências, o NJDOE utiliza dados do Sistema de Dados Longitudinal Estadual para personalizar suportes, como planejamento centrado na pessoa e instrução baseada na comunidade, para facilitar transições bem-sucedidas para educação e emprego pós-secundários. Além disso, o Escritório de </w:t>
      </w:r>
      <w:r>
        <w:rPr>
          <w:rStyle w:val="normaltextrun"/>
          <w:rFonts w:eastAsia="Times New Roman" w:cs="Arial"/>
          <w:color w:val="000000"/>
          <w:lang w:val="pt-BR"/>
        </w:rPr>
        <w:lastRenderedPageBreak/>
        <w:t xml:space="preserve">Educação para Adultos trabalha para atender às necessidades dos alunos adultos na obtenção de seu diploma do ensino médio e na busca de seus objetivos educacionais e de carreira. </w:t>
      </w:r>
    </w:p>
    <w:p w14:paraId="7A557E9C" w14:textId="77777777" w:rsidR="00CB2D94" w:rsidRPr="00CC1CB4" w:rsidRDefault="00000000" w:rsidP="004D2055">
      <w:pPr>
        <w:rPr>
          <w:rFonts w:ascii="Segoe UI" w:hAnsi="Segoe UI" w:cs="Segoe UI"/>
          <w:sz w:val="18"/>
          <w:szCs w:val="18"/>
          <w:lang w:val="es-ES"/>
        </w:rPr>
      </w:pPr>
      <w:r>
        <w:rPr>
          <w:rStyle w:val="normaltextrun"/>
          <w:rFonts w:eastAsia="Times New Roman" w:cs="Arial"/>
          <w:color w:val="000000"/>
          <w:lang w:val="pt-BR"/>
        </w:rPr>
        <w:t>O NJDOE continuará a ajudar escolas de ensino médio, faculdades e universidades, certificação e outros programas de treinamento, e representantes da força de trabalho a trabalharem colaborativamente para determinar como cada entidade pode apoiar transições eficazes do ensino médio para o ensino superior e oportunidades de carreira. O Escritório de Prontidão para a Carreira, por meio da Unidade</w:t>
      </w:r>
      <w:r>
        <w:rPr>
          <w:rStyle w:val="normaltextrun"/>
          <w:rFonts w:eastAsia="Times New Roman" w:cs="Arial"/>
          <w:lang w:val="pt-BR"/>
        </w:rPr>
        <w:t xml:space="preserve"> de Educação para Adultos,</w:t>
      </w:r>
      <w:r>
        <w:rPr>
          <w:rStyle w:val="normaltextrun"/>
          <w:rFonts w:eastAsia="Times New Roman" w:cs="Arial"/>
          <w:color w:val="000000"/>
          <w:lang w:val="pt-BR"/>
        </w:rPr>
        <w:t xml:space="preserve"> continuará a </w:t>
      </w:r>
      <w:r>
        <w:rPr>
          <w:rStyle w:val="normaltextrun"/>
          <w:rFonts w:eastAsia="Times New Roman" w:cs="Arial"/>
          <w:lang w:val="pt-BR"/>
        </w:rPr>
        <w:t xml:space="preserve">atender às necessidades de alunos adultos e jovens (com 16 anos ou mais) para alcançar seu diploma estadual de ensino médio para alcançar suas metas educacionais, profissionais e pessoais. O Escritório de Prontidão para a Carreira continuará </w:t>
      </w:r>
      <w:r>
        <w:rPr>
          <w:rStyle w:val="normaltextrun"/>
          <w:rFonts w:eastAsia="Times New Roman" w:cs="Arial"/>
          <w:color w:val="000000"/>
          <w:lang w:val="pt-BR"/>
        </w:rPr>
        <w:t xml:space="preserve">a alavancar grupos consultivos permanentes, parceiros como </w:t>
      </w:r>
      <w:r>
        <w:rPr>
          <w:rStyle w:val="normaltextrun"/>
          <w:rFonts w:eastAsia="Times New Roman" w:cs="Arial"/>
          <w:lang w:val="pt-BR"/>
        </w:rPr>
        <w:t xml:space="preserve">escolas secundárias para adultos, conselhos de desenvolvimento da força de trabalho local, o Departamento de Trabalho e Desenvolvimento da Força de Trabalho de Nova Jersey </w:t>
      </w:r>
      <w:r>
        <w:rPr>
          <w:rStyle w:val="normaltextrun"/>
          <w:rFonts w:eastAsia="Times New Roman" w:cs="Arial"/>
          <w:color w:val="000000"/>
          <w:lang w:val="pt-BR"/>
        </w:rPr>
        <w:t xml:space="preserve">e outros grupos ad hoc para ajudar o NJDOE a determinar como ela pode continuar a apoiar alunos em transição para educação pós-secundária e oportunidades de carreira. </w:t>
      </w:r>
    </w:p>
    <w:p w14:paraId="3CE7326A" w14:textId="77777777" w:rsidR="00CB2D94" w:rsidRPr="00CC1CB4" w:rsidRDefault="00000000" w:rsidP="004D2055">
      <w:pPr>
        <w:rPr>
          <w:rFonts w:ascii="Segoe UI" w:hAnsi="Segoe UI" w:cs="Segoe UI"/>
          <w:sz w:val="18"/>
          <w:szCs w:val="18"/>
          <w:lang w:val="es-ES"/>
        </w:rPr>
      </w:pPr>
      <w:r>
        <w:rPr>
          <w:rStyle w:val="normaltextrun"/>
          <w:rFonts w:eastAsia="Times New Roman" w:cs="Arial"/>
          <w:color w:val="000000"/>
          <w:lang w:val="pt-BR"/>
        </w:rPr>
        <w:t xml:space="preserve">No geral, a abordagem abrangente do NJDOE visa promover transições tranquilas em todos os níveis de educação, garantindo que todos os alunos recebam o apoio necessário para ter sucesso acadêmico e fazer a transição com sucesso para a idade adulta. </w:t>
      </w:r>
    </w:p>
    <w:p w14:paraId="0C85DD36" w14:textId="77777777" w:rsidR="006415C4" w:rsidRPr="00CC1CB4" w:rsidRDefault="00000000" w:rsidP="008E12F1">
      <w:pPr>
        <w:rPr>
          <w:rFonts w:ascii="Segoe UI" w:hAnsi="Segoe UI" w:cs="Segoe UI"/>
          <w:sz w:val="18"/>
          <w:szCs w:val="18"/>
          <w:lang w:val="es-ES"/>
        </w:rPr>
      </w:pPr>
      <w:r>
        <w:rPr>
          <w:rStyle w:val="normaltextrun"/>
          <w:rFonts w:eastAsia="Times New Roman" w:cs="Arial"/>
          <w:color w:val="365F91"/>
          <w:lang w:val="pt-BR"/>
        </w:rPr>
        <w:t xml:space="preserve">[finalizar resposta do NJDOE] </w:t>
      </w:r>
      <w:r>
        <w:rPr>
          <w:rStyle w:val="normaltextrun"/>
          <w:rFonts w:eastAsia="Times New Roman" w:cs="Arial"/>
          <w:color w:val="365F91"/>
          <w:lang w:val="pt-BR"/>
        </w:rPr>
        <w:br w:type="page"/>
      </w:r>
    </w:p>
    <w:p w14:paraId="068405C9" w14:textId="77777777" w:rsidR="008E12F1" w:rsidRPr="00CC1CB4" w:rsidRDefault="00000000" w:rsidP="006D5A41">
      <w:pPr>
        <w:pStyle w:val="BeginUSED"/>
        <w:rPr>
          <w:lang w:val="es-ES"/>
        </w:rPr>
      </w:pPr>
      <w:r>
        <w:rPr>
          <w:rFonts w:eastAsia="Times New Roman"/>
          <w:color w:val="FFFFFF"/>
          <w:szCs w:val="4"/>
          <w:lang w:val="pt-BR"/>
        </w:rPr>
        <w:lastRenderedPageBreak/>
        <w:t>[iniciar o texto do USED]</w:t>
      </w:r>
    </w:p>
    <w:p w14:paraId="11DEA718" w14:textId="77777777" w:rsidR="00E46691" w:rsidRPr="00CC1CB4" w:rsidRDefault="00000000" w:rsidP="006D5A41">
      <w:pPr>
        <w:pStyle w:val="1"/>
        <w:rPr>
          <w:lang w:val="es-ES"/>
        </w:rPr>
      </w:pPr>
      <w:bookmarkStart w:id="116" w:name="_Toc211004649"/>
      <w:r>
        <w:rPr>
          <w:rFonts w:eastAsia="Cambria"/>
          <w:szCs w:val="36"/>
          <w:lang w:val="pt-BR"/>
        </w:rPr>
        <w:t>B. Título I, Parte C: Educação de crianças migratórias</w:t>
      </w:r>
      <w:bookmarkEnd w:id="116"/>
    </w:p>
    <w:p w14:paraId="25BD0A9A" w14:textId="77777777" w:rsidR="008E12F1" w:rsidRPr="00CC1CB4" w:rsidRDefault="00000000" w:rsidP="008E12F1">
      <w:pPr>
        <w:pStyle w:val="EndUSED"/>
        <w:rPr>
          <w:lang w:val="es-ES"/>
        </w:rPr>
      </w:pPr>
      <w:r>
        <w:rPr>
          <w:rFonts w:eastAsia="Times New Roman"/>
          <w:color w:val="FFFFFF"/>
          <w:szCs w:val="4"/>
          <w:lang w:val="pt-BR"/>
        </w:rPr>
        <w:t>[finalizar texto do USED]</w:t>
      </w:r>
    </w:p>
    <w:p w14:paraId="604C8957" w14:textId="77777777" w:rsidR="00DD6889" w:rsidRPr="00CC1CB4" w:rsidRDefault="00000000" w:rsidP="006D5A41">
      <w:pPr>
        <w:spacing w:before="240"/>
        <w:rPr>
          <w:rStyle w:val="NJDOEResponse"/>
          <w:lang w:val="es-ES"/>
        </w:rPr>
      </w:pPr>
      <w:r>
        <w:rPr>
          <w:rStyle w:val="NJDOEResponse"/>
          <w:rFonts w:eastAsia="Times New Roman"/>
          <w:color w:val="365F91"/>
          <w:lang w:val="pt-BR"/>
        </w:rPr>
        <w:t>[iniciar a resposta do NJDOE]</w:t>
      </w:r>
    </w:p>
    <w:p w14:paraId="733DAED0" w14:textId="77777777" w:rsidR="008E12F1" w:rsidRPr="00CC1CB4" w:rsidRDefault="00000000" w:rsidP="00856537">
      <w:pPr>
        <w:pStyle w:val="A20"/>
      </w:pPr>
      <w:bookmarkStart w:id="117" w:name="_Toc171333287"/>
      <w:bookmarkStart w:id="118" w:name="_Toc199403579"/>
      <w:bookmarkStart w:id="119" w:name="_Toc199403729"/>
      <w:r>
        <w:t>Introdução</w:t>
      </w:r>
      <w:bookmarkEnd w:id="117"/>
      <w:bookmarkEnd w:id="118"/>
      <w:bookmarkEnd w:id="119"/>
    </w:p>
    <w:p w14:paraId="20684418" w14:textId="77777777" w:rsidR="008E12F1" w:rsidRPr="00CC1CB4" w:rsidRDefault="00000000" w:rsidP="008E12F1">
      <w:pPr>
        <w:rPr>
          <w:lang w:val="es-ES"/>
        </w:rPr>
      </w:pPr>
      <w:r>
        <w:rPr>
          <w:rFonts w:eastAsia="Times New Roman" w:cs="Times New Roman"/>
          <w:lang w:val="pt-BR"/>
        </w:rPr>
        <w:t xml:space="preserve">O Título I, Parte C, ou o Programa de educação para migrantes (Migrant Education Program, MEP), é um programa de subvenção limitado e competitivo para estudantes com idade entre 3 e 21 anos. Os fundos do MEP apoiam programas educacionais de alta qualidade para crianças migratórias elegíveis e ajudam a garantir que as crianças migratórias que se deslocam entre os estados não sejam penalizadas por disparidades entre os estados em termos de currículo, requisitos de formação e padrões acadêmicos estaduais desafiadores. Os fundos também garantem que as crianças migratórias elegíveis não só recebam educação e serviços de apoio adequados que atendam às suas necessidades exclusivas, mas também que essas crianças recebam oportunidades completas e apropriadas para atender aos mesmos padrões acadêmicos estaduais desafiadores que todas as crianças devem atender. Os apoios fornecidos por meio deste título não têm a intenção de representar todo o apoio recebido por crianças migratórias, mas sim como apoio suplementar para aqueles fornecidos a todos os alunos de Nova Jersey. </w:t>
      </w:r>
    </w:p>
    <w:p w14:paraId="5B092129" w14:textId="77777777" w:rsidR="008E12F1" w:rsidRPr="00CC1CB4" w:rsidRDefault="00000000" w:rsidP="008E12F1">
      <w:pPr>
        <w:rPr>
          <w:lang w:val="es-ES"/>
        </w:rPr>
      </w:pPr>
      <w:r>
        <w:rPr>
          <w:rFonts w:eastAsia="Times New Roman" w:cs="Times New Roman"/>
          <w:lang w:val="pt-BR"/>
        </w:rPr>
        <w:t xml:space="preserve">O Título I, Parte C de Nova Jersey é derivado do número de estudantes migrantes residentes e do número de estudantes migrantes que recebem serviços fora do ano acadêmico regular. Os programas do MEP se concentram na prestação dos seguintes serviços para alunos elegíveis: identificação e recrutamento (ID&amp;R) de alunos; transferência intraestadual e interestadual de registros de alunos; instrução suplementar; e serviços de saúde e outros serviços de apoio. </w:t>
      </w:r>
    </w:p>
    <w:p w14:paraId="084A16F0" w14:textId="77777777" w:rsidR="008E12F1" w:rsidRDefault="00000000" w:rsidP="008E12F1">
      <w:r>
        <w:rPr>
          <w:rFonts w:eastAsia="Times New Roman" w:cs="Times New Roman"/>
          <w:lang w:val="pt-BR"/>
        </w:rPr>
        <w:t>O NJDOE fornece subsídios anuais para agências operacionais locais (LOAs) estrategicamente localizadas para implementar o MEP. As LOAs são selecionadas por meio de um processo de concessão competitivo. Os serviços através do MEP são fornecidos, em grande parte, por LOAs, que são LEAs selecionadas pelo Estado para realizar o MEP. As LOAs trabalham em estreita colaboração com o NJDOE para desenvolver e realizar um plano abrangente, conhecido como Plano de prestação de serviços do MEP, nos termos da Seção 1306(a)(1) da</w:t>
      </w:r>
      <w:r>
        <w:rPr>
          <w:rFonts w:eastAsia="Times New Roman" w:cs="Times New Roman"/>
          <w:i/>
          <w:iCs/>
          <w:lang w:val="pt-BR"/>
        </w:rPr>
        <w:t xml:space="preserve"> </w:t>
      </w:r>
      <w:r>
        <w:rPr>
          <w:rFonts w:eastAsia="Times New Roman" w:cs="Times New Roman"/>
          <w:lang w:val="pt-BR"/>
        </w:rPr>
        <w:t>ESSA. O Plano de prestação de serviços do MEP:</w:t>
      </w:r>
    </w:p>
    <w:p w14:paraId="1D5E9E07" w14:textId="77777777" w:rsidR="006D5A41" w:rsidRPr="00CC1CB4" w:rsidRDefault="00000000">
      <w:pPr>
        <w:pStyle w:val="a6"/>
        <w:numPr>
          <w:ilvl w:val="0"/>
          <w:numId w:val="164"/>
        </w:numPr>
        <w:rPr>
          <w:lang w:val="es-ES"/>
        </w:rPr>
      </w:pPr>
      <w:r>
        <w:rPr>
          <w:rFonts w:eastAsia="Times New Roman" w:cs="Times New Roman"/>
          <w:color w:val="000000"/>
          <w:lang w:val="pt-BR"/>
        </w:rPr>
        <w:t>está integrado com outros programas federais, particularmente aqueles autorizados pela ESEA (como Título I, Parte A e Título III, Parte A);</w:t>
      </w:r>
    </w:p>
    <w:p w14:paraId="51E125CB" w14:textId="77777777" w:rsidR="006D5A41" w:rsidRPr="00CC1CB4" w:rsidRDefault="00000000">
      <w:pPr>
        <w:pStyle w:val="a6"/>
        <w:numPr>
          <w:ilvl w:val="0"/>
          <w:numId w:val="164"/>
        </w:numPr>
        <w:rPr>
          <w:lang w:val="es-ES"/>
        </w:rPr>
      </w:pPr>
      <w:r>
        <w:rPr>
          <w:rFonts w:eastAsia="Times New Roman" w:cs="Times New Roman"/>
          <w:color w:val="000000"/>
          <w:lang w:val="pt-BR"/>
        </w:rPr>
        <w:t>proporciona às crianças migrantes a oportunidade de atender aos mesmos padrões acadêmicos desafiadores do estado que todos os alunos devem atender;</w:t>
      </w:r>
    </w:p>
    <w:p w14:paraId="4573BFE0" w14:textId="77777777" w:rsidR="006D5A41" w:rsidRPr="00CC1CB4" w:rsidRDefault="00000000">
      <w:pPr>
        <w:pStyle w:val="a6"/>
        <w:numPr>
          <w:ilvl w:val="0"/>
          <w:numId w:val="164"/>
        </w:numPr>
        <w:rPr>
          <w:lang w:val="es-ES"/>
        </w:rPr>
      </w:pPr>
      <w:r>
        <w:rPr>
          <w:rFonts w:eastAsia="Times New Roman" w:cs="Times New Roman"/>
          <w:color w:val="000000"/>
          <w:lang w:val="pt-BR"/>
        </w:rPr>
        <w:t>especifica metas e resultados mensuráveis do programa;</w:t>
      </w:r>
    </w:p>
    <w:p w14:paraId="0494DA22" w14:textId="77777777" w:rsidR="006D5A41" w:rsidRPr="00CC1CB4" w:rsidRDefault="00000000">
      <w:pPr>
        <w:pStyle w:val="a6"/>
        <w:numPr>
          <w:ilvl w:val="0"/>
          <w:numId w:val="164"/>
        </w:numPr>
        <w:rPr>
          <w:lang w:val="es-ES"/>
        </w:rPr>
      </w:pPr>
      <w:r>
        <w:rPr>
          <w:rFonts w:eastAsia="Times New Roman" w:cs="Times New Roman"/>
          <w:color w:val="000000"/>
          <w:lang w:val="pt-BR"/>
        </w:rPr>
        <w:t>abrange toda a gama de serviços disponíveis para crianças migrantes de programas educacionais locais, estaduais e federais apropriados;</w:t>
      </w:r>
    </w:p>
    <w:p w14:paraId="5D80F117" w14:textId="77777777" w:rsidR="006D5A41" w:rsidRPr="00CC1CB4" w:rsidRDefault="00000000">
      <w:pPr>
        <w:pStyle w:val="a6"/>
        <w:numPr>
          <w:ilvl w:val="0"/>
          <w:numId w:val="164"/>
        </w:numPr>
        <w:rPr>
          <w:lang w:val="es-ES"/>
        </w:rPr>
      </w:pPr>
      <w:r>
        <w:rPr>
          <w:rFonts w:eastAsia="Times New Roman" w:cs="Times New Roman"/>
          <w:color w:val="000000"/>
          <w:lang w:val="pt-BR"/>
        </w:rPr>
        <w:t>é o produto do planejamento conjunto entre administradores de programas locais, estaduais e federais, incluindo o Título I, Parte A, programas de primeira infância e programas educacionais de instrução de idiomas (LIEPs) sob o Título III, Parte A.</w:t>
      </w:r>
    </w:p>
    <w:p w14:paraId="36ADD5AC" w14:textId="77777777" w:rsidR="00E93B72" w:rsidRPr="00CC1CB4" w:rsidRDefault="00000000" w:rsidP="006D5A41">
      <w:pPr>
        <w:rPr>
          <w:lang w:val="es-ES"/>
        </w:rPr>
      </w:pPr>
      <w:r>
        <w:rPr>
          <w:rFonts w:eastAsia="Times New Roman" w:cs="Times New Roman"/>
          <w:lang w:val="pt-BR"/>
        </w:rPr>
        <w:lastRenderedPageBreak/>
        <w:t xml:space="preserve">Em resumo, no nível local, o Plano de prestação de serviços aborda especificamente as necessidades que devem ser atendidas para que crianças migratórias participem de forma eficaz na escola. Para obter detalhes adicionais sobre o MEP de Nova Jersey, consulte o mais recente Plano de prestação de serviços na página do </w:t>
      </w:r>
      <w:hyperlink r:id="rId39" w:history="1">
        <w:r w:rsidR="00E93B72">
          <w:rPr>
            <w:rFonts w:eastAsia="Times New Roman" w:cs="Times New Roman"/>
            <w:color w:val="0000FF"/>
            <w:u w:val="single"/>
            <w:lang w:val="pt-BR"/>
          </w:rPr>
          <w:t>Programa de educação para migrantes de Nova Jersey</w:t>
        </w:r>
      </w:hyperlink>
      <w:r>
        <w:rPr>
          <w:rFonts w:eastAsia="Times New Roman" w:cs="Times New Roman"/>
          <w:lang w:val="pt-BR"/>
        </w:rPr>
        <w:t>. A seção a seguir descreve como Nova Jersey, em conjunto com as LOAs, atenderá às necessidades educacionais exclusivas de crianças migratórias.</w:t>
      </w:r>
    </w:p>
    <w:p w14:paraId="45EB0AEA" w14:textId="77777777" w:rsidR="00E93B72" w:rsidRPr="00CC1CB4" w:rsidRDefault="00000000" w:rsidP="00DD6889">
      <w:pPr>
        <w:keepNext/>
        <w:keepLines/>
        <w:rPr>
          <w:rFonts w:eastAsia="Times New Roman" w:cs="Times New Roman"/>
          <w:color w:val="365F91" w:themeColor="accent1" w:themeShade="BF"/>
          <w:lang w:val="es-ES"/>
        </w:rPr>
      </w:pPr>
      <w:r>
        <w:rPr>
          <w:rStyle w:val="NJDOEResponse"/>
          <w:rFonts w:eastAsia="Times New Roman"/>
          <w:color w:val="365F91"/>
          <w:lang w:val="pt-BR"/>
        </w:rPr>
        <w:t>[finalizar resposta do NJDOE]</w:t>
      </w:r>
    </w:p>
    <w:p w14:paraId="650E8E45" w14:textId="77777777" w:rsidR="00E93B72" w:rsidRPr="00CC1CB4" w:rsidRDefault="00000000" w:rsidP="00B76E44">
      <w:pPr>
        <w:pStyle w:val="BeginUSED"/>
        <w:rPr>
          <w:rFonts w:ascii="Aptos" w:eastAsia="Aptos" w:hAnsi="Aptos" w:cs="Aptos"/>
          <w:i/>
          <w:iCs/>
          <w:color w:val="0F4761"/>
          <w:lang w:val="es-ES"/>
        </w:rPr>
      </w:pPr>
      <w:r>
        <w:rPr>
          <w:rFonts w:eastAsia="Times New Roman"/>
          <w:color w:val="FFFFFF"/>
          <w:szCs w:val="4"/>
          <w:lang w:val="pt-BR"/>
        </w:rPr>
        <w:t xml:space="preserve">[iniciar o texto do USED] </w:t>
      </w:r>
    </w:p>
    <w:p w14:paraId="7A74D00B" w14:textId="77777777" w:rsidR="005D27D2" w:rsidRPr="00CC1CB4" w:rsidRDefault="00000000" w:rsidP="00856537">
      <w:pPr>
        <w:pStyle w:val="A20"/>
        <w:spacing w:before="0"/>
        <w:rPr>
          <w:lang w:val="es-ES"/>
        </w:rPr>
      </w:pPr>
      <w:bookmarkStart w:id="120" w:name="_Toc171333288"/>
      <w:bookmarkStart w:id="121" w:name="_Toc199403580"/>
      <w:bookmarkStart w:id="122" w:name="_Toc199403730"/>
      <w:r>
        <w:t>1. Apoio às necessidades de crianças migratórias (seção 1304(b)(1) da ESEA)</w:t>
      </w:r>
      <w:bookmarkEnd w:id="120"/>
      <w:bookmarkEnd w:id="121"/>
      <w:bookmarkEnd w:id="122"/>
    </w:p>
    <w:p w14:paraId="6E5E342C" w14:textId="77777777" w:rsidR="00E93B72" w:rsidRPr="00CC1CB4" w:rsidRDefault="00000000" w:rsidP="002406CA">
      <w:pPr>
        <w:pStyle w:val="blue"/>
        <w:ind w:left="0"/>
        <w:rPr>
          <w:lang w:val="es-ES"/>
        </w:rPr>
      </w:pPr>
      <w:r>
        <w:rPr>
          <w:rFonts w:ascii="Cambria" w:eastAsia="Cambria" w:hAnsi="Cambria"/>
          <w:lang w:val="pt-BR"/>
        </w:rPr>
        <w:t>Descrever como, no planejamento, implementação e avaliação de programas e projetos assistidos sob o Título I, Parte C, o estado e suas agências operacionais locais garantirão que as necessidades educacionais únicas de crianças migratórias, incluindo crianças migratórias pré-escolares e crianças migratórias que abandonaram a escola, sejam identificadas e abordadas através:</w:t>
      </w:r>
    </w:p>
    <w:p w14:paraId="2F0477B1" w14:textId="77777777" w:rsidR="00E93B72" w:rsidRPr="00CC1CB4" w:rsidRDefault="00000000">
      <w:pPr>
        <w:pStyle w:val="blue"/>
        <w:numPr>
          <w:ilvl w:val="0"/>
          <w:numId w:val="182"/>
        </w:numPr>
        <w:spacing w:after="120"/>
        <w:rPr>
          <w:lang w:val="es-ES"/>
        </w:rPr>
      </w:pPr>
      <w:r>
        <w:rPr>
          <w:rFonts w:ascii="Cambria" w:eastAsia="Cambria" w:hAnsi="Cambria"/>
          <w:lang w:val="pt-BR"/>
        </w:rPr>
        <w:t>da gama completa de serviços disponíveis para crianças migratórias de programas educacionais locais, estaduais e federais apropriados;</w:t>
      </w:r>
    </w:p>
    <w:p w14:paraId="597096F1" w14:textId="77777777" w:rsidR="00E93B72" w:rsidRPr="00CC1CB4" w:rsidRDefault="00000000">
      <w:pPr>
        <w:pStyle w:val="blue"/>
        <w:numPr>
          <w:ilvl w:val="0"/>
          <w:numId w:val="182"/>
        </w:numPr>
        <w:spacing w:after="120"/>
        <w:rPr>
          <w:lang w:val="es-ES"/>
        </w:rPr>
      </w:pPr>
      <w:r>
        <w:rPr>
          <w:rFonts w:ascii="Cambria" w:eastAsia="Cambria" w:hAnsi="Cambria"/>
          <w:lang w:val="pt-BR"/>
        </w:rPr>
        <w:t xml:space="preserve">do planejamento conjunto entre programas educacionais locais, estaduais e federais que atendem crianças migratórias, incluindo programas educacionais de ensino de idiomas nos termos do Título III, Parte A; </w:t>
      </w:r>
    </w:p>
    <w:p w14:paraId="4F5B8CFE" w14:textId="77777777" w:rsidR="00E93B72" w:rsidRPr="00CC1CB4" w:rsidRDefault="00000000">
      <w:pPr>
        <w:pStyle w:val="blue"/>
        <w:numPr>
          <w:ilvl w:val="0"/>
          <w:numId w:val="182"/>
        </w:numPr>
        <w:spacing w:after="120"/>
        <w:rPr>
          <w:lang w:val="es-ES"/>
        </w:rPr>
      </w:pPr>
      <w:r>
        <w:rPr>
          <w:rFonts w:ascii="Cambria" w:eastAsia="Cambria" w:hAnsi="Cambria"/>
          <w:lang w:val="pt-BR"/>
        </w:rPr>
        <w:t xml:space="preserve">da integração dos serviços disponíveis nos termos do Título I, Parte C, com os serviços prestados por esses outros programas; </w:t>
      </w:r>
    </w:p>
    <w:p w14:paraId="063CC644" w14:textId="77777777" w:rsidR="00BB4239" w:rsidRPr="00CC1CB4" w:rsidRDefault="00000000">
      <w:pPr>
        <w:pStyle w:val="blue"/>
        <w:numPr>
          <w:ilvl w:val="0"/>
          <w:numId w:val="182"/>
        </w:numPr>
        <w:spacing w:after="120"/>
        <w:rPr>
          <w:lang w:val="es-ES"/>
        </w:rPr>
      </w:pPr>
      <w:r>
        <w:rPr>
          <w:rFonts w:ascii="Cambria" w:eastAsia="Cambria" w:hAnsi="Cambria"/>
          <w:lang w:val="pt-BR"/>
        </w:rPr>
        <w:t>de objetivos e resultados mensuráveis do programa.</w:t>
      </w:r>
    </w:p>
    <w:p w14:paraId="648ED7F2" w14:textId="77777777" w:rsidR="00E93B72" w:rsidRPr="00CC1CB4" w:rsidRDefault="00000000" w:rsidP="00B76E44">
      <w:pPr>
        <w:pStyle w:val="EndUSED"/>
        <w:rPr>
          <w:rFonts w:ascii="Cambria" w:eastAsia="Cambria" w:hAnsi="Cambria" w:cs="Cambria"/>
          <w:color w:val="0F4761"/>
          <w:lang w:val="es-ES"/>
        </w:rPr>
      </w:pPr>
      <w:r>
        <w:rPr>
          <w:rFonts w:eastAsia="Times New Roman"/>
          <w:color w:val="FFFFFF"/>
          <w:szCs w:val="4"/>
          <w:lang w:val="pt-BR"/>
        </w:rPr>
        <w:t xml:space="preserve">[finalizar texto do USED] </w:t>
      </w:r>
    </w:p>
    <w:p w14:paraId="56FF566C" w14:textId="77777777" w:rsidR="00E93B72" w:rsidRPr="00CC1CB4" w:rsidRDefault="00000000" w:rsidP="00725721">
      <w:pPr>
        <w:keepNext/>
        <w:keepLines/>
        <w:spacing w:before="240"/>
        <w:rPr>
          <w:rFonts w:eastAsia="Times New Roman" w:cs="Times New Roman"/>
          <w:color w:val="365F91" w:themeColor="accent1" w:themeShade="BF"/>
          <w:lang w:val="es-ES"/>
        </w:rPr>
      </w:pPr>
      <w:r>
        <w:rPr>
          <w:rStyle w:val="NJDOEResponse"/>
          <w:rFonts w:eastAsia="Times New Roman"/>
          <w:color w:val="365F91"/>
          <w:lang w:val="pt-BR"/>
        </w:rPr>
        <w:t>[iniciar a resposta do NJDOE]</w:t>
      </w:r>
    </w:p>
    <w:p w14:paraId="1CA36293" w14:textId="77777777" w:rsidR="00BB4239" w:rsidRPr="00CC1CB4" w:rsidRDefault="00000000" w:rsidP="00856537">
      <w:pPr>
        <w:pStyle w:val="A30"/>
      </w:pPr>
      <w:bookmarkStart w:id="123" w:name="_Toc199403731"/>
      <w:r>
        <w:t>Plano de prestação de serviços: Como as necessidades de crianças migratórias são identificadas em Nova Jersey</w:t>
      </w:r>
      <w:bookmarkEnd w:id="123"/>
      <w:r>
        <w:t xml:space="preserve"> </w:t>
      </w:r>
    </w:p>
    <w:p w14:paraId="4309661D" w14:textId="77777777" w:rsidR="00E93B72" w:rsidRPr="00CC1CB4" w:rsidRDefault="00000000" w:rsidP="00822A9C">
      <w:pPr>
        <w:rPr>
          <w:lang w:val="es-ES"/>
        </w:rPr>
      </w:pPr>
      <w:r>
        <w:rPr>
          <w:rFonts w:eastAsia="Times New Roman" w:cs="Arial"/>
          <w:lang w:val="pt-BR"/>
        </w:rPr>
        <w:t xml:space="preserve">Em um ciclo de três anos, o NJDOE trabalha junto com seus parceiros para desenvolver e/ou revisar seu Plano de prestação de serviços usando um processo de melhoria contínua recomendado pelo Escritório de Educação de Migrantes do USED. O processo começa com uma avaliação abrangente de necessidades em todo o estado, que consiste em uma análise aprofundada dos dados sobre alunos migrantes e seu progresso em direção às metas do programa, identificação das necessidades dos alunos e funcionários e recomendações específicas para melhorias do programa. Esse processo ocorre regularmente como parte de um processo de melhoria contínua. Além de identificar as necessidades dos alunos migratórios de forma mais geral, a avaliação de necessidades identifica especificamente as necessidades únicas e especializadas de crianças migratórias em idade pré-escolar e jovens migratórios fora da escola. A avaliação abrangente de necessidades em todo o estado serve como base para o processo do Plano de prestação de serviços. As principais partes interessadas se reúnem para analisar as descobertas </w:t>
      </w:r>
      <w:r>
        <w:rPr>
          <w:rFonts w:eastAsia="Times New Roman" w:cs="Arial"/>
          <w:lang w:val="pt-BR"/>
        </w:rPr>
        <w:lastRenderedPageBreak/>
        <w:t xml:space="preserve">abrangentes da avaliação de necessidades em todo o estado, desenvolver estratégias de implementação e desenvolver resultados de desempenho mensuráveis (Measurable Performance Outcomes, MPOs) para avaliar o impacto no progresso dos alunos. </w:t>
      </w:r>
    </w:p>
    <w:p w14:paraId="5A9F2FAA" w14:textId="77777777" w:rsidR="00633E94" w:rsidRPr="00CC1CB4" w:rsidRDefault="00000000" w:rsidP="00633E94">
      <w:pPr>
        <w:keepNext/>
        <w:keepLines/>
        <w:rPr>
          <w:rFonts w:cs="Times New Roman"/>
          <w:i/>
          <w:lang w:val="es-ES"/>
        </w:rPr>
      </w:pPr>
      <w:r>
        <w:rPr>
          <w:rFonts w:eastAsia="Times New Roman" w:cs="Times New Roman"/>
          <w:lang w:val="pt-BR"/>
        </w:rPr>
        <w:t xml:space="preserve">O Plano de prestação de serviços é atualizado a cada três anos como parte de um processo de melhoria contínua descrito acima e a versão mais recente está disponível publicamente no </w:t>
      </w:r>
      <w:hyperlink r:id="rId40">
        <w:r w:rsidR="00633E94">
          <w:rPr>
            <w:rFonts w:eastAsia="Times New Roman" w:cs="Times New Roman"/>
            <w:color w:val="0000FF"/>
            <w:u w:val="single"/>
            <w:lang w:val="pt-BR"/>
          </w:rPr>
          <w:t>site do Programa de educação para migrantes do NJDOE</w:t>
        </w:r>
      </w:hyperlink>
      <w:r>
        <w:rPr>
          <w:rFonts w:eastAsia="Times New Roman" w:cs="Times New Roman"/>
          <w:lang w:val="pt-BR"/>
        </w:rPr>
        <w:t>.</w:t>
      </w:r>
      <w:r>
        <w:rPr>
          <w:rFonts w:eastAsia="Times New Roman" w:cs="Times New Roman"/>
          <w:i/>
          <w:iCs/>
          <w:lang w:val="pt-BR"/>
        </w:rPr>
        <w:t xml:space="preserve"> </w:t>
      </w:r>
    </w:p>
    <w:p w14:paraId="27F47163" w14:textId="77777777" w:rsidR="00822A9C" w:rsidRPr="00BB4239" w:rsidRDefault="00000000" w:rsidP="00822A9C">
      <w:pPr>
        <w:keepNext/>
        <w:keepLines/>
        <w:jc w:val="center"/>
        <w:rPr>
          <w:rFonts w:eastAsia="Times New Roman" w:cs="Times New Roman"/>
          <w:color w:val="000000" w:themeColor="text1"/>
        </w:rPr>
      </w:pPr>
      <w:r>
        <w:rPr>
          <w:rFonts w:cs="Times New Roman"/>
          <w:i/>
          <w:noProof/>
        </w:rPr>
        <mc:AlternateContent>
          <mc:Choice Requires="wps">
            <w:drawing>
              <wp:anchor distT="0" distB="0" distL="114300" distR="114300" simplePos="0" relativeHeight="251703296" behindDoc="0" locked="0" layoutInCell="1" allowOverlap="1" wp14:anchorId="1B27258D" wp14:editId="625B1A19">
                <wp:simplePos x="0" y="0"/>
                <wp:positionH relativeFrom="column">
                  <wp:posOffset>2672715</wp:posOffset>
                </wp:positionH>
                <wp:positionV relativeFrom="paragraph">
                  <wp:posOffset>962531</wp:posOffset>
                </wp:positionV>
                <wp:extent cx="734096" cy="1270000"/>
                <wp:effectExtent l="0" t="0" r="8890" b="9525"/>
                <wp:wrapNone/>
                <wp:docPr id="46" name="Text Box 46"/>
                <wp:cNvGraphicFramePr/>
                <a:graphic xmlns:a="http://schemas.openxmlformats.org/drawingml/2006/main">
                  <a:graphicData uri="http://schemas.microsoft.com/office/word/2010/wordprocessingShape">
                    <wps:wsp>
                      <wps:cNvSpPr txBox="1"/>
                      <wps:spPr>
                        <a:xfrm>
                          <a:off x="0" y="0"/>
                          <a:ext cx="734096" cy="1270000"/>
                        </a:xfrm>
                        <a:prstGeom prst="rect">
                          <a:avLst/>
                        </a:prstGeom>
                        <a:solidFill>
                          <a:srgbClr val="FFFFFD"/>
                        </a:solidFill>
                        <a:ln w="6350">
                          <a:noFill/>
                        </a:ln>
                      </wps:spPr>
                      <wps:txbx>
                        <w:txbxContent>
                          <w:p w14:paraId="3CB3B8B2" w14:textId="77777777" w:rsidR="00330D64" w:rsidRPr="00CC1CB4" w:rsidRDefault="00000000" w:rsidP="001C24F7">
                            <w:pPr>
                              <w:spacing w:after="0"/>
                              <w:jc w:val="center"/>
                              <w:rPr>
                                <w:rFonts w:asciiTheme="minorBidi" w:hAnsiTheme="minorBidi"/>
                                <w:b/>
                                <w:bCs/>
                                <w:color w:val="EB6C27"/>
                                <w:sz w:val="12"/>
                                <w:szCs w:val="12"/>
                                <w:lang w:val="es-ES"/>
                              </w:rPr>
                            </w:pPr>
                            <w:r>
                              <w:rPr>
                                <w:rFonts w:ascii="Arial" w:eastAsia="Arial" w:hAnsi="Arial" w:cs="Arial"/>
                                <w:b/>
                                <w:bCs/>
                                <w:color w:val="EB6C27"/>
                                <w:sz w:val="12"/>
                                <w:szCs w:val="12"/>
                                <w:lang w:val="pt-BR"/>
                              </w:rPr>
                              <w:t xml:space="preserve">TOMADA </w:t>
                            </w:r>
                            <w:r>
                              <w:rPr>
                                <w:rFonts w:ascii="Arial" w:eastAsia="Arial" w:hAnsi="Arial" w:cs="Arial"/>
                                <w:b/>
                                <w:bCs/>
                                <w:color w:val="EB6C27"/>
                                <w:sz w:val="12"/>
                                <w:szCs w:val="12"/>
                                <w:lang w:val="pt-BR"/>
                              </w:rPr>
                              <w:t>DE DECISÃO</w:t>
                            </w:r>
                          </w:p>
                          <w:p w14:paraId="55C1579C" w14:textId="77777777" w:rsidR="00330D64" w:rsidRPr="00CC1CB4" w:rsidRDefault="00000000" w:rsidP="001C24F7">
                            <w:pPr>
                              <w:spacing w:after="0"/>
                              <w:jc w:val="center"/>
                              <w:rPr>
                                <w:rFonts w:asciiTheme="minorBidi" w:hAnsiTheme="minorBidi"/>
                                <w:b/>
                                <w:bCs/>
                                <w:color w:val="EB6C27"/>
                                <w:sz w:val="12"/>
                                <w:szCs w:val="12"/>
                                <w:lang w:val="es-ES"/>
                              </w:rPr>
                            </w:pPr>
                            <w:r>
                              <w:rPr>
                                <w:rFonts w:ascii="Arial" w:eastAsia="Arial" w:hAnsi="Arial" w:cs="Arial"/>
                                <w:b/>
                                <w:bCs/>
                                <w:color w:val="EB6C27"/>
                                <w:sz w:val="12"/>
                                <w:szCs w:val="12"/>
                                <w:lang w:val="pt-BR"/>
                              </w:rPr>
                              <w:t>BASEADA EM EVIDÊNCIAS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27258D" id="Text Box 46" o:spid="_x0000_s1056" type="#_x0000_t202" style="position:absolute;left:0;text-align:left;margin-left:210.45pt;margin-top:75.8pt;width:57.8pt;height:100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" fillcolor="#fffffd" stroked="f" strokeweight=".5pt">
                <v:textbox style="mso-fit-shape-to-text:t" inset="0,0,0,0">
                  <w:txbxContent>
                    <w:p w14:paraId="3CB3B8B2" w14:textId="77777777" w:rsidR="00330D64" w:rsidRPr="00CC1CB4" w:rsidRDefault="00000000" w:rsidP="001C24F7">
                      <w:pPr>
                        <w:spacing w:after="0"/>
                        <w:jc w:val="center"/>
                        <w:rPr>
                          <w:rFonts w:asciiTheme="minorBidi" w:hAnsiTheme="minorBidi"/>
                          <w:b/>
                          <w:bCs/>
                          <w:color w:val="EB6C27"/>
                          <w:sz w:val="12"/>
                          <w:szCs w:val="12"/>
                          <w:lang w:val="es-ES"/>
                        </w:rPr>
                      </w:pPr>
                      <w:r>
                        <w:rPr>
                          <w:rFonts w:ascii="Arial" w:eastAsia="Arial" w:hAnsi="Arial" w:cs="Arial"/>
                          <w:b/>
                          <w:bCs/>
                          <w:color w:val="EB6C27"/>
                          <w:sz w:val="12"/>
                          <w:szCs w:val="12"/>
                          <w:lang w:val="pt-BR"/>
                        </w:rPr>
                        <w:t xml:space="preserve">TOMADA </w:t>
                      </w:r>
                      <w:r>
                        <w:rPr>
                          <w:rFonts w:ascii="Arial" w:eastAsia="Arial" w:hAnsi="Arial" w:cs="Arial"/>
                          <w:b/>
                          <w:bCs/>
                          <w:color w:val="EB6C27"/>
                          <w:sz w:val="12"/>
                          <w:szCs w:val="12"/>
                          <w:lang w:val="pt-BR"/>
                        </w:rPr>
                        <w:t>DE DECISÃO</w:t>
                      </w:r>
                    </w:p>
                    <w:p w14:paraId="55C1579C" w14:textId="77777777" w:rsidR="00330D64" w:rsidRPr="00CC1CB4" w:rsidRDefault="00000000" w:rsidP="001C24F7">
                      <w:pPr>
                        <w:spacing w:after="0"/>
                        <w:jc w:val="center"/>
                        <w:rPr>
                          <w:rFonts w:asciiTheme="minorBidi" w:hAnsiTheme="minorBidi"/>
                          <w:b/>
                          <w:bCs/>
                          <w:color w:val="EB6C27"/>
                          <w:sz w:val="12"/>
                          <w:szCs w:val="12"/>
                          <w:lang w:val="es-ES"/>
                        </w:rPr>
                      </w:pPr>
                      <w:r>
                        <w:rPr>
                          <w:rFonts w:ascii="Arial" w:eastAsia="Arial" w:hAnsi="Arial" w:cs="Arial"/>
                          <w:b/>
                          <w:bCs/>
                          <w:color w:val="EB6C27"/>
                          <w:sz w:val="12"/>
                          <w:szCs w:val="12"/>
                          <w:lang w:val="pt-BR"/>
                        </w:rPr>
                        <w:t>BASEADA EM EVIDÊNCIAS</w:t>
                      </w:r>
                    </w:p>
                  </w:txbxContent>
                </v:textbox>
              </v:shape>
            </w:pict>
          </mc:Fallback>
        </mc:AlternateContent>
      </w:r>
      <w:r w:rsidR="00925636">
        <w:rPr>
          <w:noProof/>
        </w:rPr>
        <mc:AlternateContent>
          <mc:Choice Requires="wpg">
            <w:drawing>
              <wp:anchor distT="0" distB="0" distL="114300" distR="114300" simplePos="0" relativeHeight="251701248" behindDoc="0" locked="0" layoutInCell="1" allowOverlap="1" wp14:anchorId="4EBD3849" wp14:editId="4C25279A">
                <wp:simplePos x="0" y="0"/>
                <wp:positionH relativeFrom="column">
                  <wp:posOffset>1194534</wp:posOffset>
                </wp:positionH>
                <wp:positionV relativeFrom="paragraph">
                  <wp:posOffset>21623</wp:posOffset>
                </wp:positionV>
                <wp:extent cx="3409982" cy="2715909"/>
                <wp:effectExtent l="0" t="0" r="0" b="8255"/>
                <wp:wrapNone/>
                <wp:docPr id="34" name="Group 34"/>
                <wp:cNvGraphicFramePr/>
                <a:graphic xmlns:a="http://schemas.openxmlformats.org/drawingml/2006/main">
                  <a:graphicData uri="http://schemas.microsoft.com/office/word/2010/wordprocessingGroup">
                    <wpg:wgp>
                      <wpg:cNvGrpSpPr/>
                      <wpg:grpSpPr>
                        <a:xfrm>
                          <a:off x="0" y="0"/>
                          <a:ext cx="3409982" cy="2715909"/>
                          <a:chOff x="21144" y="15858"/>
                          <a:chExt cx="3410191" cy="2716008"/>
                        </a:xfrm>
                      </wpg:grpSpPr>
                      <wps:wsp>
                        <wps:cNvPr id="35" name="Text Box 35"/>
                        <wps:cNvSpPr txBox="1"/>
                        <wps:spPr>
                          <a:xfrm>
                            <a:off x="863778" y="15858"/>
                            <a:ext cx="2018665" cy="123825"/>
                          </a:xfrm>
                          <a:prstGeom prst="rect">
                            <a:avLst/>
                          </a:prstGeom>
                          <a:solidFill>
                            <a:schemeClr val="bg1"/>
                          </a:solidFill>
                          <a:ln w="6350">
                            <a:noFill/>
                          </a:ln>
                        </wps:spPr>
                        <wps:txbx>
                          <w:txbxContent>
                            <w:p w14:paraId="535DEF38" w14:textId="77777777" w:rsidR="00925636" w:rsidRPr="00AF5819" w:rsidRDefault="00000000" w:rsidP="00925636">
                              <w:pPr>
                                <w:spacing w:after="0"/>
                                <w:jc w:val="center"/>
                                <w:rPr>
                                  <w:rFonts w:asciiTheme="minorBidi" w:hAnsiTheme="minorBidi"/>
                                  <w:b/>
                                  <w:bCs/>
                                  <w:sz w:val="14"/>
                                  <w:szCs w:val="14"/>
                                </w:rPr>
                              </w:pPr>
                              <w:r>
                                <w:rPr>
                                  <w:rFonts w:ascii="Arial" w:eastAsia="Arial" w:hAnsi="Arial" w:cs="Arial"/>
                                  <w:b/>
                                  <w:bCs/>
                                  <w:sz w:val="14"/>
                                  <w:szCs w:val="14"/>
                                  <w:lang w:val="pt-BR"/>
                                </w:rPr>
                                <w:t xml:space="preserve">O </w:t>
                              </w:r>
                              <w:r>
                                <w:rPr>
                                  <w:rFonts w:ascii="Arial" w:eastAsia="Arial" w:hAnsi="Arial" w:cs="Arial"/>
                                  <w:b/>
                                  <w:bCs/>
                                  <w:sz w:val="14"/>
                                  <w:szCs w:val="14"/>
                                  <w:lang w:val="pt-BR"/>
                                </w:rPr>
                                <w:t>ciclo de melhoria contínua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6" name="Text Box 36"/>
                        <wps:cNvSpPr txBox="1"/>
                        <wps:spPr>
                          <a:xfrm>
                            <a:off x="213461" y="319087"/>
                            <a:ext cx="884609" cy="443246"/>
                          </a:xfrm>
                          <a:prstGeom prst="rect">
                            <a:avLst/>
                          </a:prstGeom>
                          <a:solidFill>
                            <a:schemeClr val="bg1"/>
                          </a:solidFill>
                          <a:ln w="6350">
                            <a:noFill/>
                          </a:ln>
                        </wps:spPr>
                        <wps:txbx>
                          <w:txbxContent>
                            <w:p w14:paraId="370DD6F0" w14:textId="77777777" w:rsidR="00925636" w:rsidRPr="00CC1CB4" w:rsidRDefault="00000000" w:rsidP="00925636">
                              <w:pPr>
                                <w:spacing w:after="0"/>
                                <w:jc w:val="center"/>
                                <w:rPr>
                                  <w:rFonts w:asciiTheme="minorBidi" w:hAnsiTheme="minorBidi"/>
                                  <w:b/>
                                  <w:bCs/>
                                  <w:color w:val="08005D"/>
                                  <w:sz w:val="13"/>
                                  <w:szCs w:val="13"/>
                                  <w:lang w:val="es-ES"/>
                                </w:rPr>
                              </w:pPr>
                              <w:r>
                                <w:rPr>
                                  <w:rFonts w:ascii="Arial" w:eastAsia="Arial" w:hAnsi="Arial" w:cs="Arial"/>
                                  <w:b/>
                                  <w:bCs/>
                                  <w:color w:val="08005D"/>
                                  <w:sz w:val="13"/>
                                  <w:szCs w:val="13"/>
                                  <w:lang w:val="pt-BR"/>
                                </w:rPr>
                                <w:t>INFORMAR:</w:t>
                              </w:r>
                            </w:p>
                            <w:p w14:paraId="28FB8CEE" w14:textId="77777777" w:rsidR="00925636" w:rsidRPr="00CC1CB4" w:rsidRDefault="00000000" w:rsidP="00925636">
                              <w:pPr>
                                <w:spacing w:after="0"/>
                                <w:jc w:val="center"/>
                                <w:rPr>
                                  <w:rFonts w:asciiTheme="minorBidi" w:hAnsiTheme="minorBidi"/>
                                  <w:color w:val="08005D"/>
                                  <w:sz w:val="13"/>
                                  <w:szCs w:val="13"/>
                                  <w:lang w:val="es-ES"/>
                                </w:rPr>
                              </w:pPr>
                              <w:r>
                                <w:rPr>
                                  <w:rFonts w:ascii="Arial" w:eastAsia="Arial" w:hAnsi="Arial" w:cs="Arial"/>
                                  <w:color w:val="08005D"/>
                                  <w:sz w:val="13"/>
                                  <w:szCs w:val="13"/>
                                  <w:lang w:val="pt-BR"/>
                                </w:rPr>
                                <w:t>analisar as necessidades locais, ajustar o foco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7" name="Text Box 37"/>
                        <wps:cNvSpPr txBox="1"/>
                        <wps:spPr>
                          <a:xfrm>
                            <a:off x="2675443" y="308515"/>
                            <a:ext cx="729660" cy="552470"/>
                          </a:xfrm>
                          <a:prstGeom prst="rect">
                            <a:avLst/>
                          </a:prstGeom>
                          <a:solidFill>
                            <a:schemeClr val="bg1"/>
                          </a:solidFill>
                          <a:ln w="6350">
                            <a:noFill/>
                          </a:ln>
                        </wps:spPr>
                        <wps:txbx>
                          <w:txbxContent>
                            <w:p w14:paraId="05756F6F" w14:textId="77777777" w:rsidR="00925636" w:rsidRPr="00CC1CB4" w:rsidRDefault="00000000" w:rsidP="00925636">
                              <w:pPr>
                                <w:spacing w:after="0"/>
                                <w:jc w:val="center"/>
                                <w:rPr>
                                  <w:rFonts w:asciiTheme="minorBidi" w:hAnsiTheme="minorBidi"/>
                                  <w:b/>
                                  <w:bCs/>
                                  <w:color w:val="040195"/>
                                  <w:sz w:val="13"/>
                                  <w:szCs w:val="13"/>
                                  <w:lang w:val="es-ES"/>
                                </w:rPr>
                              </w:pPr>
                              <w:r>
                                <w:rPr>
                                  <w:rFonts w:ascii="Arial" w:eastAsia="Arial" w:hAnsi="Arial" w:cs="Arial"/>
                                  <w:b/>
                                  <w:bCs/>
                                  <w:color w:val="040195"/>
                                  <w:sz w:val="13"/>
                                  <w:szCs w:val="13"/>
                                  <w:lang w:val="pt-BR"/>
                                </w:rPr>
                                <w:t>SELECIONAR:</w:t>
                              </w:r>
                            </w:p>
                            <w:p w14:paraId="0540B910" w14:textId="77777777" w:rsidR="00925636" w:rsidRPr="00CC1CB4" w:rsidRDefault="00000000" w:rsidP="00925636">
                              <w:pPr>
                                <w:spacing w:after="0"/>
                                <w:jc w:val="center"/>
                                <w:rPr>
                                  <w:rFonts w:asciiTheme="minorBidi" w:hAnsiTheme="minorBidi"/>
                                  <w:color w:val="040195"/>
                                  <w:sz w:val="13"/>
                                  <w:szCs w:val="13"/>
                                  <w:lang w:val="es-ES"/>
                                </w:rPr>
                              </w:pPr>
                              <w:r>
                                <w:rPr>
                                  <w:rFonts w:ascii="Arial" w:eastAsia="Arial" w:hAnsi="Arial" w:cs="Arial"/>
                                  <w:color w:val="040195"/>
                                  <w:sz w:val="13"/>
                                  <w:szCs w:val="13"/>
                                  <w:lang w:val="pt-BR"/>
                                </w:rPr>
                                <w:t>identificar, examinar e selecionar intervenções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8" name="Text Box 38"/>
                        <wps:cNvSpPr txBox="1"/>
                        <wps:spPr>
                          <a:xfrm>
                            <a:off x="21144" y="1194147"/>
                            <a:ext cx="883974" cy="443246"/>
                          </a:xfrm>
                          <a:prstGeom prst="rect">
                            <a:avLst/>
                          </a:prstGeom>
                          <a:solidFill>
                            <a:schemeClr val="bg1"/>
                          </a:solidFill>
                          <a:ln w="6350">
                            <a:noFill/>
                          </a:ln>
                        </wps:spPr>
                        <wps:txbx>
                          <w:txbxContent>
                            <w:p w14:paraId="1DDB311B" w14:textId="77777777" w:rsidR="00925636" w:rsidRPr="00CC1CB4" w:rsidRDefault="00000000" w:rsidP="00925636">
                              <w:pPr>
                                <w:spacing w:after="0"/>
                                <w:jc w:val="center"/>
                                <w:rPr>
                                  <w:rFonts w:asciiTheme="minorBidi" w:hAnsiTheme="minorBidi"/>
                                  <w:b/>
                                  <w:bCs/>
                                  <w:color w:val="902790"/>
                                  <w:sz w:val="13"/>
                                  <w:szCs w:val="13"/>
                                  <w:lang w:val="es-ES"/>
                                </w:rPr>
                              </w:pPr>
                              <w:r>
                                <w:rPr>
                                  <w:rFonts w:ascii="Arial" w:eastAsia="Arial" w:hAnsi="Arial" w:cs="Arial"/>
                                  <w:b/>
                                  <w:bCs/>
                                  <w:color w:val="902790"/>
                                  <w:sz w:val="13"/>
                                  <w:szCs w:val="13"/>
                                  <w:lang w:val="pt-BR"/>
                                </w:rPr>
                                <w:t>ANALISAR:</w:t>
                              </w:r>
                            </w:p>
                            <w:p w14:paraId="7CF7AB9A" w14:textId="77777777" w:rsidR="00925636" w:rsidRPr="00CC1CB4" w:rsidRDefault="00000000" w:rsidP="00925636">
                              <w:pPr>
                                <w:spacing w:after="0"/>
                                <w:jc w:val="center"/>
                                <w:rPr>
                                  <w:rFonts w:asciiTheme="minorBidi" w:hAnsiTheme="minorBidi"/>
                                  <w:color w:val="902790"/>
                                  <w:sz w:val="13"/>
                                  <w:szCs w:val="13"/>
                                  <w:lang w:val="es-ES"/>
                                </w:rPr>
                              </w:pPr>
                              <w:r>
                                <w:rPr>
                                  <w:rFonts w:ascii="Arial" w:eastAsia="Arial" w:hAnsi="Arial" w:cs="Arial"/>
                                  <w:color w:val="902790"/>
                                  <w:sz w:val="13"/>
                                  <w:szCs w:val="13"/>
                                  <w:lang w:val="pt-BR"/>
                                </w:rPr>
                                <w:t>realizar avaliação sumativa de desempenho e eficácia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9" name="Text Box 39"/>
                        <wps:cNvSpPr txBox="1"/>
                        <wps:spPr>
                          <a:xfrm>
                            <a:off x="2799510" y="1194801"/>
                            <a:ext cx="631825" cy="443230"/>
                          </a:xfrm>
                          <a:prstGeom prst="rect">
                            <a:avLst/>
                          </a:prstGeom>
                          <a:solidFill>
                            <a:schemeClr val="bg1"/>
                          </a:solidFill>
                          <a:ln w="6350">
                            <a:noFill/>
                          </a:ln>
                        </wps:spPr>
                        <wps:txbx>
                          <w:txbxContent>
                            <w:p w14:paraId="5D337D7C" w14:textId="77777777" w:rsidR="00925636" w:rsidRPr="002B0EDA" w:rsidRDefault="00000000" w:rsidP="00925636">
                              <w:pPr>
                                <w:spacing w:after="0"/>
                                <w:jc w:val="center"/>
                                <w:rPr>
                                  <w:rFonts w:asciiTheme="minorBidi" w:hAnsiTheme="minorBidi"/>
                                  <w:b/>
                                  <w:bCs/>
                                  <w:color w:val="6623FF"/>
                                  <w:sz w:val="13"/>
                                  <w:szCs w:val="13"/>
                                </w:rPr>
                              </w:pPr>
                              <w:r>
                                <w:rPr>
                                  <w:rFonts w:ascii="Arial" w:eastAsia="Arial" w:hAnsi="Arial" w:cs="Arial"/>
                                  <w:b/>
                                  <w:bCs/>
                                  <w:color w:val="6623FF"/>
                                  <w:sz w:val="13"/>
                                  <w:szCs w:val="13"/>
                                  <w:lang w:val="pt-BR"/>
                                </w:rPr>
                                <w:t>PLANO:</w:t>
                              </w:r>
                            </w:p>
                            <w:p w14:paraId="1B61F5C9" w14:textId="77777777" w:rsidR="00925636" w:rsidRPr="002B0EDA" w:rsidRDefault="00000000" w:rsidP="00925636">
                              <w:pPr>
                                <w:spacing w:after="0"/>
                                <w:jc w:val="center"/>
                                <w:rPr>
                                  <w:rFonts w:asciiTheme="minorBidi" w:hAnsiTheme="minorBidi"/>
                                  <w:color w:val="6623FF"/>
                                  <w:sz w:val="13"/>
                                  <w:szCs w:val="13"/>
                                </w:rPr>
                              </w:pPr>
                              <w:r>
                                <w:rPr>
                                  <w:rFonts w:ascii="Arial" w:eastAsia="Arial" w:hAnsi="Arial" w:cs="Arial"/>
                                  <w:color w:val="6623FF"/>
                                  <w:sz w:val="13"/>
                                  <w:szCs w:val="13"/>
                                  <w:lang w:val="pt-BR"/>
                                </w:rPr>
                                <w:t>desenvolver estratégias de implementação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0" name="Text Box 40"/>
                        <wps:cNvSpPr txBox="1"/>
                        <wps:spPr>
                          <a:xfrm>
                            <a:off x="1256511" y="2288620"/>
                            <a:ext cx="1177997" cy="443246"/>
                          </a:xfrm>
                          <a:prstGeom prst="rect">
                            <a:avLst/>
                          </a:prstGeom>
                          <a:solidFill>
                            <a:schemeClr val="bg1"/>
                          </a:solidFill>
                          <a:ln w="6350">
                            <a:noFill/>
                          </a:ln>
                        </wps:spPr>
                        <wps:txbx>
                          <w:txbxContent>
                            <w:p w14:paraId="7325AF7A" w14:textId="77777777" w:rsidR="00925636" w:rsidRPr="00C04CDD" w:rsidRDefault="00000000" w:rsidP="00925636">
                              <w:pPr>
                                <w:spacing w:after="0"/>
                                <w:jc w:val="center"/>
                                <w:rPr>
                                  <w:rFonts w:asciiTheme="minorBidi" w:hAnsiTheme="minorBidi"/>
                                  <w:b/>
                                  <w:bCs/>
                                  <w:color w:val="6D2E86"/>
                                  <w:sz w:val="13"/>
                                  <w:szCs w:val="13"/>
                                  <w:lang w:val="fr-FR"/>
                                </w:rPr>
                              </w:pPr>
                              <w:r>
                                <w:rPr>
                                  <w:rFonts w:ascii="Arial" w:eastAsia="Arial" w:hAnsi="Arial" w:cs="Arial"/>
                                  <w:b/>
                                  <w:bCs/>
                                  <w:color w:val="6D2E86"/>
                                  <w:sz w:val="13"/>
                                  <w:szCs w:val="13"/>
                                  <w:lang w:val="pt-BR"/>
                                </w:rPr>
                                <w:t>IMPLEMENTAR:</w:t>
                              </w:r>
                            </w:p>
                            <w:p w14:paraId="07C9CBF1" w14:textId="77777777" w:rsidR="00925636" w:rsidRPr="00C04CDD" w:rsidRDefault="00000000" w:rsidP="00925636">
                              <w:pPr>
                                <w:spacing w:after="0"/>
                                <w:jc w:val="center"/>
                                <w:rPr>
                                  <w:rFonts w:asciiTheme="minorBidi" w:hAnsiTheme="minorBidi"/>
                                  <w:color w:val="6D2E86"/>
                                  <w:sz w:val="13"/>
                                  <w:szCs w:val="13"/>
                                  <w:lang w:val="fr-FR"/>
                                </w:rPr>
                              </w:pPr>
                              <w:r>
                                <w:rPr>
                                  <w:rFonts w:ascii="Arial" w:eastAsia="Arial" w:hAnsi="Arial" w:cs="Arial"/>
                                  <w:color w:val="6D2E86"/>
                                  <w:sz w:val="13"/>
                                  <w:szCs w:val="13"/>
                                  <w:lang w:val="pt-BR"/>
                                </w:rPr>
                                <w:t>prosseguir com as intervenções, fazer ajustes formativos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1" name="Text Box 41"/>
                        <wps:cNvSpPr txBox="1"/>
                        <wps:spPr>
                          <a:xfrm rot="19882234">
                            <a:off x="1264352" y="579834"/>
                            <a:ext cx="513715" cy="166370"/>
                          </a:xfrm>
                          <a:prstGeom prst="rect">
                            <a:avLst/>
                          </a:prstGeom>
                          <a:solidFill>
                            <a:srgbClr val="16124F"/>
                          </a:solidFill>
                          <a:ln w="6350">
                            <a:noFill/>
                          </a:ln>
                        </wps:spPr>
                        <wps:txbx>
                          <w:txbxContent>
                            <w:p w14:paraId="482AADB3" w14:textId="77777777" w:rsidR="00925636" w:rsidRPr="00336FC5" w:rsidRDefault="00000000" w:rsidP="00925636">
                              <w:pPr>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lang w:val="pt-BR"/>
                                </w:rPr>
                                <w:t>INFORMAR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2" name="Text Box 42"/>
                        <wps:cNvSpPr txBox="1"/>
                        <wps:spPr>
                          <a:xfrm rot="3753893">
                            <a:off x="916617" y="1264296"/>
                            <a:ext cx="648970" cy="166370"/>
                          </a:xfrm>
                          <a:prstGeom prst="rect">
                            <a:avLst/>
                          </a:prstGeom>
                          <a:solidFill>
                            <a:srgbClr val="902790"/>
                          </a:solidFill>
                          <a:ln w="6350">
                            <a:noFill/>
                          </a:ln>
                        </wps:spPr>
                        <wps:txbx>
                          <w:txbxContent>
                            <w:p w14:paraId="17D0C48D" w14:textId="77777777" w:rsidR="00925636" w:rsidRPr="00336FC5" w:rsidRDefault="00000000" w:rsidP="00925636">
                              <w:pPr>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lang w:val="pt-BR"/>
                                </w:rPr>
                                <w:t>ANALISAR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3" name="Text Box 43"/>
                        <wps:cNvSpPr txBox="1"/>
                        <wps:spPr>
                          <a:xfrm>
                            <a:off x="1548215" y="1671495"/>
                            <a:ext cx="637540" cy="191770"/>
                          </a:xfrm>
                          <a:prstGeom prst="rect">
                            <a:avLst/>
                          </a:prstGeom>
                          <a:solidFill>
                            <a:srgbClr val="6D2E86"/>
                          </a:solidFill>
                          <a:ln w="6350">
                            <a:noFill/>
                          </a:ln>
                        </wps:spPr>
                        <wps:txbx>
                          <w:txbxContent>
                            <w:p w14:paraId="0D0E7B1D" w14:textId="77777777" w:rsidR="00925636" w:rsidRPr="00336FC5" w:rsidRDefault="00000000" w:rsidP="00925636">
                              <w:pPr>
                                <w:spacing w:before="60" w:after="60"/>
                                <w:jc w:val="center"/>
                                <w:rPr>
                                  <w:rFonts w:asciiTheme="minorBidi" w:hAnsiTheme="minorBidi"/>
                                  <w:b/>
                                  <w:bCs/>
                                  <w:color w:val="FFFFFF" w:themeColor="background1"/>
                                  <w:sz w:val="13"/>
                                  <w:szCs w:val="13"/>
                                </w:rPr>
                              </w:pPr>
                              <w:r>
                                <w:rPr>
                                  <w:rFonts w:ascii="Arial" w:eastAsia="Arial" w:hAnsi="Arial" w:cs="Arial"/>
                                  <w:b/>
                                  <w:bCs/>
                                  <w:color w:val="FFFFFF"/>
                                  <w:sz w:val="13"/>
                                  <w:szCs w:val="13"/>
                                  <w:lang w:val="pt-BR"/>
                                </w:rPr>
                                <w:t>IMPLEMENTAR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4" name="Text Box 44"/>
                        <wps:cNvSpPr txBox="1"/>
                        <wps:spPr>
                          <a:xfrm rot="18106730">
                            <a:off x="2122236" y="1278181"/>
                            <a:ext cx="631825" cy="166370"/>
                          </a:xfrm>
                          <a:prstGeom prst="rect">
                            <a:avLst/>
                          </a:prstGeom>
                          <a:solidFill>
                            <a:srgbClr val="6623FF"/>
                          </a:solidFill>
                          <a:ln w="6350">
                            <a:noFill/>
                          </a:ln>
                        </wps:spPr>
                        <wps:txbx>
                          <w:txbxContent>
                            <w:p w14:paraId="3061DAAC" w14:textId="77777777" w:rsidR="00925636" w:rsidRPr="003E54CB" w:rsidRDefault="00000000" w:rsidP="00925636">
                              <w:pPr>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lang w:val="pt-BR"/>
                                </w:rPr>
                                <w:t>PLANEJAR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5" name="Text Box 45"/>
                        <wps:cNvSpPr txBox="1"/>
                        <wps:spPr>
                          <a:xfrm rot="1848194">
                            <a:off x="1887004" y="545067"/>
                            <a:ext cx="605790" cy="191770"/>
                          </a:xfrm>
                          <a:prstGeom prst="rect">
                            <a:avLst/>
                          </a:prstGeom>
                          <a:solidFill>
                            <a:srgbClr val="040195"/>
                          </a:solidFill>
                          <a:ln w="6350">
                            <a:noFill/>
                          </a:ln>
                        </wps:spPr>
                        <wps:txbx>
                          <w:txbxContent>
                            <w:p w14:paraId="15820200" w14:textId="77777777" w:rsidR="00925636" w:rsidRPr="003E54CB" w:rsidRDefault="00000000" w:rsidP="00925636">
                              <w:pPr>
                                <w:spacing w:before="60" w:after="60"/>
                                <w:jc w:val="center"/>
                                <w:rPr>
                                  <w:rFonts w:asciiTheme="minorBidi" w:hAnsiTheme="minorBidi"/>
                                  <w:b/>
                                  <w:bCs/>
                                  <w:color w:val="FFFFFF" w:themeColor="background1"/>
                                  <w:sz w:val="13"/>
                                  <w:szCs w:val="13"/>
                                </w:rPr>
                              </w:pPr>
                              <w:r>
                                <w:rPr>
                                  <w:rFonts w:ascii="Arial" w:eastAsia="Arial" w:hAnsi="Arial" w:cs="Arial"/>
                                  <w:b/>
                                  <w:bCs/>
                                  <w:color w:val="FFFFFF"/>
                                  <w:sz w:val="13"/>
                                  <w:szCs w:val="13"/>
                                  <w:lang w:val="pt-BR"/>
                                </w:rPr>
                                <w:t>SELECIONAR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EBD3849" id="Group 34" o:spid="_x0000_s1057" style="position:absolute;left:0;text-align:left;margin-left:94.05pt;margin-top:1.7pt;width:268.5pt;height:213.85pt;z-index:251701248;mso-width-relative:margin;mso-height-relative:margin" coordorigin="211,158" coordsize="34101,2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">
                <v:shape id="Text Box 35" o:spid="_x0000_s1058" type="#_x0000_t202" style="position:absolute;left:8637;top:158;width:20187;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" fillcolor="white [3212]" stroked="f" strokeweight=".5pt">
                  <v:textbox style="mso-fit-shape-to-text:t" inset="0,0,0,0">
                    <w:txbxContent>
                      <w:p w14:paraId="535DEF38" w14:textId="77777777" w:rsidR="00925636" w:rsidRPr="00AF5819" w:rsidRDefault="00000000" w:rsidP="00925636">
                        <w:pPr>
                          <w:spacing w:after="0"/>
                          <w:jc w:val="center"/>
                          <w:rPr>
                            <w:rFonts w:asciiTheme="minorBidi" w:hAnsiTheme="minorBidi"/>
                            <w:b/>
                            <w:bCs/>
                            <w:sz w:val="14"/>
                            <w:szCs w:val="14"/>
                          </w:rPr>
                        </w:pPr>
                        <w:r>
                          <w:rPr>
                            <w:rFonts w:ascii="Arial" w:eastAsia="Arial" w:hAnsi="Arial" w:cs="Arial"/>
                            <w:b/>
                            <w:bCs/>
                            <w:sz w:val="14"/>
                            <w:szCs w:val="14"/>
                            <w:lang w:val="pt-BR"/>
                          </w:rPr>
                          <w:t xml:space="preserve">O </w:t>
                        </w:r>
                        <w:r>
                          <w:rPr>
                            <w:rFonts w:ascii="Arial" w:eastAsia="Arial" w:hAnsi="Arial" w:cs="Arial"/>
                            <w:b/>
                            <w:bCs/>
                            <w:sz w:val="14"/>
                            <w:szCs w:val="14"/>
                            <w:lang w:val="pt-BR"/>
                          </w:rPr>
                          <w:t>ciclo de melhoria contínua</w:t>
                        </w:r>
                      </w:p>
                    </w:txbxContent>
                  </v:textbox>
                </v:shape>
                <v:shape id="Text Box 36" o:spid="_x0000_s1059" type="#_x0000_t202" style="position:absolute;left:2134;top:3190;width:8846;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" fillcolor="white [3212]" stroked="f" strokeweight=".5pt">
                  <v:textbox style="mso-fit-shape-to-text:t" inset="0,0,0,0">
                    <w:txbxContent>
                      <w:p w14:paraId="370DD6F0" w14:textId="77777777" w:rsidR="00925636" w:rsidRPr="00CC1CB4" w:rsidRDefault="00000000" w:rsidP="00925636">
                        <w:pPr>
                          <w:spacing w:after="0"/>
                          <w:jc w:val="center"/>
                          <w:rPr>
                            <w:rFonts w:asciiTheme="minorBidi" w:hAnsiTheme="minorBidi"/>
                            <w:b/>
                            <w:bCs/>
                            <w:color w:val="08005D"/>
                            <w:sz w:val="13"/>
                            <w:szCs w:val="13"/>
                            <w:lang w:val="es-ES"/>
                          </w:rPr>
                        </w:pPr>
                        <w:r>
                          <w:rPr>
                            <w:rFonts w:ascii="Arial" w:eastAsia="Arial" w:hAnsi="Arial" w:cs="Arial"/>
                            <w:b/>
                            <w:bCs/>
                            <w:color w:val="08005D"/>
                            <w:sz w:val="13"/>
                            <w:szCs w:val="13"/>
                            <w:lang w:val="pt-BR"/>
                          </w:rPr>
                          <w:t>INFORMAR:</w:t>
                        </w:r>
                      </w:p>
                      <w:p w14:paraId="28FB8CEE" w14:textId="77777777" w:rsidR="00925636" w:rsidRPr="00CC1CB4" w:rsidRDefault="00000000" w:rsidP="00925636">
                        <w:pPr>
                          <w:spacing w:after="0"/>
                          <w:jc w:val="center"/>
                          <w:rPr>
                            <w:rFonts w:asciiTheme="minorBidi" w:hAnsiTheme="minorBidi"/>
                            <w:color w:val="08005D"/>
                            <w:sz w:val="13"/>
                            <w:szCs w:val="13"/>
                            <w:lang w:val="es-ES"/>
                          </w:rPr>
                        </w:pPr>
                        <w:r>
                          <w:rPr>
                            <w:rFonts w:ascii="Arial" w:eastAsia="Arial" w:hAnsi="Arial" w:cs="Arial"/>
                            <w:color w:val="08005D"/>
                            <w:sz w:val="13"/>
                            <w:szCs w:val="13"/>
                            <w:lang w:val="pt-BR"/>
                          </w:rPr>
                          <w:t>analisar as necessidades locais, ajustar o foco</w:t>
                        </w:r>
                      </w:p>
                    </w:txbxContent>
                  </v:textbox>
                </v:shape>
                <v:shape id="Text Box 37" o:spid="_x0000_s1060" type="#_x0000_t202" style="position:absolute;left:26754;top:3085;width:7297;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" fillcolor="white [3212]" stroked="f" strokeweight=".5pt">
                  <v:textbox style="mso-fit-shape-to-text:t" inset="0,0,0,0">
                    <w:txbxContent>
                      <w:p w14:paraId="05756F6F" w14:textId="77777777" w:rsidR="00925636" w:rsidRPr="00CC1CB4" w:rsidRDefault="00000000" w:rsidP="00925636">
                        <w:pPr>
                          <w:spacing w:after="0"/>
                          <w:jc w:val="center"/>
                          <w:rPr>
                            <w:rFonts w:asciiTheme="minorBidi" w:hAnsiTheme="minorBidi"/>
                            <w:b/>
                            <w:bCs/>
                            <w:color w:val="040195"/>
                            <w:sz w:val="13"/>
                            <w:szCs w:val="13"/>
                            <w:lang w:val="es-ES"/>
                          </w:rPr>
                        </w:pPr>
                        <w:r>
                          <w:rPr>
                            <w:rFonts w:ascii="Arial" w:eastAsia="Arial" w:hAnsi="Arial" w:cs="Arial"/>
                            <w:b/>
                            <w:bCs/>
                            <w:color w:val="040195"/>
                            <w:sz w:val="13"/>
                            <w:szCs w:val="13"/>
                            <w:lang w:val="pt-BR"/>
                          </w:rPr>
                          <w:t>SELECIONAR:</w:t>
                        </w:r>
                      </w:p>
                      <w:p w14:paraId="0540B910" w14:textId="77777777" w:rsidR="00925636" w:rsidRPr="00CC1CB4" w:rsidRDefault="00000000" w:rsidP="00925636">
                        <w:pPr>
                          <w:spacing w:after="0"/>
                          <w:jc w:val="center"/>
                          <w:rPr>
                            <w:rFonts w:asciiTheme="minorBidi" w:hAnsiTheme="minorBidi"/>
                            <w:color w:val="040195"/>
                            <w:sz w:val="13"/>
                            <w:szCs w:val="13"/>
                            <w:lang w:val="es-ES"/>
                          </w:rPr>
                        </w:pPr>
                        <w:r>
                          <w:rPr>
                            <w:rFonts w:ascii="Arial" w:eastAsia="Arial" w:hAnsi="Arial" w:cs="Arial"/>
                            <w:color w:val="040195"/>
                            <w:sz w:val="13"/>
                            <w:szCs w:val="13"/>
                            <w:lang w:val="pt-BR"/>
                          </w:rPr>
                          <w:t>identificar, examinar e selecionar intervenções</w:t>
                        </w:r>
                      </w:p>
                    </w:txbxContent>
                  </v:textbox>
                </v:shape>
                <v:shape id="Text Box 38" o:spid="_x0000_s1061" type="#_x0000_t202" style="position:absolute;left:211;top:11941;width:8840;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" fillcolor="white [3212]" stroked="f" strokeweight=".5pt">
                  <v:textbox style="mso-fit-shape-to-text:t" inset="0,0,0,0">
                    <w:txbxContent>
                      <w:p w14:paraId="1DDB311B" w14:textId="77777777" w:rsidR="00925636" w:rsidRPr="00CC1CB4" w:rsidRDefault="00000000" w:rsidP="00925636">
                        <w:pPr>
                          <w:spacing w:after="0"/>
                          <w:jc w:val="center"/>
                          <w:rPr>
                            <w:rFonts w:asciiTheme="minorBidi" w:hAnsiTheme="minorBidi"/>
                            <w:b/>
                            <w:bCs/>
                            <w:color w:val="902790"/>
                            <w:sz w:val="13"/>
                            <w:szCs w:val="13"/>
                            <w:lang w:val="es-ES"/>
                          </w:rPr>
                        </w:pPr>
                        <w:r>
                          <w:rPr>
                            <w:rFonts w:ascii="Arial" w:eastAsia="Arial" w:hAnsi="Arial" w:cs="Arial"/>
                            <w:b/>
                            <w:bCs/>
                            <w:color w:val="902790"/>
                            <w:sz w:val="13"/>
                            <w:szCs w:val="13"/>
                            <w:lang w:val="pt-BR"/>
                          </w:rPr>
                          <w:t>ANALISAR:</w:t>
                        </w:r>
                      </w:p>
                      <w:p w14:paraId="7CF7AB9A" w14:textId="77777777" w:rsidR="00925636" w:rsidRPr="00CC1CB4" w:rsidRDefault="00000000" w:rsidP="00925636">
                        <w:pPr>
                          <w:spacing w:after="0"/>
                          <w:jc w:val="center"/>
                          <w:rPr>
                            <w:rFonts w:asciiTheme="minorBidi" w:hAnsiTheme="minorBidi"/>
                            <w:color w:val="902790"/>
                            <w:sz w:val="13"/>
                            <w:szCs w:val="13"/>
                            <w:lang w:val="es-ES"/>
                          </w:rPr>
                        </w:pPr>
                        <w:r>
                          <w:rPr>
                            <w:rFonts w:ascii="Arial" w:eastAsia="Arial" w:hAnsi="Arial" w:cs="Arial"/>
                            <w:color w:val="902790"/>
                            <w:sz w:val="13"/>
                            <w:szCs w:val="13"/>
                            <w:lang w:val="pt-BR"/>
                          </w:rPr>
                          <w:t>realizar avaliação sumativa de desempenho e eficácia</w:t>
                        </w:r>
                      </w:p>
                    </w:txbxContent>
                  </v:textbox>
                </v:shape>
                <v:shape id="Text Box 39" o:spid="_x0000_s1062" type="#_x0000_t202" style="position:absolute;left:27995;top:11948;width:6318;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" fillcolor="white [3212]" stroked="f" strokeweight=".5pt">
                  <v:textbox style="mso-fit-shape-to-text:t" inset="0,0,0,0">
                    <w:txbxContent>
                      <w:p w14:paraId="5D337D7C" w14:textId="77777777" w:rsidR="00925636" w:rsidRPr="002B0EDA" w:rsidRDefault="00000000" w:rsidP="00925636">
                        <w:pPr>
                          <w:spacing w:after="0"/>
                          <w:jc w:val="center"/>
                          <w:rPr>
                            <w:rFonts w:asciiTheme="minorBidi" w:hAnsiTheme="minorBidi"/>
                            <w:b/>
                            <w:bCs/>
                            <w:color w:val="6623FF"/>
                            <w:sz w:val="13"/>
                            <w:szCs w:val="13"/>
                          </w:rPr>
                        </w:pPr>
                        <w:r>
                          <w:rPr>
                            <w:rFonts w:ascii="Arial" w:eastAsia="Arial" w:hAnsi="Arial" w:cs="Arial"/>
                            <w:b/>
                            <w:bCs/>
                            <w:color w:val="6623FF"/>
                            <w:sz w:val="13"/>
                            <w:szCs w:val="13"/>
                            <w:lang w:val="pt-BR"/>
                          </w:rPr>
                          <w:t>PLANO:</w:t>
                        </w:r>
                      </w:p>
                      <w:p w14:paraId="1B61F5C9" w14:textId="77777777" w:rsidR="00925636" w:rsidRPr="002B0EDA" w:rsidRDefault="00000000" w:rsidP="00925636">
                        <w:pPr>
                          <w:spacing w:after="0"/>
                          <w:jc w:val="center"/>
                          <w:rPr>
                            <w:rFonts w:asciiTheme="minorBidi" w:hAnsiTheme="minorBidi"/>
                            <w:color w:val="6623FF"/>
                            <w:sz w:val="13"/>
                            <w:szCs w:val="13"/>
                          </w:rPr>
                        </w:pPr>
                        <w:r>
                          <w:rPr>
                            <w:rFonts w:ascii="Arial" w:eastAsia="Arial" w:hAnsi="Arial" w:cs="Arial"/>
                            <w:color w:val="6623FF"/>
                            <w:sz w:val="13"/>
                            <w:szCs w:val="13"/>
                            <w:lang w:val="pt-BR"/>
                          </w:rPr>
                          <w:t>desenvolver estratégias de implementação</w:t>
                        </w:r>
                      </w:p>
                    </w:txbxContent>
                  </v:textbox>
                </v:shape>
                <v:shape id="Text Box 40" o:spid="_x0000_s1063" type="#_x0000_t202" style="position:absolute;left:12565;top:22886;width:11780;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" fillcolor="white [3212]" stroked="f" strokeweight=".5pt">
                  <v:textbox style="mso-fit-shape-to-text:t" inset="0,0,0,0">
                    <w:txbxContent>
                      <w:p w14:paraId="7325AF7A" w14:textId="77777777" w:rsidR="00925636" w:rsidRPr="00C04CDD" w:rsidRDefault="00000000" w:rsidP="00925636">
                        <w:pPr>
                          <w:spacing w:after="0"/>
                          <w:jc w:val="center"/>
                          <w:rPr>
                            <w:rFonts w:asciiTheme="minorBidi" w:hAnsiTheme="minorBidi"/>
                            <w:b/>
                            <w:bCs/>
                            <w:color w:val="6D2E86"/>
                            <w:sz w:val="13"/>
                            <w:szCs w:val="13"/>
                            <w:lang w:val="fr-FR"/>
                          </w:rPr>
                        </w:pPr>
                        <w:r>
                          <w:rPr>
                            <w:rFonts w:ascii="Arial" w:eastAsia="Arial" w:hAnsi="Arial" w:cs="Arial"/>
                            <w:b/>
                            <w:bCs/>
                            <w:color w:val="6D2E86"/>
                            <w:sz w:val="13"/>
                            <w:szCs w:val="13"/>
                            <w:lang w:val="pt-BR"/>
                          </w:rPr>
                          <w:t>IMPLEMENTAR:</w:t>
                        </w:r>
                      </w:p>
                      <w:p w14:paraId="07C9CBF1" w14:textId="77777777" w:rsidR="00925636" w:rsidRPr="00C04CDD" w:rsidRDefault="00000000" w:rsidP="00925636">
                        <w:pPr>
                          <w:spacing w:after="0"/>
                          <w:jc w:val="center"/>
                          <w:rPr>
                            <w:rFonts w:asciiTheme="minorBidi" w:hAnsiTheme="minorBidi"/>
                            <w:color w:val="6D2E86"/>
                            <w:sz w:val="13"/>
                            <w:szCs w:val="13"/>
                            <w:lang w:val="fr-FR"/>
                          </w:rPr>
                        </w:pPr>
                        <w:r>
                          <w:rPr>
                            <w:rFonts w:ascii="Arial" w:eastAsia="Arial" w:hAnsi="Arial" w:cs="Arial"/>
                            <w:color w:val="6D2E86"/>
                            <w:sz w:val="13"/>
                            <w:szCs w:val="13"/>
                            <w:lang w:val="pt-BR"/>
                          </w:rPr>
                          <w:t>prosseguir com as intervenções, fazer ajustes formativos</w:t>
                        </w:r>
                      </w:p>
                    </w:txbxContent>
                  </v:textbox>
                </v:shape>
                <v:shape id="Text Box 41" o:spid="_x0000_s1064" type="#_x0000_t202" style="position:absolute;left:12643;top:5798;width:5137;height:1664;rotation:-18762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" fillcolor="#16124f" stroked="f" strokeweight=".5pt">
                  <v:textbox style="mso-fit-shape-to-text:t" inset="0,0,0,0">
                    <w:txbxContent>
                      <w:p w14:paraId="482AADB3" w14:textId="77777777" w:rsidR="00925636" w:rsidRPr="00336FC5" w:rsidRDefault="00000000" w:rsidP="00925636">
                        <w:pPr>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lang w:val="pt-BR"/>
                          </w:rPr>
                          <w:t>INFORMAR</w:t>
                        </w:r>
                      </w:p>
                    </w:txbxContent>
                  </v:textbox>
                </v:shape>
                <v:shape id="Text Box 42" o:spid="_x0000_s1065" type="#_x0000_t202" style="position:absolute;left:9166;top:12642;width:6490;height:1663;rotation:41002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" fillcolor="#902790" stroked="f" strokeweight=".5pt">
                  <v:textbox style="mso-fit-shape-to-text:t" inset="0,0,0,0">
                    <w:txbxContent>
                      <w:p w14:paraId="17D0C48D" w14:textId="77777777" w:rsidR="00925636" w:rsidRPr="00336FC5" w:rsidRDefault="00000000" w:rsidP="00925636">
                        <w:pPr>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lang w:val="pt-BR"/>
                          </w:rPr>
                          <w:t>ANALISAR</w:t>
                        </w:r>
                      </w:p>
                    </w:txbxContent>
                  </v:textbox>
                </v:shape>
                <v:shape id="Text Box 43" o:spid="_x0000_s1066" type="#_x0000_t202" style="position:absolute;left:15482;top:16714;width:6375;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" fillcolor="#6d2e86" stroked="f" strokeweight=".5pt">
                  <v:textbox style="mso-fit-shape-to-text:t" inset="0,0,0,0">
                    <w:txbxContent>
                      <w:p w14:paraId="0D0E7B1D" w14:textId="77777777" w:rsidR="00925636" w:rsidRPr="00336FC5" w:rsidRDefault="00000000" w:rsidP="00925636">
                        <w:pPr>
                          <w:spacing w:before="60" w:after="60"/>
                          <w:jc w:val="center"/>
                          <w:rPr>
                            <w:rFonts w:asciiTheme="minorBidi" w:hAnsiTheme="minorBidi"/>
                            <w:b/>
                            <w:bCs/>
                            <w:color w:val="FFFFFF" w:themeColor="background1"/>
                            <w:sz w:val="13"/>
                            <w:szCs w:val="13"/>
                          </w:rPr>
                        </w:pPr>
                        <w:r>
                          <w:rPr>
                            <w:rFonts w:ascii="Arial" w:eastAsia="Arial" w:hAnsi="Arial" w:cs="Arial"/>
                            <w:b/>
                            <w:bCs/>
                            <w:color w:val="FFFFFF"/>
                            <w:sz w:val="13"/>
                            <w:szCs w:val="13"/>
                            <w:lang w:val="pt-BR"/>
                          </w:rPr>
                          <w:t>IMPLEMENTAR</w:t>
                        </w:r>
                      </w:p>
                    </w:txbxContent>
                  </v:textbox>
                </v:shape>
                <v:shape id="Text Box 44" o:spid="_x0000_s1067" type="#_x0000_t202" style="position:absolute;left:21222;top:12781;width:6318;height:1664;rotation:-38155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" fillcolor="#6623ff" stroked="f" strokeweight=".5pt">
                  <v:textbox style="mso-fit-shape-to-text:t" inset="0,0,0,0">
                    <w:txbxContent>
                      <w:p w14:paraId="3061DAAC" w14:textId="77777777" w:rsidR="00925636" w:rsidRPr="003E54CB" w:rsidRDefault="00000000" w:rsidP="00925636">
                        <w:pPr>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lang w:val="pt-BR"/>
                          </w:rPr>
                          <w:t>PLANEJAR</w:t>
                        </w:r>
                      </w:p>
                    </w:txbxContent>
                  </v:textbox>
                </v:shape>
                <v:shape id="Text Box 45" o:spid="_x0000_s1068" type="#_x0000_t202" style="position:absolute;left:18870;top:5450;width:6057;height:1918;rotation:20187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" fillcolor="#040195" stroked="f" strokeweight=".5pt">
                  <v:textbox style="mso-fit-shape-to-text:t" inset="0,0,0,0">
                    <w:txbxContent>
                      <w:p w14:paraId="15820200" w14:textId="77777777" w:rsidR="00925636" w:rsidRPr="003E54CB" w:rsidRDefault="00000000" w:rsidP="00925636">
                        <w:pPr>
                          <w:spacing w:before="60" w:after="60"/>
                          <w:jc w:val="center"/>
                          <w:rPr>
                            <w:rFonts w:asciiTheme="minorBidi" w:hAnsiTheme="minorBidi"/>
                            <w:b/>
                            <w:bCs/>
                            <w:color w:val="FFFFFF" w:themeColor="background1"/>
                            <w:sz w:val="13"/>
                            <w:szCs w:val="13"/>
                          </w:rPr>
                        </w:pPr>
                        <w:r>
                          <w:rPr>
                            <w:rFonts w:ascii="Arial" w:eastAsia="Arial" w:hAnsi="Arial" w:cs="Arial"/>
                            <w:b/>
                            <w:bCs/>
                            <w:color w:val="FFFFFF"/>
                            <w:sz w:val="13"/>
                            <w:szCs w:val="13"/>
                            <w:lang w:val="pt-BR"/>
                          </w:rPr>
                          <w:t>SELECIONAR</w:t>
                        </w:r>
                      </w:p>
                    </w:txbxContent>
                  </v:textbox>
                </v:shape>
              </v:group>
            </w:pict>
          </mc:Fallback>
        </mc:AlternateContent>
      </w:r>
      <w:r w:rsidR="00822A9C">
        <w:rPr>
          <w:noProof/>
        </w:rPr>
        <w:drawing>
          <wp:inline distT="0" distB="0" distL="0" distR="0" wp14:anchorId="486D2C0A" wp14:editId="1F3F6775">
            <wp:extent cx="3369165" cy="2628900"/>
            <wp:effectExtent l="0" t="0" r="3175" b="0"/>
            <wp:docPr id="2005569316" name="Picture 2005569316" descr="Continuous improvement cycle: all content is in text version linked immediately af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69316" name="Picture 2005569316" descr="Continuous improvement cycle: all content is in text version linked immediately after imag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69165" cy="2628900"/>
                    </a:xfrm>
                    <a:prstGeom prst="rect">
                      <a:avLst/>
                    </a:prstGeom>
                  </pic:spPr>
                </pic:pic>
              </a:graphicData>
            </a:graphic>
          </wp:inline>
        </w:drawing>
      </w:r>
    </w:p>
    <w:p w14:paraId="67AEBAA1" w14:textId="77777777" w:rsidR="002406CA" w:rsidRPr="00CC1CB4" w:rsidRDefault="00000000" w:rsidP="002406CA">
      <w:pPr>
        <w:spacing w:after="0"/>
        <w:jc w:val="center"/>
        <w:rPr>
          <w:rStyle w:val="af7"/>
          <w:rFonts w:cs="Times New Roman"/>
          <w:lang w:val="es-ES"/>
        </w:rPr>
      </w:pPr>
      <w:hyperlink w:anchor="_Diagram_2:_The" w:history="1">
        <w:r w:rsidR="002406CA">
          <w:rPr>
            <w:rFonts w:eastAsia="Times New Roman" w:cs="Times New Roman"/>
            <w:color w:val="0000FF"/>
            <w:u w:val="single"/>
            <w:lang w:val="pt-BR"/>
          </w:rPr>
          <w:t>Versão do texto: O ciclo de melhoria contínua</w:t>
        </w:r>
      </w:hyperlink>
      <w:bookmarkStart w:id="124" w:name="_Parent_Input_into"/>
      <w:bookmarkEnd w:id="124"/>
    </w:p>
    <w:p w14:paraId="353AA042" w14:textId="77777777" w:rsidR="00E93B72" w:rsidRPr="00CC1CB4" w:rsidRDefault="00000000" w:rsidP="00856537">
      <w:pPr>
        <w:pStyle w:val="A30"/>
      </w:pPr>
      <w:bookmarkStart w:id="125" w:name="_Toc199403732"/>
      <w:r>
        <w:lastRenderedPageBreak/>
        <w:t>Entrada dos pais no Plano de prestação de serviços</w:t>
      </w:r>
      <w:bookmarkEnd w:id="125"/>
    </w:p>
    <w:p w14:paraId="2522E1CA" w14:textId="77777777" w:rsidR="00E93B72" w:rsidRPr="00CC1CB4" w:rsidRDefault="00000000" w:rsidP="6B71CBC4">
      <w:pPr>
        <w:keepNext/>
        <w:keepLines/>
        <w:rPr>
          <w:rFonts w:eastAsia="Times New Roman" w:cs="Times New Roman"/>
          <w:color w:val="000000" w:themeColor="text1"/>
          <w:lang w:val="es-ES"/>
        </w:rPr>
      </w:pPr>
      <w:r>
        <w:rPr>
          <w:rFonts w:eastAsia="Times New Roman" w:cs="Times New Roman"/>
          <w:lang w:val="pt-BR"/>
        </w:rPr>
        <w:t>É particularmente importante para o NJDOE reunir informações dos pais migrantes sobre as necessidades de seus filhos e atualizar o Plano de prestação de serviços do estado regularmente. Portanto, as LOAs concedidas pelo NJDOE fazem um esforço extraordinário para obter a contribuição dos pais. Os pais são notificados por meio da divulgação de folhetos, telefonemas personalizados e visitas de recrutadores/especialistas em intervenção para participar do planejamento e operação do MEP. Os pais interessados são convidados a participar das reuniões anuais do comitê consultivo de pais da LOA regional e, especificamente, das reuniões formais trienais dos comitês estaduais abrangentes de avaliação de necessidades e atualização do Plano de prestação de serviços. As reuniões são realizadas virtualmente; no entanto, os pais são incentivados e apoiados a participar pessoalmente e, quando necessário, por meio do fornecimento de transporte, cuidados infantis e refeições. Durante essas reuniões, os pais são incentivados a fornecer feedback, verbalmente e por meio da conclusão de pesquisas do programa, sobre as necessidades de seus filhos e a identificar os serviços mais eficazes e as necessidades mais urgentes em todo o estado.</w:t>
      </w:r>
    </w:p>
    <w:p w14:paraId="463CC5BE" w14:textId="77777777" w:rsidR="00E93B72" w:rsidRPr="00CC1CB4" w:rsidRDefault="00000000" w:rsidP="00856537">
      <w:pPr>
        <w:pStyle w:val="A30"/>
      </w:pPr>
      <w:bookmarkStart w:id="126" w:name="_Toc199403733"/>
      <w:r>
        <w:t>Quatro áreas principais de necessidades identificadas por meio de uma avaliação abrangente de necessidades</w:t>
      </w:r>
      <w:bookmarkEnd w:id="126"/>
    </w:p>
    <w:p w14:paraId="247AEF2E" w14:textId="77777777" w:rsidR="00813C11" w:rsidRPr="00CC1CB4" w:rsidRDefault="00000000" w:rsidP="00813C11">
      <w:pPr>
        <w:keepNext/>
        <w:keepLines/>
        <w:rPr>
          <w:rFonts w:eastAsia="Times New Roman" w:cs="Times New Roman"/>
          <w:color w:val="000000" w:themeColor="text1"/>
          <w:lang w:val="es-ES"/>
        </w:rPr>
      </w:pPr>
      <w:r>
        <w:rPr>
          <w:rFonts w:eastAsia="Times New Roman" w:cs="Times New Roman"/>
          <w:color w:val="000000"/>
          <w:lang w:val="pt-BR"/>
        </w:rPr>
        <w:t xml:space="preserve">Com base no processo descrito acima, Nova Jersey identificou as seguintes necessidades para os anos 2023-2026 em quatro áreas principais: </w:t>
      </w:r>
    </w:p>
    <w:p w14:paraId="1B36736E" w14:textId="77777777" w:rsidR="00813C11" w:rsidRPr="00973098" w:rsidRDefault="00000000">
      <w:pPr>
        <w:pStyle w:val="a6"/>
        <w:keepNext/>
        <w:keepLines/>
        <w:numPr>
          <w:ilvl w:val="0"/>
          <w:numId w:val="31"/>
        </w:numPr>
        <w:spacing w:after="120"/>
        <w:contextualSpacing w:val="0"/>
        <w:rPr>
          <w:rFonts w:eastAsia="Times New Roman" w:cs="Times New Roman"/>
          <w:color w:val="000000" w:themeColor="text1"/>
        </w:rPr>
      </w:pPr>
      <w:r>
        <w:rPr>
          <w:rFonts w:eastAsia="Times New Roman" w:cs="Times New Roman"/>
          <w:color w:val="000000"/>
          <w:lang w:val="pt-BR"/>
        </w:rPr>
        <w:t xml:space="preserve">ELA e matemática; </w:t>
      </w:r>
    </w:p>
    <w:p w14:paraId="12F713E3" w14:textId="77777777" w:rsidR="00813C11" w:rsidRPr="00973098" w:rsidRDefault="00000000">
      <w:pPr>
        <w:pStyle w:val="a6"/>
        <w:keepNext/>
        <w:keepLines/>
        <w:numPr>
          <w:ilvl w:val="0"/>
          <w:numId w:val="31"/>
        </w:numPr>
        <w:spacing w:after="120"/>
        <w:contextualSpacing w:val="0"/>
        <w:rPr>
          <w:rFonts w:eastAsia="Times New Roman" w:cs="Times New Roman"/>
          <w:color w:val="000000" w:themeColor="text1"/>
        </w:rPr>
      </w:pPr>
      <w:r>
        <w:rPr>
          <w:rFonts w:eastAsia="Times New Roman" w:cs="Times New Roman"/>
          <w:color w:val="000000"/>
          <w:lang w:val="pt-BR"/>
        </w:rPr>
        <w:t xml:space="preserve">prontidão para a escola; </w:t>
      </w:r>
    </w:p>
    <w:p w14:paraId="2BC2A589" w14:textId="77777777" w:rsidR="00813C11" w:rsidRPr="00CC1CB4" w:rsidRDefault="00000000">
      <w:pPr>
        <w:pStyle w:val="a6"/>
        <w:keepNext/>
        <w:keepLines/>
        <w:numPr>
          <w:ilvl w:val="0"/>
          <w:numId w:val="31"/>
        </w:numPr>
        <w:spacing w:after="120"/>
        <w:contextualSpacing w:val="0"/>
        <w:rPr>
          <w:rFonts w:eastAsia="Times New Roman" w:cs="Times New Roman"/>
          <w:color w:val="000000" w:themeColor="text1"/>
          <w:lang w:val="es-ES"/>
        </w:rPr>
      </w:pPr>
      <w:r>
        <w:rPr>
          <w:rFonts w:eastAsia="Times New Roman" w:cs="Times New Roman"/>
          <w:color w:val="000000"/>
          <w:lang w:val="pt-BR"/>
        </w:rPr>
        <w:t xml:space="preserve">formação no ensino médio e desempenho de jovens fora da escola; </w:t>
      </w:r>
    </w:p>
    <w:p w14:paraId="655549D7" w14:textId="77777777" w:rsidR="00813C11" w:rsidRPr="0053042A" w:rsidRDefault="00000000">
      <w:pPr>
        <w:pStyle w:val="a6"/>
        <w:keepNext/>
        <w:keepLines/>
        <w:numPr>
          <w:ilvl w:val="0"/>
          <w:numId w:val="31"/>
        </w:numPr>
        <w:rPr>
          <w:rFonts w:eastAsia="Times New Roman" w:cs="Times New Roman"/>
          <w:color w:val="000000" w:themeColor="text1"/>
        </w:rPr>
      </w:pPr>
      <w:r>
        <w:rPr>
          <w:rFonts w:eastAsia="Times New Roman" w:cs="Times New Roman"/>
          <w:color w:val="000000"/>
          <w:lang w:val="pt-BR"/>
        </w:rPr>
        <w:t xml:space="preserve">serviços de suporte. </w:t>
      </w:r>
      <w:r>
        <w:rPr>
          <w:rFonts w:eastAsia="Times New Roman" w:cs="Times New Roman"/>
          <w:color w:val="000000"/>
          <w:lang w:val="pt-BR"/>
        </w:rPr>
        <w:br w:type="page"/>
      </w:r>
    </w:p>
    <w:p w14:paraId="13FEAB7A" w14:textId="77777777" w:rsidR="00E93B72" w:rsidRPr="0053042A" w:rsidRDefault="00000000" w:rsidP="0053042A">
      <w:pPr>
        <w:pStyle w:val="4"/>
      </w:pPr>
      <w:bookmarkStart w:id="127" w:name="_Toc199403734"/>
      <w:r>
        <w:rPr>
          <w:rFonts w:ascii="Cambria" w:eastAsia="Cambria" w:hAnsi="Cambria" w:cs="Arial"/>
          <w:szCs w:val="24"/>
          <w:lang w:val="pt-BR"/>
        </w:rPr>
        <w:lastRenderedPageBreak/>
        <w:t>Área 1: ELA e matemática</w:t>
      </w:r>
      <w:bookmarkEnd w:id="127"/>
    </w:p>
    <w:p w14:paraId="2C053027" w14:textId="77777777" w:rsidR="00E93B72" w:rsidRPr="00CC1CB4" w:rsidRDefault="00000000">
      <w:pPr>
        <w:pStyle w:val="a6"/>
        <w:numPr>
          <w:ilvl w:val="0"/>
          <w:numId w:val="183"/>
        </w:numPr>
        <w:spacing w:after="120"/>
        <w:contextualSpacing w:val="0"/>
        <w:rPr>
          <w:lang w:val="es-ES"/>
        </w:rPr>
      </w:pPr>
      <w:r>
        <w:rPr>
          <w:rFonts w:eastAsia="Times New Roman" w:cs="Arial"/>
          <w:lang w:val="pt-BR"/>
        </w:rPr>
        <w:t>O desenvolvimento do idioma inglês é menor do que o esperado para alunos migratórios, especialmente no ensino fundamental até o ensino médio.</w:t>
      </w:r>
    </w:p>
    <w:p w14:paraId="5E1510EC" w14:textId="77777777" w:rsidR="00E93B72" w:rsidRPr="00CC1CB4" w:rsidRDefault="00000000">
      <w:pPr>
        <w:pStyle w:val="a6"/>
        <w:numPr>
          <w:ilvl w:val="0"/>
          <w:numId w:val="183"/>
        </w:numPr>
        <w:rPr>
          <w:lang w:val="es-ES"/>
        </w:rPr>
      </w:pPr>
      <w:r>
        <w:rPr>
          <w:rFonts w:eastAsia="Times New Roman" w:cs="Arial"/>
          <w:lang w:val="pt-BR"/>
        </w:rPr>
        <w:t>Os alunos migratórios têm uma pontuação proficiente em uma taxa significativamente menor do que os alunos não migratórios nas avaliações de aprendizagem do aluno de Nova Jersey (NJSLA) em ELA e matemática.</w:t>
      </w:r>
    </w:p>
    <w:p w14:paraId="693715E2" w14:textId="77777777" w:rsidR="00E93B72" w:rsidRPr="0053042A" w:rsidRDefault="00000000" w:rsidP="0053042A">
      <w:pPr>
        <w:pStyle w:val="4"/>
      </w:pPr>
      <w:bookmarkStart w:id="128" w:name="_Toc199403735"/>
      <w:r>
        <w:rPr>
          <w:rFonts w:ascii="Cambria" w:eastAsia="Cambria" w:hAnsi="Cambria" w:cs="Arial"/>
          <w:szCs w:val="24"/>
          <w:lang w:val="pt-BR"/>
        </w:rPr>
        <w:t>Área 2: Prontidão para a escola</w:t>
      </w:r>
      <w:bookmarkEnd w:id="128"/>
    </w:p>
    <w:p w14:paraId="014F6B61" w14:textId="77777777" w:rsidR="00E93B72" w:rsidRPr="00CC1CB4" w:rsidRDefault="00000000">
      <w:pPr>
        <w:pStyle w:val="a6"/>
        <w:numPr>
          <w:ilvl w:val="0"/>
          <w:numId w:val="184"/>
        </w:numPr>
        <w:spacing w:after="120"/>
        <w:contextualSpacing w:val="0"/>
        <w:rPr>
          <w:lang w:val="es-ES"/>
        </w:rPr>
      </w:pPr>
      <w:r>
        <w:rPr>
          <w:rFonts w:eastAsia="Times New Roman" w:cs="Arial"/>
          <w:lang w:val="pt-BR"/>
        </w:rPr>
        <w:t>Crianças migratórias pequenas não estão preparadas para o jardim de infância devido a lacunas em suas experiências de aprendizagem pré-escolar e desenvolvimento de idiomas (tanto em inglês quanto no idioma local).</w:t>
      </w:r>
    </w:p>
    <w:p w14:paraId="5ED70768" w14:textId="77777777" w:rsidR="00E93B72" w:rsidRPr="00CC1CB4" w:rsidRDefault="00000000">
      <w:pPr>
        <w:pStyle w:val="a6"/>
        <w:numPr>
          <w:ilvl w:val="0"/>
          <w:numId w:val="184"/>
        </w:numPr>
        <w:rPr>
          <w:lang w:val="es-ES"/>
        </w:rPr>
      </w:pPr>
      <w:r>
        <w:rPr>
          <w:rFonts w:eastAsia="Times New Roman" w:cs="Arial"/>
          <w:lang w:val="pt-BR"/>
        </w:rPr>
        <w:t>As famílias migratórias têm conhecimento limitado e/ou dificuldade para acessar os serviços de instrução disponíveis para as crianças em idade pré-escolar.</w:t>
      </w:r>
    </w:p>
    <w:p w14:paraId="7A441033" w14:textId="77777777" w:rsidR="00E93B72" w:rsidRPr="00CC1CB4" w:rsidRDefault="00000000" w:rsidP="0053042A">
      <w:pPr>
        <w:pStyle w:val="4"/>
        <w:rPr>
          <w:lang w:val="es-ES"/>
        </w:rPr>
      </w:pPr>
      <w:bookmarkStart w:id="129" w:name="_Toc199403736"/>
      <w:r>
        <w:rPr>
          <w:rFonts w:ascii="Cambria" w:eastAsia="Cambria" w:hAnsi="Cambria" w:cs="Arial"/>
          <w:szCs w:val="24"/>
          <w:lang w:val="pt-BR"/>
        </w:rPr>
        <w:t>Área 3: Formação no ensino médio e desempenho de jovens fora da escola</w:t>
      </w:r>
      <w:bookmarkEnd w:id="129"/>
    </w:p>
    <w:p w14:paraId="202E5DA7" w14:textId="77777777" w:rsidR="00E93B72" w:rsidRPr="00CC1CB4" w:rsidRDefault="00000000">
      <w:pPr>
        <w:pStyle w:val="a6"/>
        <w:numPr>
          <w:ilvl w:val="0"/>
          <w:numId w:val="185"/>
        </w:numPr>
        <w:spacing w:after="120"/>
        <w:contextualSpacing w:val="0"/>
        <w:rPr>
          <w:lang w:val="es-ES"/>
        </w:rPr>
      </w:pPr>
      <w:r>
        <w:rPr>
          <w:rFonts w:eastAsia="Times New Roman" w:cs="Arial"/>
          <w:lang w:val="pt-BR"/>
        </w:rPr>
        <w:t>Os alunos migratórios secundários estão pontuando a uma taxa de proficiência menor do que os alunos não migratórios na NJSLA em ELA e matemática, especialmente após o aprendizado virtual durante a pandemia, onde a equipe do MEP observou menos envolvimento de alunos migratórios em comparação com colegas não migratórios.</w:t>
      </w:r>
    </w:p>
    <w:p w14:paraId="2DCBA384" w14:textId="77777777" w:rsidR="00E93B72" w:rsidRPr="00CC1CB4" w:rsidRDefault="00000000">
      <w:pPr>
        <w:pStyle w:val="a6"/>
        <w:numPr>
          <w:ilvl w:val="0"/>
          <w:numId w:val="185"/>
        </w:numPr>
        <w:spacing w:after="120"/>
        <w:contextualSpacing w:val="0"/>
        <w:rPr>
          <w:lang w:val="es-ES"/>
        </w:rPr>
      </w:pPr>
      <w:r>
        <w:rPr>
          <w:rFonts w:eastAsia="Times New Roman" w:cs="Arial"/>
          <w:lang w:val="pt-BR"/>
        </w:rPr>
        <w:t xml:space="preserve">Os alunos migratórios não estão participando de atividades de preparação para a faculdade e carreira devido à falta de conscientização e falta de identificação com um caminho pós-secundário. </w:t>
      </w:r>
    </w:p>
    <w:p w14:paraId="784CBC3E" w14:textId="77777777" w:rsidR="00E93B72" w:rsidRPr="00CC1CB4" w:rsidRDefault="00000000">
      <w:pPr>
        <w:pStyle w:val="a6"/>
        <w:numPr>
          <w:ilvl w:val="0"/>
          <w:numId w:val="185"/>
        </w:numPr>
        <w:spacing w:after="120"/>
        <w:contextualSpacing w:val="0"/>
        <w:rPr>
          <w:lang w:val="es-ES"/>
        </w:rPr>
      </w:pPr>
      <w:r>
        <w:rPr>
          <w:rFonts w:eastAsia="Times New Roman" w:cs="Arial"/>
          <w:lang w:val="pt-BR"/>
        </w:rPr>
        <w:t>Os jovens migratórios fora da escola não têm conhecimento de habilidades básicas de vida e acesso a instruções apropriadas para suas circunstâncias devido à educação limitada e/ou interrompida.</w:t>
      </w:r>
    </w:p>
    <w:p w14:paraId="32DE86B1" w14:textId="77777777" w:rsidR="00E93B72" w:rsidRPr="00CC1CB4" w:rsidRDefault="00000000">
      <w:pPr>
        <w:pStyle w:val="a6"/>
        <w:numPr>
          <w:ilvl w:val="0"/>
          <w:numId w:val="185"/>
        </w:numPr>
        <w:rPr>
          <w:lang w:val="es-ES"/>
        </w:rPr>
      </w:pPr>
      <w:r>
        <w:rPr>
          <w:rFonts w:eastAsia="Times New Roman" w:cs="Arial"/>
          <w:lang w:val="pt-BR"/>
        </w:rPr>
        <w:t>Os jovens migratórios fora da escola não têm as habilidades linguísticas necessárias para funcionar em um ambiente educacional, carreira e/ou comunidade.</w:t>
      </w:r>
    </w:p>
    <w:p w14:paraId="1DE20AFF" w14:textId="77777777" w:rsidR="00E93B72" w:rsidRPr="0053042A" w:rsidRDefault="00000000" w:rsidP="0053042A">
      <w:pPr>
        <w:pStyle w:val="4"/>
      </w:pPr>
      <w:bookmarkStart w:id="130" w:name="_Toc199403737"/>
      <w:r>
        <w:rPr>
          <w:rFonts w:ascii="Cambria" w:eastAsia="Cambria" w:hAnsi="Cambria" w:cs="Arial"/>
          <w:szCs w:val="24"/>
          <w:lang w:val="pt-BR"/>
        </w:rPr>
        <w:t>Área 4: Serviços de suporte</w:t>
      </w:r>
      <w:bookmarkEnd w:id="130"/>
    </w:p>
    <w:p w14:paraId="03CC9230" w14:textId="77777777" w:rsidR="00E93B72" w:rsidRPr="00CC1CB4" w:rsidRDefault="00000000">
      <w:pPr>
        <w:pStyle w:val="a6"/>
        <w:numPr>
          <w:ilvl w:val="0"/>
          <w:numId w:val="186"/>
        </w:numPr>
        <w:spacing w:after="120"/>
        <w:contextualSpacing w:val="0"/>
        <w:rPr>
          <w:lang w:val="es-ES"/>
        </w:rPr>
      </w:pPr>
      <w:r>
        <w:rPr>
          <w:rFonts w:eastAsia="Times New Roman" w:cs="Arial"/>
          <w:lang w:val="pt-BR"/>
        </w:rPr>
        <w:t>As famílias migratórias não têm acesso equitativo a materiais de leitura e matemática e ferramentas de aprendizagem adequados para o desenvolvimento.</w:t>
      </w:r>
    </w:p>
    <w:p w14:paraId="5A10DBBB" w14:textId="77777777" w:rsidR="00E93B72" w:rsidRPr="00CC1CB4" w:rsidRDefault="00000000">
      <w:pPr>
        <w:pStyle w:val="a6"/>
        <w:numPr>
          <w:ilvl w:val="0"/>
          <w:numId w:val="186"/>
        </w:numPr>
        <w:spacing w:after="120"/>
        <w:contextualSpacing w:val="0"/>
        <w:rPr>
          <w:lang w:val="es-ES"/>
        </w:rPr>
      </w:pPr>
      <w:r>
        <w:rPr>
          <w:rFonts w:eastAsia="Times New Roman" w:cs="Arial"/>
          <w:lang w:val="pt-BR"/>
        </w:rPr>
        <w:t>As famílias migratórias não têm as habilidades, a alfabetização e as estratégias para navegar pelo sistema escolar com sucesso.</w:t>
      </w:r>
    </w:p>
    <w:p w14:paraId="53CA79C9" w14:textId="77777777" w:rsidR="00E93B72" w:rsidRPr="00CC1CB4" w:rsidRDefault="00000000">
      <w:pPr>
        <w:pStyle w:val="a6"/>
        <w:numPr>
          <w:ilvl w:val="0"/>
          <w:numId w:val="186"/>
        </w:numPr>
        <w:spacing w:after="120"/>
        <w:contextualSpacing w:val="0"/>
        <w:rPr>
          <w:lang w:val="es-ES"/>
        </w:rPr>
      </w:pPr>
      <w:r>
        <w:rPr>
          <w:rFonts w:eastAsia="Times New Roman" w:cs="Arial"/>
          <w:lang w:val="pt-BR"/>
        </w:rPr>
        <w:t>Os pais (e outros membros da família) de crianças migratórias não têm as habilidades, a alfabetização e as estratégias para fornecer apoio educacional e experiências enriquecedoras em casa.</w:t>
      </w:r>
    </w:p>
    <w:p w14:paraId="19AF0098" w14:textId="77777777" w:rsidR="006415C4" w:rsidRPr="00CC1CB4" w:rsidRDefault="00000000">
      <w:pPr>
        <w:pStyle w:val="a6"/>
        <w:numPr>
          <w:ilvl w:val="0"/>
          <w:numId w:val="186"/>
        </w:numPr>
        <w:spacing w:after="120"/>
        <w:contextualSpacing w:val="0"/>
        <w:rPr>
          <w:lang w:val="es-ES"/>
        </w:rPr>
      </w:pPr>
      <w:r>
        <w:rPr>
          <w:rFonts w:eastAsia="Times New Roman" w:cs="Arial"/>
          <w:lang w:val="pt-BR"/>
        </w:rPr>
        <w:t>Jovens fora da escola não têm consciência e acesso a serviços de saúde e relacionados e programas educacionais que se adequem aos seus horários e necessidades.</w:t>
      </w:r>
      <w:r>
        <w:rPr>
          <w:rFonts w:eastAsia="Times New Roman" w:cs="Arial"/>
          <w:lang w:val="pt-BR"/>
        </w:rPr>
        <w:br w:type="page"/>
      </w:r>
    </w:p>
    <w:p w14:paraId="69B68243" w14:textId="77777777" w:rsidR="00E93B72" w:rsidRPr="00CC1CB4" w:rsidRDefault="00000000" w:rsidP="00856537">
      <w:pPr>
        <w:pStyle w:val="A30"/>
      </w:pPr>
      <w:bookmarkStart w:id="131" w:name="_Toc199403738"/>
      <w:r>
        <w:lastRenderedPageBreak/>
        <w:t>Estratégias e serviços para atender às necessidades e resultados de desempenho mensuráveis</w:t>
      </w:r>
      <w:bookmarkEnd w:id="131"/>
    </w:p>
    <w:p w14:paraId="19B02347" w14:textId="77777777" w:rsidR="0053042A" w:rsidRPr="00CC1CB4" w:rsidRDefault="00000000" w:rsidP="6B71CBC4">
      <w:pPr>
        <w:rPr>
          <w:rFonts w:cs="Times New Roman"/>
          <w:lang w:val="es-ES"/>
        </w:rPr>
      </w:pPr>
      <w:r>
        <w:rPr>
          <w:rFonts w:eastAsia="Times New Roman" w:cs="Times New Roman"/>
          <w:lang w:val="pt-BR"/>
        </w:rPr>
        <w:t>As LOAs realizam avaliações de necessidades individuais para:</w:t>
      </w:r>
    </w:p>
    <w:p w14:paraId="15461397" w14:textId="77777777" w:rsidR="0053042A" w:rsidRPr="00CC1CB4" w:rsidRDefault="00000000">
      <w:pPr>
        <w:pStyle w:val="a6"/>
        <w:numPr>
          <w:ilvl w:val="0"/>
          <w:numId w:val="187"/>
        </w:numPr>
        <w:spacing w:after="120"/>
        <w:contextualSpacing w:val="0"/>
        <w:rPr>
          <w:rFonts w:eastAsia="Times New Roman" w:cs="Times New Roman"/>
          <w:color w:val="000000" w:themeColor="text1"/>
          <w:lang w:val="es-ES"/>
        </w:rPr>
      </w:pPr>
      <w:r>
        <w:rPr>
          <w:rFonts w:eastAsia="Times New Roman" w:cs="Times New Roman"/>
          <w:lang w:val="pt-BR"/>
        </w:rPr>
        <w:t>Determinar as necessidades dos estudantes migrantes e como essas necessidades se relacionam com as prioridades estabelecidas pelo Estado;</w:t>
      </w:r>
    </w:p>
    <w:p w14:paraId="3C6A558F" w14:textId="77777777" w:rsidR="0053042A" w:rsidRPr="0053042A" w:rsidRDefault="00000000">
      <w:pPr>
        <w:pStyle w:val="a6"/>
        <w:numPr>
          <w:ilvl w:val="0"/>
          <w:numId w:val="187"/>
        </w:numPr>
        <w:spacing w:after="120"/>
        <w:contextualSpacing w:val="0"/>
        <w:rPr>
          <w:rFonts w:eastAsia="Times New Roman" w:cs="Times New Roman"/>
          <w:color w:val="000000" w:themeColor="text1"/>
        </w:rPr>
      </w:pPr>
      <w:r>
        <w:rPr>
          <w:rFonts w:eastAsia="Times New Roman" w:cs="Times New Roman"/>
          <w:lang w:val="pt-BR"/>
        </w:rPr>
        <w:t>Projetar serviços locais;</w:t>
      </w:r>
    </w:p>
    <w:p w14:paraId="56611049" w14:textId="77777777" w:rsidR="0053042A" w:rsidRPr="00CC1CB4" w:rsidRDefault="00000000">
      <w:pPr>
        <w:pStyle w:val="a6"/>
        <w:numPr>
          <w:ilvl w:val="0"/>
          <w:numId w:val="187"/>
        </w:numPr>
        <w:rPr>
          <w:rFonts w:eastAsia="Times New Roman" w:cs="Times New Roman"/>
          <w:color w:val="000000" w:themeColor="text1"/>
          <w:lang w:val="es-ES"/>
        </w:rPr>
      </w:pPr>
      <w:r>
        <w:rPr>
          <w:rFonts w:eastAsia="Times New Roman" w:cs="Times New Roman"/>
          <w:lang w:val="pt-BR"/>
        </w:rPr>
        <w:t xml:space="preserve">Selecionar os alunos para o recebimento desses serviços. </w:t>
      </w:r>
    </w:p>
    <w:p w14:paraId="64BAA958" w14:textId="77777777" w:rsidR="00E93B72" w:rsidRPr="00CC1CB4" w:rsidRDefault="00000000" w:rsidP="0053042A">
      <w:pPr>
        <w:rPr>
          <w:rFonts w:eastAsia="Times New Roman" w:cs="Times New Roman"/>
          <w:color w:val="000000" w:themeColor="text1"/>
          <w:lang w:val="es-ES"/>
        </w:rPr>
      </w:pPr>
      <w:r>
        <w:rPr>
          <w:rFonts w:eastAsia="Times New Roman" w:cs="Times New Roman"/>
          <w:lang w:val="pt-BR"/>
        </w:rPr>
        <w:t xml:space="preserve">O NJDOE e as LOAs concedidas em conjunto garantem que os procedimentos de avaliação de necessidades no nível da LOA estejam alinhados com aqueles no nível estadual; no entanto, as LOAs são capazes de restringir suas avaliações de necessidades porque a equipe local tem acesso a informações mais precisas. Isso permite que a LOA identifique elementos críticos, como as necessidades específicas dos alunos por níveis de ano, áreas acadêmicas nas quais o projeto deve se concentrar, configurações instrucionais, materiais instrucionais, pessoal e técnicas de ensino. </w:t>
      </w:r>
    </w:p>
    <w:p w14:paraId="67FF733A" w14:textId="77777777" w:rsidR="0053042A" w:rsidRPr="00CC1CB4" w:rsidRDefault="00000000" w:rsidP="6B71CBC4">
      <w:pPr>
        <w:keepNext/>
        <w:keepLines/>
        <w:rPr>
          <w:rFonts w:cs="Times New Roman"/>
          <w:lang w:val="es-ES"/>
        </w:rPr>
      </w:pPr>
      <w:r>
        <w:rPr>
          <w:rFonts w:eastAsia="Times New Roman" w:cs="Times New Roman"/>
          <w:lang w:val="pt-BR"/>
        </w:rPr>
        <w:t xml:space="preserve">Com base nas quatro principais áreas de necessidades descritas acima, o NJDOE identificou os seguintes conjuntos de estratégias para garantir que as necessidades exclusivas dos alunos migratórios estejam sendo atendidas. As estratégias nos gráficos abaixo foram elaboradas para serem fornecidas aos estudantes migrantes, além do apoio fornecido a todos os estudantes de Nova Jersey. Resultados mensuráveis do programa (MPOs) também foram incluídos para cada conjunto de estratégias e são usados no processo de avaliação anual. </w:t>
      </w:r>
    </w:p>
    <w:p w14:paraId="4DF4653E" w14:textId="77777777" w:rsidR="00F8767B" w:rsidRPr="00CC1CB4" w:rsidRDefault="00000000" w:rsidP="00F86F30">
      <w:pPr>
        <w:pStyle w:val="aff0"/>
        <w:rPr>
          <w:rFonts w:eastAsia="Times New Roman"/>
          <w:color w:val="000000" w:themeColor="text1"/>
          <w:lang w:val="es-ES"/>
        </w:rPr>
        <w:sectPr w:rsidR="00F8767B" w:rsidRPr="00CC1CB4" w:rsidSect="00A930B6">
          <w:pgSz w:w="12240" w:h="15840"/>
          <w:pgMar w:top="1440" w:right="1440" w:bottom="1440" w:left="1440" w:header="720" w:footer="720" w:gutter="0"/>
          <w:pgNumType w:start="1"/>
          <w:cols w:space="720"/>
          <w:docGrid w:linePitch="360"/>
        </w:sectPr>
      </w:pPr>
      <w:r>
        <w:rPr>
          <w:rFonts w:eastAsia="Cambria"/>
          <w:lang w:val="pt-BR"/>
        </w:rPr>
        <w:t xml:space="preserve">Figuras B.1: As quatro tabelas abaixo listam estratégias e a miríade de serviços disponíveis para crianças migratórias com base em suas necessidades dentro das opções fornecidas para alcançar os MPOs. </w:t>
      </w:r>
    </w:p>
    <w:p w14:paraId="33DCC7F4" w14:textId="77777777" w:rsidR="00B75747" w:rsidRPr="00B75747" w:rsidRDefault="00000000" w:rsidP="00F86F30">
      <w:pPr>
        <w:pStyle w:val="aff0"/>
        <w:rPr>
          <w:rFonts w:ascii="Segoe UI" w:hAnsi="Segoe UI" w:cs="Segoe UI"/>
          <w:color w:val="000000"/>
          <w:sz w:val="18"/>
          <w:szCs w:val="18"/>
        </w:rPr>
      </w:pPr>
      <w:r>
        <w:rPr>
          <w:rFonts w:eastAsia="Cambria"/>
          <w:lang w:val="pt-BR"/>
        </w:rPr>
        <w:lastRenderedPageBreak/>
        <w:t xml:space="preserve">Área 1: ELA e matemática </w:t>
      </w:r>
    </w:p>
    <w:tbl>
      <w:tblPr>
        <w:tblW w:w="12944" w:type="dxa"/>
        <w:tblBorders>
          <w:top w:val="outset" w:sz="6" w:space="0" w:color="auto"/>
          <w:left w:val="outset" w:sz="6" w:space="0" w:color="auto"/>
          <w:bottom w:val="outset" w:sz="6" w:space="0" w:color="auto"/>
          <w:right w:val="outset" w:sz="6" w:space="0" w:color="auto"/>
        </w:tblBorders>
        <w:tblCellMar>
          <w:top w:w="58" w:type="dxa"/>
          <w:left w:w="58" w:type="dxa"/>
          <w:bottom w:w="58" w:type="dxa"/>
          <w:right w:w="58" w:type="dxa"/>
        </w:tblCellMar>
        <w:tblLook w:val="0420" w:firstRow="1" w:lastRow="0" w:firstColumn="0" w:lastColumn="0" w:noHBand="0" w:noVBand="1"/>
        <w:tblCaption w:val="ELA and Mathematics Project Plan"/>
      </w:tblPr>
      <w:tblGrid>
        <w:gridCol w:w="3502"/>
        <w:gridCol w:w="4142"/>
        <w:gridCol w:w="2265"/>
        <w:gridCol w:w="3035"/>
      </w:tblGrid>
      <w:tr w:rsidR="00C566B2" w:rsidRPr="00C04CDD" w14:paraId="1035DFB9" w14:textId="77777777" w:rsidTr="00985E0B">
        <w:trPr>
          <w:trHeight w:val="360"/>
          <w:tblHeader/>
        </w:trPr>
        <w:tc>
          <w:tcPr>
            <w:tcW w:w="3502" w:type="dxa"/>
            <w:tcBorders>
              <w:top w:val="single" w:sz="6" w:space="0" w:color="000000" w:themeColor="text1"/>
              <w:left w:val="single" w:sz="6" w:space="0" w:color="000000" w:themeColor="text1"/>
              <w:bottom w:val="single" w:sz="6" w:space="0" w:color="000000" w:themeColor="text1"/>
              <w:right w:val="single" w:sz="4" w:space="0" w:color="FFFFFF" w:themeColor="background1"/>
            </w:tcBorders>
            <w:shd w:val="clear" w:color="auto" w:fill="244061" w:themeFill="accent1" w:themeFillShade="80"/>
            <w:hideMark/>
          </w:tcPr>
          <w:p w14:paraId="37EF999B" w14:textId="77777777" w:rsidR="00B75747" w:rsidRPr="00D11F20" w:rsidRDefault="00000000" w:rsidP="00B75747">
            <w:pPr>
              <w:spacing w:after="0" w:line="240" w:lineRule="auto"/>
              <w:jc w:val="center"/>
              <w:textAlignment w:val="baseline"/>
              <w:rPr>
                <w:rFonts w:eastAsia="Times New Roman" w:cs="Times New Roman"/>
              </w:rPr>
            </w:pPr>
            <w:r>
              <w:rPr>
                <w:rFonts w:eastAsia="Times New Roman" w:cs="Times New Roman"/>
                <w:b/>
                <w:bCs/>
                <w:color w:val="FFFFFF"/>
                <w:lang w:val="pt-BR"/>
              </w:rPr>
              <w:t>Estratégia</w:t>
            </w:r>
            <w:r>
              <w:rPr>
                <w:rFonts w:eastAsia="Times New Roman" w:cs="Times New Roman"/>
                <w:color w:val="FFFFFF"/>
                <w:lang w:val="pt-BR"/>
              </w:rPr>
              <w:t xml:space="preserve"> </w:t>
            </w:r>
          </w:p>
        </w:tc>
        <w:tc>
          <w:tcPr>
            <w:tcW w:w="4142"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shd w:val="clear" w:color="auto" w:fill="244061" w:themeFill="accent1" w:themeFillShade="80"/>
            <w:hideMark/>
          </w:tcPr>
          <w:p w14:paraId="7DE4B176" w14:textId="77777777" w:rsidR="00B75747" w:rsidRPr="00C04CDD" w:rsidRDefault="00000000" w:rsidP="00B75747">
            <w:pPr>
              <w:spacing w:after="0" w:line="240" w:lineRule="auto"/>
              <w:jc w:val="center"/>
              <w:textAlignment w:val="baseline"/>
              <w:rPr>
                <w:rFonts w:eastAsia="Times New Roman" w:cs="Times New Roman"/>
                <w:lang w:val="fr-FR"/>
              </w:rPr>
            </w:pPr>
            <w:r>
              <w:rPr>
                <w:rFonts w:eastAsia="Times New Roman" w:cs="Times New Roman"/>
                <w:b/>
                <w:bCs/>
                <w:color w:val="FFFFFF"/>
                <w:lang w:val="pt-BR"/>
              </w:rPr>
              <w:t xml:space="preserve">Exemplos de implementação de estratégia </w:t>
            </w:r>
          </w:p>
        </w:tc>
        <w:tc>
          <w:tcPr>
            <w:tcW w:w="2265"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shd w:val="clear" w:color="auto" w:fill="244061" w:themeFill="accent1" w:themeFillShade="80"/>
            <w:hideMark/>
          </w:tcPr>
          <w:p w14:paraId="4978FA1F" w14:textId="77777777" w:rsidR="00B75747" w:rsidRPr="00CC1CB4" w:rsidRDefault="00000000" w:rsidP="00B75747">
            <w:pPr>
              <w:spacing w:after="0" w:line="240" w:lineRule="auto"/>
              <w:jc w:val="center"/>
              <w:textAlignment w:val="baseline"/>
              <w:rPr>
                <w:rFonts w:eastAsia="Times New Roman" w:cs="Times New Roman"/>
                <w:lang w:val="es-ES"/>
              </w:rPr>
            </w:pPr>
            <w:r>
              <w:rPr>
                <w:rFonts w:eastAsia="Times New Roman" w:cs="Times New Roman"/>
                <w:b/>
                <w:bCs/>
                <w:color w:val="FFFFFF"/>
                <w:lang w:val="pt-BR"/>
              </w:rPr>
              <w:t>Uso de fundos do MEP</w:t>
            </w:r>
            <w:r>
              <w:rPr>
                <w:rFonts w:eastAsia="Times New Roman" w:cs="Times New Roman"/>
                <w:color w:val="FFFFFF"/>
                <w:lang w:val="pt-BR"/>
              </w:rPr>
              <w:t xml:space="preserve"> </w:t>
            </w:r>
          </w:p>
        </w:tc>
        <w:tc>
          <w:tcPr>
            <w:tcW w:w="3035" w:type="dxa"/>
            <w:tcBorders>
              <w:top w:val="single" w:sz="6" w:space="0" w:color="000000" w:themeColor="text1"/>
              <w:left w:val="single" w:sz="4" w:space="0" w:color="FFFFFF" w:themeColor="background1"/>
              <w:bottom w:val="single" w:sz="6" w:space="0" w:color="000000" w:themeColor="text1"/>
              <w:right w:val="single" w:sz="6" w:space="0" w:color="000000" w:themeColor="text1"/>
            </w:tcBorders>
            <w:shd w:val="clear" w:color="auto" w:fill="244061" w:themeFill="accent1" w:themeFillShade="80"/>
            <w:hideMark/>
          </w:tcPr>
          <w:p w14:paraId="412053A6" w14:textId="77777777" w:rsidR="00B75747" w:rsidRPr="00CC1CB4" w:rsidRDefault="00000000" w:rsidP="00B75747">
            <w:pPr>
              <w:spacing w:after="0" w:line="240" w:lineRule="auto"/>
              <w:jc w:val="center"/>
              <w:textAlignment w:val="baseline"/>
              <w:rPr>
                <w:rFonts w:eastAsia="Times New Roman" w:cs="Times New Roman"/>
                <w:lang w:val="es-ES"/>
              </w:rPr>
            </w:pPr>
            <w:r>
              <w:rPr>
                <w:rFonts w:eastAsia="Times New Roman" w:cs="Times New Roman"/>
                <w:b/>
                <w:bCs/>
                <w:color w:val="FFFFFF"/>
                <w:lang w:val="pt-BR"/>
              </w:rPr>
              <w:t>Os projetos de informação devem manter sobre a implementação da estratégia</w:t>
            </w:r>
            <w:r>
              <w:rPr>
                <w:rFonts w:eastAsia="Times New Roman" w:cs="Times New Roman"/>
                <w:color w:val="FFFFFF"/>
                <w:lang w:val="pt-BR"/>
              </w:rPr>
              <w:t xml:space="preserve"> </w:t>
            </w:r>
          </w:p>
        </w:tc>
      </w:tr>
      <w:tr w:rsidR="00C566B2" w14:paraId="76D50061" w14:textId="77777777" w:rsidTr="1C509991">
        <w:trPr>
          <w:trHeight w:val="1305"/>
        </w:trPr>
        <w:tc>
          <w:tcPr>
            <w:tcW w:w="35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D47C91" w14:textId="77777777" w:rsidR="00B75747" w:rsidRPr="00CC1CB4" w:rsidRDefault="00000000" w:rsidP="00B75747">
            <w:pPr>
              <w:spacing w:after="0" w:line="240" w:lineRule="auto"/>
              <w:textAlignment w:val="baseline"/>
              <w:rPr>
                <w:rFonts w:eastAsia="Times New Roman" w:cs="Times New Roman"/>
                <w:lang w:val="es-ES"/>
              </w:rPr>
            </w:pPr>
            <w:r>
              <w:rPr>
                <w:rFonts w:eastAsia="Times New Roman" w:cs="Times New Roman"/>
                <w:b/>
                <w:bCs/>
                <w:lang w:val="pt-BR"/>
              </w:rPr>
              <w:t>1.1)</w:t>
            </w:r>
            <w:r>
              <w:rPr>
                <w:rFonts w:eastAsia="Times New Roman" w:cs="Times New Roman"/>
                <w:lang w:val="pt-BR"/>
              </w:rPr>
              <w:t xml:space="preserve"> Para garantir o avanço no nível do ano, forneça tutoria e instrução suplementares durante o ano letivo regular, alinhados à Avaliação de necessidades individuais, que inclui a identificação de metas anuais e monitoramento trimestral do progresso. </w:t>
            </w:r>
          </w:p>
        </w:tc>
        <w:tc>
          <w:tcPr>
            <w:tcW w:w="41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BBC800" w14:textId="77777777" w:rsidR="00B75747" w:rsidRPr="00D11F20" w:rsidRDefault="00000000">
            <w:pPr>
              <w:numPr>
                <w:ilvl w:val="0"/>
                <w:numId w:val="32"/>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Depois da tutoria. </w:t>
            </w:r>
          </w:p>
          <w:p w14:paraId="4DF4959F" w14:textId="77777777" w:rsidR="00B75747" w:rsidRPr="00CC1CB4" w:rsidRDefault="00000000">
            <w:pPr>
              <w:numPr>
                <w:ilvl w:val="0"/>
                <w:numId w:val="32"/>
              </w:numPr>
              <w:tabs>
                <w:tab w:val="clear" w:pos="720"/>
                <w:tab w:val="num" w:pos="439"/>
              </w:tabs>
              <w:spacing w:after="0" w:line="240" w:lineRule="auto"/>
              <w:ind w:left="254" w:hanging="175"/>
              <w:textAlignment w:val="baseline"/>
              <w:rPr>
                <w:rFonts w:eastAsia="Times New Roman" w:cs="Times New Roman"/>
                <w:lang w:val="es-ES"/>
              </w:rPr>
            </w:pPr>
            <w:r>
              <w:rPr>
                <w:rFonts w:eastAsia="Times New Roman" w:cs="Times New Roman"/>
                <w:color w:val="000000"/>
                <w:lang w:val="pt-BR"/>
              </w:rPr>
              <w:t xml:space="preserve">Desenvolvimento profissional (PD) da equipe. </w:t>
            </w:r>
          </w:p>
          <w:p w14:paraId="3B1CC4A3" w14:textId="77777777" w:rsidR="00B75747" w:rsidRPr="00D11F20" w:rsidRDefault="00000000">
            <w:pPr>
              <w:numPr>
                <w:ilvl w:val="0"/>
                <w:numId w:val="32"/>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Tutoria na escola. </w:t>
            </w:r>
          </w:p>
          <w:p w14:paraId="59B06CD1" w14:textId="77777777" w:rsidR="00B75747" w:rsidRPr="00D11F20" w:rsidRDefault="00000000">
            <w:pPr>
              <w:numPr>
                <w:ilvl w:val="0"/>
                <w:numId w:val="32"/>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Aprendizagem baseada em projeto. </w:t>
            </w:r>
          </w:p>
          <w:p w14:paraId="604B7254" w14:textId="77777777" w:rsidR="00B75747" w:rsidRPr="00D11F20" w:rsidRDefault="00000000">
            <w:pPr>
              <w:numPr>
                <w:ilvl w:val="0"/>
                <w:numId w:val="32"/>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Avaliações de classificação. </w:t>
            </w:r>
          </w:p>
          <w:p w14:paraId="496DE9A4" w14:textId="77777777" w:rsidR="00B75747" w:rsidRPr="00D11F20" w:rsidRDefault="00000000">
            <w:pPr>
              <w:numPr>
                <w:ilvl w:val="0"/>
                <w:numId w:val="32"/>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Revisões de presença. </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A90C5A" w14:textId="77777777" w:rsidR="00B75747" w:rsidRPr="00CC1CB4" w:rsidRDefault="00000000">
            <w:pPr>
              <w:numPr>
                <w:ilvl w:val="0"/>
                <w:numId w:val="33"/>
              </w:numPr>
              <w:tabs>
                <w:tab w:val="clear" w:pos="720"/>
                <w:tab w:val="num" w:pos="439"/>
              </w:tabs>
              <w:spacing w:after="0" w:line="240" w:lineRule="auto"/>
              <w:ind w:left="254" w:hanging="175"/>
              <w:textAlignment w:val="baseline"/>
              <w:rPr>
                <w:rFonts w:eastAsia="Times New Roman" w:cs="Times New Roman"/>
                <w:lang w:val="es-ES"/>
              </w:rPr>
            </w:pPr>
            <w:r>
              <w:rPr>
                <w:rFonts w:eastAsia="Times New Roman" w:cs="Times New Roman"/>
                <w:color w:val="000000"/>
                <w:lang w:val="pt-BR"/>
              </w:rPr>
              <w:t xml:space="preserve">Professores e auxiliares para tutoria. </w:t>
            </w:r>
          </w:p>
          <w:p w14:paraId="284B8F05" w14:textId="77777777" w:rsidR="00B75747" w:rsidRPr="00CC1CB4" w:rsidRDefault="00000000">
            <w:pPr>
              <w:numPr>
                <w:ilvl w:val="0"/>
                <w:numId w:val="33"/>
              </w:numPr>
              <w:tabs>
                <w:tab w:val="clear" w:pos="720"/>
                <w:tab w:val="num" w:pos="439"/>
              </w:tabs>
              <w:spacing w:after="0" w:line="240" w:lineRule="auto"/>
              <w:ind w:left="254" w:hanging="175"/>
              <w:textAlignment w:val="baseline"/>
              <w:rPr>
                <w:rFonts w:eastAsia="Times New Roman" w:cs="Times New Roman"/>
                <w:lang w:val="es-ES"/>
              </w:rPr>
            </w:pPr>
            <w:r>
              <w:rPr>
                <w:rFonts w:eastAsia="Times New Roman" w:cs="Times New Roman"/>
                <w:color w:val="000000"/>
                <w:lang w:val="pt-BR"/>
              </w:rPr>
              <w:t xml:space="preserve">Materiais e suprimentos do currículo. </w:t>
            </w:r>
          </w:p>
          <w:p w14:paraId="75BA80BD" w14:textId="77777777" w:rsidR="00B75747" w:rsidRPr="00D11F20" w:rsidRDefault="00000000">
            <w:pPr>
              <w:numPr>
                <w:ilvl w:val="0"/>
                <w:numId w:val="33"/>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Distribuições de livros </w:t>
            </w:r>
          </w:p>
          <w:p w14:paraId="0EE9CF45" w14:textId="77777777" w:rsidR="00B75747" w:rsidRPr="00D11F20" w:rsidRDefault="00000000">
            <w:pPr>
              <w:numPr>
                <w:ilvl w:val="0"/>
                <w:numId w:val="33"/>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PD local </w:t>
            </w:r>
          </w:p>
          <w:p w14:paraId="3AC1403D" w14:textId="77777777" w:rsidR="00B75747" w:rsidRPr="00D11F20" w:rsidRDefault="00000000">
            <w:pPr>
              <w:numPr>
                <w:ilvl w:val="0"/>
                <w:numId w:val="33"/>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Estipêndios </w:t>
            </w:r>
          </w:p>
          <w:p w14:paraId="22CA4A84" w14:textId="77777777" w:rsidR="00B75747" w:rsidRPr="00D11F20" w:rsidRDefault="00000000">
            <w:pPr>
              <w:numPr>
                <w:ilvl w:val="0"/>
                <w:numId w:val="33"/>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Memorandos de entendimento (MOUs) </w:t>
            </w:r>
          </w:p>
        </w:tc>
        <w:tc>
          <w:tcPr>
            <w:tcW w:w="30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996213" w14:textId="77777777" w:rsidR="00B75747" w:rsidRPr="00D11F20" w:rsidRDefault="00000000">
            <w:pPr>
              <w:numPr>
                <w:ilvl w:val="0"/>
                <w:numId w:val="34"/>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Registros do tutor </w:t>
            </w:r>
          </w:p>
          <w:p w14:paraId="28544E9E" w14:textId="77777777" w:rsidR="00B75747" w:rsidRPr="00D11F20" w:rsidRDefault="00000000">
            <w:pPr>
              <w:numPr>
                <w:ilvl w:val="0"/>
                <w:numId w:val="34"/>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Avaliações de necessidades individuais </w:t>
            </w:r>
          </w:p>
          <w:p w14:paraId="4558C376" w14:textId="77777777" w:rsidR="00B75747" w:rsidRPr="00D11F20" w:rsidRDefault="00000000">
            <w:pPr>
              <w:numPr>
                <w:ilvl w:val="0"/>
                <w:numId w:val="34"/>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Planos de aprendizagem </w:t>
            </w:r>
          </w:p>
          <w:p w14:paraId="794F6B51" w14:textId="77777777" w:rsidR="00B75747" w:rsidRPr="00D11F20" w:rsidRDefault="00000000">
            <w:pPr>
              <w:numPr>
                <w:ilvl w:val="0"/>
                <w:numId w:val="34"/>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Resultados da avaliação </w:t>
            </w:r>
          </w:p>
        </w:tc>
      </w:tr>
      <w:tr w:rsidR="00C566B2" w14:paraId="526A6AD5" w14:textId="77777777" w:rsidTr="009007A1">
        <w:trPr>
          <w:trHeight w:val="2085"/>
        </w:trPr>
        <w:tc>
          <w:tcPr>
            <w:tcW w:w="35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47C701D" w14:textId="77777777" w:rsidR="00B75747" w:rsidRPr="00CC1CB4" w:rsidRDefault="00000000" w:rsidP="00B75747">
            <w:pPr>
              <w:spacing w:after="0" w:line="240" w:lineRule="auto"/>
              <w:textAlignment w:val="baseline"/>
              <w:rPr>
                <w:rFonts w:eastAsia="Times New Roman" w:cs="Times New Roman"/>
                <w:lang w:val="es-ES"/>
              </w:rPr>
            </w:pPr>
            <w:r>
              <w:rPr>
                <w:rFonts w:eastAsia="Times New Roman" w:cs="Times New Roman"/>
                <w:b/>
                <w:bCs/>
                <w:lang w:val="pt-BR"/>
              </w:rPr>
              <w:t>1.2)</w:t>
            </w:r>
            <w:r>
              <w:rPr>
                <w:rFonts w:eastAsia="Times New Roman" w:cs="Times New Roman"/>
                <w:lang w:val="pt-BR"/>
              </w:rPr>
              <w:t xml:space="preserve"> Fornecer um estipêndio à equipe bilíngue da escola para atuar como um contato migratório dos alunos para ajudar a preencher a Avaliação de necessidades individuais, construir relacionamentos com famílias e alunos, ajudar famílias a navegar pelo sistema escolar, reunir-se regularmente para discutir necessidades, colaborar com os programas regionais e defender que os alunos migratórios recebam intervenções educacionais disponíveis na escola. </w:t>
            </w:r>
          </w:p>
        </w:tc>
        <w:tc>
          <w:tcPr>
            <w:tcW w:w="41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E5F183" w14:textId="77777777" w:rsidR="00B75747" w:rsidRPr="00D11F20" w:rsidRDefault="00000000">
            <w:pPr>
              <w:numPr>
                <w:ilvl w:val="0"/>
                <w:numId w:val="35"/>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Ligações de estudantes migrantes. </w:t>
            </w:r>
          </w:p>
          <w:p w14:paraId="546EF46C" w14:textId="77777777" w:rsidR="00B75747" w:rsidRPr="00D11F20" w:rsidRDefault="00000000">
            <w:pPr>
              <w:numPr>
                <w:ilvl w:val="0"/>
                <w:numId w:val="35"/>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Reuniões regulares de contato. </w:t>
            </w:r>
          </w:p>
          <w:p w14:paraId="3FA3B82A" w14:textId="77777777" w:rsidR="00B75747" w:rsidRPr="00D11F20" w:rsidRDefault="00000000">
            <w:pPr>
              <w:numPr>
                <w:ilvl w:val="0"/>
                <w:numId w:val="35"/>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Reuniões com os pais. </w:t>
            </w:r>
          </w:p>
          <w:p w14:paraId="06DCF070" w14:textId="77777777" w:rsidR="00B75747" w:rsidRPr="00D11F20" w:rsidRDefault="00000000">
            <w:pPr>
              <w:numPr>
                <w:ilvl w:val="0"/>
                <w:numId w:val="35"/>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Reuniões de defesa. </w:t>
            </w:r>
          </w:p>
          <w:p w14:paraId="6500AF9C" w14:textId="77777777" w:rsidR="00B75747" w:rsidRPr="00D11F20" w:rsidRDefault="00000000">
            <w:pPr>
              <w:numPr>
                <w:ilvl w:val="0"/>
                <w:numId w:val="35"/>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Treinamento para contatos migrantes. </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5DD2FB" w14:textId="77777777" w:rsidR="00B75747" w:rsidRPr="00D11F20" w:rsidRDefault="00000000">
            <w:pPr>
              <w:numPr>
                <w:ilvl w:val="0"/>
                <w:numId w:val="36"/>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Estipêndios para ligações bilíngues. </w:t>
            </w:r>
          </w:p>
          <w:p w14:paraId="3873C2D2" w14:textId="77777777" w:rsidR="00B75747" w:rsidRPr="00CC1CB4" w:rsidRDefault="00000000">
            <w:pPr>
              <w:numPr>
                <w:ilvl w:val="0"/>
                <w:numId w:val="36"/>
              </w:numPr>
              <w:tabs>
                <w:tab w:val="clear" w:pos="720"/>
                <w:tab w:val="num" w:pos="439"/>
              </w:tabs>
              <w:spacing w:after="0" w:line="240" w:lineRule="auto"/>
              <w:ind w:left="254" w:hanging="175"/>
              <w:textAlignment w:val="baseline"/>
              <w:rPr>
                <w:rFonts w:eastAsia="Times New Roman" w:cs="Times New Roman"/>
                <w:lang w:val="es-ES"/>
              </w:rPr>
            </w:pPr>
            <w:r>
              <w:rPr>
                <w:rFonts w:eastAsia="Times New Roman" w:cs="Times New Roman"/>
                <w:color w:val="000000"/>
                <w:lang w:val="pt-BR"/>
              </w:rPr>
              <w:t xml:space="preserve">Materiais e suprimentos do currículo. </w:t>
            </w:r>
          </w:p>
          <w:p w14:paraId="4C05D1BF" w14:textId="77777777" w:rsidR="00B75747" w:rsidRPr="00D11F20" w:rsidRDefault="00000000">
            <w:pPr>
              <w:numPr>
                <w:ilvl w:val="0"/>
                <w:numId w:val="36"/>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PD local </w:t>
            </w:r>
          </w:p>
          <w:p w14:paraId="164C75F7" w14:textId="77777777" w:rsidR="00B75747" w:rsidRPr="00CC1CB4" w:rsidRDefault="00000000">
            <w:pPr>
              <w:numPr>
                <w:ilvl w:val="0"/>
                <w:numId w:val="36"/>
              </w:numPr>
              <w:tabs>
                <w:tab w:val="clear" w:pos="720"/>
                <w:tab w:val="num" w:pos="439"/>
              </w:tabs>
              <w:spacing w:after="0" w:line="240" w:lineRule="auto"/>
              <w:ind w:left="254" w:hanging="175"/>
              <w:textAlignment w:val="baseline"/>
              <w:rPr>
                <w:rFonts w:eastAsia="Times New Roman" w:cs="Times New Roman"/>
                <w:lang w:val="es-ES"/>
              </w:rPr>
            </w:pPr>
            <w:r>
              <w:rPr>
                <w:rFonts w:eastAsia="Times New Roman" w:cs="Times New Roman"/>
                <w:color w:val="000000"/>
                <w:lang w:val="pt-BR"/>
              </w:rPr>
              <w:t xml:space="preserve">Viagem para treinamento e reuniões. </w:t>
            </w:r>
          </w:p>
        </w:tc>
        <w:tc>
          <w:tcPr>
            <w:tcW w:w="30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563596" w14:textId="77777777" w:rsidR="00B75747" w:rsidRPr="00D11F20" w:rsidRDefault="00000000">
            <w:pPr>
              <w:numPr>
                <w:ilvl w:val="0"/>
                <w:numId w:val="37"/>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Pesquisas </w:t>
            </w:r>
          </w:p>
          <w:p w14:paraId="1C527F74" w14:textId="77777777" w:rsidR="00B75747" w:rsidRPr="00D11F20" w:rsidRDefault="00000000">
            <w:pPr>
              <w:numPr>
                <w:ilvl w:val="0"/>
                <w:numId w:val="37"/>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Agendas </w:t>
            </w:r>
          </w:p>
          <w:p w14:paraId="23F05551" w14:textId="77777777" w:rsidR="00B75747" w:rsidRPr="00D11F20" w:rsidRDefault="00000000">
            <w:pPr>
              <w:numPr>
                <w:ilvl w:val="0"/>
                <w:numId w:val="37"/>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Observações </w:t>
            </w:r>
          </w:p>
          <w:p w14:paraId="5605C58A" w14:textId="77777777" w:rsidR="00B75747" w:rsidRPr="00D11F20" w:rsidRDefault="00000000">
            <w:pPr>
              <w:numPr>
                <w:ilvl w:val="0"/>
                <w:numId w:val="37"/>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Avaliações </w:t>
            </w:r>
          </w:p>
          <w:p w14:paraId="3678130E" w14:textId="77777777" w:rsidR="00B75747" w:rsidRPr="00D11F20" w:rsidRDefault="00000000">
            <w:pPr>
              <w:numPr>
                <w:ilvl w:val="0"/>
                <w:numId w:val="37"/>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Registros do tutor </w:t>
            </w:r>
          </w:p>
          <w:p w14:paraId="377FC459" w14:textId="77777777" w:rsidR="00B75747" w:rsidRPr="00D11F20" w:rsidRDefault="00000000">
            <w:pPr>
              <w:numPr>
                <w:ilvl w:val="0"/>
                <w:numId w:val="37"/>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Avaliações de necessidades individuais </w:t>
            </w:r>
          </w:p>
          <w:p w14:paraId="3B9C5004" w14:textId="77777777" w:rsidR="00B75747" w:rsidRPr="00D11F20" w:rsidRDefault="00000000">
            <w:pPr>
              <w:numPr>
                <w:ilvl w:val="0"/>
                <w:numId w:val="37"/>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Planos de aprendizagem </w:t>
            </w:r>
          </w:p>
          <w:p w14:paraId="76B68071" w14:textId="77777777" w:rsidR="00B75747" w:rsidRPr="00D11F20" w:rsidRDefault="00000000">
            <w:pPr>
              <w:numPr>
                <w:ilvl w:val="0"/>
                <w:numId w:val="37"/>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Resultados da avaliação </w:t>
            </w:r>
          </w:p>
        </w:tc>
      </w:tr>
      <w:tr w:rsidR="00C566B2" w14:paraId="77716FB8" w14:textId="77777777" w:rsidTr="009007A1">
        <w:trPr>
          <w:trHeight w:val="2310"/>
        </w:trPr>
        <w:tc>
          <w:tcPr>
            <w:tcW w:w="3502"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auto"/>
            <w:hideMark/>
          </w:tcPr>
          <w:p w14:paraId="579149EA" w14:textId="77777777" w:rsidR="00B75747" w:rsidRPr="00CC1CB4" w:rsidRDefault="00000000" w:rsidP="00B75747">
            <w:pPr>
              <w:spacing w:after="0" w:line="240" w:lineRule="auto"/>
              <w:textAlignment w:val="baseline"/>
              <w:rPr>
                <w:rFonts w:eastAsia="Times New Roman" w:cs="Times New Roman"/>
                <w:lang w:val="es-ES"/>
              </w:rPr>
            </w:pPr>
            <w:r>
              <w:rPr>
                <w:rFonts w:eastAsia="Times New Roman" w:cs="Times New Roman"/>
                <w:b/>
                <w:bCs/>
                <w:lang w:val="pt-BR"/>
              </w:rPr>
              <w:lastRenderedPageBreak/>
              <w:t xml:space="preserve">1.3) </w:t>
            </w:r>
            <w:r>
              <w:rPr>
                <w:rFonts w:eastAsia="Times New Roman" w:cs="Times New Roman"/>
                <w:lang w:val="pt-BR"/>
              </w:rPr>
              <w:t xml:space="preserve">Fornecer instruções escolares de verão focadas em aliviar a perda de aprendizagem de verão e aumentar as habilidades de ELA e matemática usando estratégias baseadas em evidências. </w:t>
            </w:r>
          </w:p>
        </w:tc>
        <w:tc>
          <w:tcPr>
            <w:tcW w:w="4142"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hideMark/>
          </w:tcPr>
          <w:p w14:paraId="7BCD7C5B" w14:textId="77777777" w:rsidR="00B75747" w:rsidRPr="00CC1CB4" w:rsidRDefault="00000000">
            <w:pPr>
              <w:numPr>
                <w:ilvl w:val="0"/>
                <w:numId w:val="38"/>
              </w:numPr>
              <w:tabs>
                <w:tab w:val="clear" w:pos="720"/>
                <w:tab w:val="num" w:pos="439"/>
              </w:tabs>
              <w:spacing w:after="0" w:line="240" w:lineRule="auto"/>
              <w:ind w:left="254" w:hanging="175"/>
              <w:textAlignment w:val="baseline"/>
              <w:rPr>
                <w:rFonts w:eastAsia="Times New Roman" w:cs="Times New Roman"/>
                <w:lang w:val="es-ES"/>
              </w:rPr>
            </w:pPr>
            <w:r>
              <w:rPr>
                <w:rFonts w:eastAsia="Times New Roman" w:cs="Times New Roman"/>
                <w:color w:val="000000"/>
                <w:lang w:val="pt-BR"/>
              </w:rPr>
              <w:t xml:space="preserve">Incorporação de instrução de arte. </w:t>
            </w:r>
          </w:p>
          <w:p w14:paraId="1528B3E9" w14:textId="77777777" w:rsidR="00B75747" w:rsidRPr="00CC1CB4" w:rsidRDefault="00000000">
            <w:pPr>
              <w:numPr>
                <w:ilvl w:val="0"/>
                <w:numId w:val="38"/>
              </w:numPr>
              <w:tabs>
                <w:tab w:val="clear" w:pos="720"/>
                <w:tab w:val="num" w:pos="439"/>
              </w:tabs>
              <w:spacing w:after="0" w:line="240" w:lineRule="auto"/>
              <w:ind w:left="254" w:hanging="175"/>
              <w:textAlignment w:val="baseline"/>
              <w:rPr>
                <w:rFonts w:eastAsia="Times New Roman" w:cs="Times New Roman"/>
                <w:lang w:val="es-ES"/>
              </w:rPr>
            </w:pPr>
            <w:r>
              <w:rPr>
                <w:rFonts w:eastAsia="Times New Roman" w:cs="Times New Roman"/>
                <w:color w:val="000000"/>
                <w:lang w:val="pt-BR"/>
              </w:rPr>
              <w:t xml:space="preserve">Instrução e projetos de tecnologia. </w:t>
            </w:r>
          </w:p>
          <w:p w14:paraId="558AA711" w14:textId="77777777" w:rsidR="00B75747" w:rsidRPr="00CC1CB4" w:rsidRDefault="00000000">
            <w:pPr>
              <w:numPr>
                <w:ilvl w:val="0"/>
                <w:numId w:val="38"/>
              </w:numPr>
              <w:tabs>
                <w:tab w:val="clear" w:pos="720"/>
                <w:tab w:val="num" w:pos="439"/>
              </w:tabs>
              <w:spacing w:after="0" w:line="240" w:lineRule="auto"/>
              <w:ind w:left="254" w:hanging="175"/>
              <w:textAlignment w:val="baseline"/>
              <w:rPr>
                <w:rFonts w:eastAsia="Times New Roman" w:cs="Times New Roman"/>
                <w:lang w:val="es-ES"/>
              </w:rPr>
            </w:pPr>
            <w:r>
              <w:rPr>
                <w:rFonts w:eastAsia="Times New Roman" w:cs="Times New Roman"/>
                <w:color w:val="000000"/>
                <w:lang w:val="pt-BR"/>
              </w:rPr>
              <w:t xml:space="preserve">Viagens de campo educacionais baseadas em temas. </w:t>
            </w:r>
          </w:p>
          <w:p w14:paraId="43382492" w14:textId="77777777" w:rsidR="00B75747" w:rsidRPr="00CC1CB4" w:rsidRDefault="00000000">
            <w:pPr>
              <w:numPr>
                <w:ilvl w:val="0"/>
                <w:numId w:val="38"/>
              </w:numPr>
              <w:tabs>
                <w:tab w:val="clear" w:pos="720"/>
                <w:tab w:val="num" w:pos="439"/>
              </w:tabs>
              <w:spacing w:after="0" w:line="240" w:lineRule="auto"/>
              <w:ind w:left="254" w:hanging="175"/>
              <w:textAlignment w:val="baseline"/>
              <w:rPr>
                <w:rFonts w:eastAsia="Times New Roman" w:cs="Times New Roman"/>
                <w:lang w:val="es-ES"/>
              </w:rPr>
            </w:pPr>
            <w:r>
              <w:rPr>
                <w:rFonts w:eastAsia="Times New Roman" w:cs="Times New Roman"/>
                <w:color w:val="000000"/>
                <w:lang w:val="pt-BR"/>
              </w:rPr>
              <w:t xml:space="preserve">Atividades práticas de </w:t>
            </w:r>
            <w:r>
              <w:rPr>
                <w:rFonts w:eastAsia="Times New Roman" w:cs="Times New Roman"/>
                <w:lang w:val="pt-BR"/>
              </w:rPr>
              <w:t>ciências, tecnologia, engenharia, arte e matemática (</w:t>
            </w:r>
            <w:r>
              <w:rPr>
                <w:rFonts w:eastAsia="Times New Roman" w:cs="Times New Roman"/>
                <w:color w:val="000000"/>
                <w:lang w:val="pt-BR"/>
              </w:rPr>
              <w:t xml:space="preserve">STEM/STEAM). </w:t>
            </w:r>
          </w:p>
          <w:p w14:paraId="5BDFD65F" w14:textId="77777777" w:rsidR="00B75747" w:rsidRPr="00CC1CB4" w:rsidRDefault="00000000">
            <w:pPr>
              <w:numPr>
                <w:ilvl w:val="0"/>
                <w:numId w:val="38"/>
              </w:numPr>
              <w:tabs>
                <w:tab w:val="clear" w:pos="720"/>
                <w:tab w:val="num" w:pos="439"/>
              </w:tabs>
              <w:spacing w:after="0" w:line="240" w:lineRule="auto"/>
              <w:ind w:left="254" w:hanging="175"/>
              <w:textAlignment w:val="baseline"/>
              <w:rPr>
                <w:rFonts w:eastAsia="Times New Roman" w:cs="Times New Roman"/>
                <w:lang w:val="es-ES"/>
              </w:rPr>
            </w:pPr>
            <w:r>
              <w:rPr>
                <w:rFonts w:eastAsia="Times New Roman" w:cs="Times New Roman"/>
                <w:color w:val="000000"/>
                <w:lang w:val="pt-BR"/>
              </w:rPr>
              <w:t xml:space="preserve">Educação sobre saúde e segurança. </w:t>
            </w:r>
          </w:p>
          <w:p w14:paraId="352FD27B" w14:textId="77777777" w:rsidR="00B75747" w:rsidRPr="00CC1CB4" w:rsidRDefault="00000000">
            <w:pPr>
              <w:numPr>
                <w:ilvl w:val="0"/>
                <w:numId w:val="38"/>
              </w:numPr>
              <w:tabs>
                <w:tab w:val="clear" w:pos="720"/>
                <w:tab w:val="num" w:pos="439"/>
              </w:tabs>
              <w:spacing w:after="0" w:line="240" w:lineRule="auto"/>
              <w:ind w:left="254" w:hanging="175"/>
              <w:textAlignment w:val="baseline"/>
              <w:rPr>
                <w:rFonts w:eastAsia="Times New Roman" w:cs="Times New Roman"/>
                <w:lang w:val="es-ES"/>
              </w:rPr>
            </w:pPr>
            <w:r>
              <w:rPr>
                <w:rFonts w:eastAsia="Times New Roman" w:cs="Times New Roman"/>
                <w:color w:val="000000"/>
                <w:lang w:val="pt-BR"/>
              </w:rPr>
              <w:t xml:space="preserve">Escola de verão no local. </w:t>
            </w:r>
          </w:p>
          <w:p w14:paraId="06AA759B" w14:textId="77777777" w:rsidR="00B75747" w:rsidRPr="00D11F20" w:rsidRDefault="00000000">
            <w:pPr>
              <w:numPr>
                <w:ilvl w:val="0"/>
                <w:numId w:val="38"/>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Instrução baseada em casa. </w:t>
            </w:r>
          </w:p>
          <w:p w14:paraId="546E6245" w14:textId="77777777" w:rsidR="00B75747" w:rsidRPr="00D11F20" w:rsidRDefault="00000000">
            <w:pPr>
              <w:numPr>
                <w:ilvl w:val="0"/>
                <w:numId w:val="38"/>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Instrução remota. </w:t>
            </w:r>
          </w:p>
          <w:p w14:paraId="29BCDC4A" w14:textId="77777777" w:rsidR="00F858B5" w:rsidRPr="00CC1CB4" w:rsidRDefault="00000000">
            <w:pPr>
              <w:numPr>
                <w:ilvl w:val="0"/>
                <w:numId w:val="38"/>
              </w:numPr>
              <w:tabs>
                <w:tab w:val="clear" w:pos="720"/>
                <w:tab w:val="num" w:pos="439"/>
              </w:tabs>
              <w:spacing w:after="0" w:line="240" w:lineRule="auto"/>
              <w:ind w:left="254" w:hanging="175"/>
              <w:textAlignment w:val="baseline"/>
              <w:rPr>
                <w:rFonts w:eastAsia="Times New Roman" w:cs="Times New Roman"/>
                <w:lang w:val="es-ES"/>
              </w:rPr>
            </w:pPr>
            <w:r>
              <w:rPr>
                <w:rFonts w:eastAsia="Times New Roman" w:cs="Times New Roman"/>
                <w:color w:val="000000"/>
                <w:lang w:val="pt-BR"/>
              </w:rPr>
              <w:t>Acesso aos recursos de mídia da biblioteca escolar.</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5BD9F3" w14:textId="77777777" w:rsidR="00B75747" w:rsidRPr="00D11F20" w:rsidRDefault="00000000">
            <w:pPr>
              <w:numPr>
                <w:ilvl w:val="0"/>
                <w:numId w:val="39"/>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Materiais e suprimentos educacionais. </w:t>
            </w:r>
          </w:p>
          <w:p w14:paraId="57C51BAA" w14:textId="77777777" w:rsidR="00B75747" w:rsidRPr="00D11F20" w:rsidRDefault="00000000">
            <w:pPr>
              <w:numPr>
                <w:ilvl w:val="0"/>
                <w:numId w:val="39"/>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Materiais de STEM. </w:t>
            </w:r>
          </w:p>
          <w:p w14:paraId="3FC3212C" w14:textId="77777777" w:rsidR="00B75747" w:rsidRPr="00CC1CB4" w:rsidRDefault="00000000">
            <w:pPr>
              <w:numPr>
                <w:ilvl w:val="0"/>
                <w:numId w:val="39"/>
              </w:numPr>
              <w:tabs>
                <w:tab w:val="clear" w:pos="720"/>
                <w:tab w:val="num" w:pos="439"/>
              </w:tabs>
              <w:spacing w:after="0" w:line="240" w:lineRule="auto"/>
              <w:ind w:left="254" w:hanging="175"/>
              <w:textAlignment w:val="baseline"/>
              <w:rPr>
                <w:rFonts w:eastAsia="Times New Roman" w:cs="Times New Roman"/>
                <w:lang w:val="es-ES"/>
              </w:rPr>
            </w:pPr>
            <w:r>
              <w:rPr>
                <w:rFonts w:eastAsia="Times New Roman" w:cs="Times New Roman"/>
                <w:color w:val="000000"/>
                <w:lang w:val="pt-BR"/>
              </w:rPr>
              <w:t xml:space="preserve">Transporte para viagens de campo. </w:t>
            </w:r>
          </w:p>
          <w:p w14:paraId="3BDC7BB6" w14:textId="77777777" w:rsidR="00B75747" w:rsidRPr="00CC1CB4" w:rsidRDefault="00000000">
            <w:pPr>
              <w:numPr>
                <w:ilvl w:val="0"/>
                <w:numId w:val="39"/>
              </w:numPr>
              <w:tabs>
                <w:tab w:val="clear" w:pos="720"/>
                <w:tab w:val="num" w:pos="439"/>
              </w:tabs>
              <w:spacing w:after="0" w:line="240" w:lineRule="auto"/>
              <w:ind w:left="254" w:hanging="175"/>
              <w:textAlignment w:val="baseline"/>
              <w:rPr>
                <w:rFonts w:eastAsia="Times New Roman" w:cs="Times New Roman"/>
                <w:lang w:val="es-ES"/>
              </w:rPr>
            </w:pPr>
            <w:r>
              <w:rPr>
                <w:rFonts w:eastAsia="Times New Roman" w:cs="Times New Roman"/>
                <w:color w:val="000000"/>
                <w:lang w:val="pt-BR"/>
              </w:rPr>
              <w:t xml:space="preserve">Taxas de entrada para viagens de campo. </w:t>
            </w:r>
          </w:p>
          <w:p w14:paraId="1482D015" w14:textId="77777777" w:rsidR="00B75747" w:rsidRPr="00CC1CB4" w:rsidRDefault="00000000">
            <w:pPr>
              <w:numPr>
                <w:ilvl w:val="0"/>
                <w:numId w:val="39"/>
              </w:numPr>
              <w:tabs>
                <w:tab w:val="clear" w:pos="720"/>
                <w:tab w:val="num" w:pos="439"/>
              </w:tabs>
              <w:spacing w:after="0" w:line="240" w:lineRule="auto"/>
              <w:ind w:left="254" w:hanging="175"/>
              <w:textAlignment w:val="baseline"/>
              <w:rPr>
                <w:rFonts w:eastAsia="Times New Roman" w:cs="Times New Roman"/>
                <w:lang w:val="es-ES"/>
              </w:rPr>
            </w:pPr>
            <w:r>
              <w:rPr>
                <w:rFonts w:eastAsia="Times New Roman" w:cs="Times New Roman"/>
                <w:color w:val="000000"/>
                <w:lang w:val="pt-BR"/>
              </w:rPr>
              <w:t xml:space="preserve">Imprimir panfletos que promovam o programa. </w:t>
            </w:r>
          </w:p>
          <w:p w14:paraId="79757CBC" w14:textId="77777777" w:rsidR="00B75747" w:rsidRPr="00D11F20" w:rsidRDefault="00000000">
            <w:pPr>
              <w:numPr>
                <w:ilvl w:val="0"/>
                <w:numId w:val="39"/>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Materiais curriculares. </w:t>
            </w:r>
          </w:p>
          <w:p w14:paraId="2B3F2099" w14:textId="77777777" w:rsidR="00B75747" w:rsidRPr="00CC1CB4" w:rsidRDefault="00000000">
            <w:pPr>
              <w:numPr>
                <w:ilvl w:val="0"/>
                <w:numId w:val="39"/>
              </w:numPr>
              <w:tabs>
                <w:tab w:val="clear" w:pos="720"/>
                <w:tab w:val="num" w:pos="439"/>
              </w:tabs>
              <w:spacing w:after="0" w:line="240" w:lineRule="auto"/>
              <w:ind w:left="254" w:hanging="175"/>
              <w:textAlignment w:val="baseline"/>
              <w:rPr>
                <w:rFonts w:eastAsia="Times New Roman" w:cs="Times New Roman"/>
                <w:lang w:val="es-ES"/>
              </w:rPr>
            </w:pPr>
            <w:r>
              <w:rPr>
                <w:rFonts w:eastAsia="Times New Roman" w:cs="Times New Roman"/>
                <w:color w:val="000000"/>
                <w:lang w:val="pt-BR"/>
              </w:rPr>
              <w:t xml:space="preserve">Professores para programas de verão. </w:t>
            </w:r>
          </w:p>
        </w:tc>
        <w:tc>
          <w:tcPr>
            <w:tcW w:w="30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FD2616E" w14:textId="77777777" w:rsidR="00B75747" w:rsidRPr="00D11F20" w:rsidRDefault="00000000">
            <w:pPr>
              <w:numPr>
                <w:ilvl w:val="0"/>
                <w:numId w:val="40"/>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Pesquisas </w:t>
            </w:r>
          </w:p>
          <w:p w14:paraId="34F07641" w14:textId="77777777" w:rsidR="00B75747" w:rsidRPr="00D11F20" w:rsidRDefault="00000000">
            <w:pPr>
              <w:numPr>
                <w:ilvl w:val="0"/>
                <w:numId w:val="40"/>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Agendas </w:t>
            </w:r>
          </w:p>
          <w:p w14:paraId="07F5656C" w14:textId="77777777" w:rsidR="00B75747" w:rsidRPr="00D11F20" w:rsidRDefault="00000000">
            <w:pPr>
              <w:numPr>
                <w:ilvl w:val="0"/>
                <w:numId w:val="40"/>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Observações </w:t>
            </w:r>
          </w:p>
          <w:p w14:paraId="6C40907C" w14:textId="77777777" w:rsidR="00B75747" w:rsidRPr="00D11F20" w:rsidRDefault="00000000">
            <w:pPr>
              <w:numPr>
                <w:ilvl w:val="0"/>
                <w:numId w:val="40"/>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Avaliações </w:t>
            </w:r>
          </w:p>
          <w:p w14:paraId="03F3E45B" w14:textId="77777777" w:rsidR="00B75747" w:rsidRPr="00D11F20" w:rsidRDefault="00000000">
            <w:pPr>
              <w:numPr>
                <w:ilvl w:val="0"/>
                <w:numId w:val="40"/>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Registros do tutor </w:t>
            </w:r>
          </w:p>
          <w:p w14:paraId="3E8C1B8D" w14:textId="77777777" w:rsidR="00B75747" w:rsidRPr="00D11F20" w:rsidRDefault="00000000">
            <w:pPr>
              <w:numPr>
                <w:ilvl w:val="0"/>
                <w:numId w:val="40"/>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Avaliações de necessidades individuais </w:t>
            </w:r>
          </w:p>
          <w:p w14:paraId="2009B54F" w14:textId="77777777" w:rsidR="00B75747" w:rsidRPr="00D11F20" w:rsidRDefault="00000000">
            <w:pPr>
              <w:numPr>
                <w:ilvl w:val="0"/>
                <w:numId w:val="40"/>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Planos de aprendizagem </w:t>
            </w:r>
          </w:p>
          <w:p w14:paraId="2F7D5D4F" w14:textId="77777777" w:rsidR="00B75747" w:rsidRPr="00D11F20" w:rsidRDefault="00000000">
            <w:pPr>
              <w:numPr>
                <w:ilvl w:val="0"/>
                <w:numId w:val="40"/>
              </w:numPr>
              <w:tabs>
                <w:tab w:val="clear" w:pos="720"/>
                <w:tab w:val="num" w:pos="439"/>
              </w:tabs>
              <w:spacing w:after="0" w:line="240" w:lineRule="auto"/>
              <w:ind w:left="254" w:hanging="175"/>
              <w:textAlignment w:val="baseline"/>
              <w:rPr>
                <w:rFonts w:eastAsia="Times New Roman" w:cs="Times New Roman"/>
              </w:rPr>
            </w:pPr>
            <w:r>
              <w:rPr>
                <w:rFonts w:eastAsia="Times New Roman" w:cs="Times New Roman"/>
                <w:color w:val="000000"/>
                <w:lang w:val="pt-BR"/>
              </w:rPr>
              <w:t xml:space="preserve">Resultados da avaliação </w:t>
            </w:r>
          </w:p>
        </w:tc>
      </w:tr>
      <w:tr w:rsidR="00C566B2" w14:paraId="4E9E8670" w14:textId="77777777" w:rsidTr="1C509991">
        <w:trPr>
          <w:trHeight w:val="2010"/>
        </w:trPr>
        <w:tc>
          <w:tcPr>
            <w:tcW w:w="35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D7E5BF" w14:textId="77777777" w:rsidR="00B75747" w:rsidRPr="00CC1CB4" w:rsidRDefault="00000000" w:rsidP="00B75747">
            <w:pPr>
              <w:spacing w:after="0" w:line="240" w:lineRule="auto"/>
              <w:textAlignment w:val="baseline"/>
              <w:rPr>
                <w:rFonts w:eastAsia="Times New Roman" w:cs="Times New Roman"/>
                <w:lang w:val="es-ES"/>
              </w:rPr>
            </w:pPr>
            <w:r>
              <w:rPr>
                <w:rFonts w:eastAsia="Times New Roman" w:cs="Times New Roman"/>
                <w:b/>
                <w:bCs/>
                <w:lang w:val="pt-BR"/>
              </w:rPr>
              <w:t>1.4)</w:t>
            </w:r>
            <w:r>
              <w:rPr>
                <w:rFonts w:eastAsia="Times New Roman" w:cs="Times New Roman"/>
                <w:lang w:val="pt-BR"/>
              </w:rPr>
              <w:t xml:space="preserve"> Colaborar com as escolas para garantir que os alunos migratórios recebam instruções suplementares em inglês e/ou desenvolvimento no idioma doméstico adequado às suas necessidades. </w:t>
            </w:r>
          </w:p>
        </w:tc>
        <w:tc>
          <w:tcPr>
            <w:tcW w:w="41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95AC9F" w14:textId="77777777" w:rsidR="00B75747" w:rsidRPr="00D11F20" w:rsidRDefault="00000000">
            <w:pPr>
              <w:numPr>
                <w:ilvl w:val="0"/>
                <w:numId w:val="41"/>
              </w:numPr>
              <w:tabs>
                <w:tab w:val="clear" w:pos="720"/>
              </w:tabs>
              <w:spacing w:after="0" w:line="240" w:lineRule="auto"/>
              <w:ind w:left="390" w:hanging="292"/>
              <w:textAlignment w:val="baseline"/>
              <w:rPr>
                <w:rFonts w:eastAsia="Times New Roman" w:cs="Times New Roman"/>
              </w:rPr>
            </w:pPr>
            <w:r>
              <w:rPr>
                <w:rFonts w:eastAsia="Times New Roman" w:cs="Times New Roman"/>
                <w:color w:val="000000"/>
                <w:lang w:val="pt-BR"/>
              </w:rPr>
              <w:t xml:space="preserve">Tutores </w:t>
            </w:r>
          </w:p>
          <w:p w14:paraId="470C409B" w14:textId="77777777" w:rsidR="00B75747" w:rsidRPr="00C04CDD" w:rsidRDefault="00000000">
            <w:pPr>
              <w:numPr>
                <w:ilvl w:val="0"/>
                <w:numId w:val="41"/>
              </w:numPr>
              <w:tabs>
                <w:tab w:val="clear" w:pos="720"/>
              </w:tabs>
              <w:spacing w:after="0" w:line="240" w:lineRule="auto"/>
              <w:ind w:left="390" w:hanging="292"/>
              <w:textAlignment w:val="baseline"/>
              <w:rPr>
                <w:rFonts w:eastAsia="Times New Roman" w:cs="Times New Roman"/>
                <w:lang w:val="fr-FR"/>
              </w:rPr>
            </w:pPr>
            <w:r>
              <w:rPr>
                <w:rFonts w:eastAsia="Times New Roman" w:cs="Times New Roman"/>
                <w:color w:val="000000"/>
                <w:lang w:val="pt-BR"/>
              </w:rPr>
              <w:t xml:space="preserve">Reuniões com LEAs ou programas. </w:t>
            </w:r>
          </w:p>
          <w:p w14:paraId="3C1742EA" w14:textId="77777777" w:rsidR="00B75747" w:rsidRPr="00D11F20" w:rsidRDefault="00000000">
            <w:pPr>
              <w:numPr>
                <w:ilvl w:val="0"/>
                <w:numId w:val="41"/>
              </w:numPr>
              <w:tabs>
                <w:tab w:val="clear" w:pos="720"/>
              </w:tabs>
              <w:spacing w:after="0" w:line="240" w:lineRule="auto"/>
              <w:ind w:left="390" w:hanging="292"/>
              <w:textAlignment w:val="baseline"/>
              <w:rPr>
                <w:rFonts w:eastAsia="Times New Roman" w:cs="Times New Roman"/>
              </w:rPr>
            </w:pPr>
            <w:r>
              <w:rPr>
                <w:rFonts w:eastAsia="Times New Roman" w:cs="Times New Roman"/>
                <w:color w:val="000000"/>
                <w:lang w:val="pt-BR"/>
              </w:rPr>
              <w:t xml:space="preserve">Fornecer visões gerais do MEP. </w:t>
            </w:r>
          </w:p>
          <w:p w14:paraId="636EE538" w14:textId="77777777" w:rsidR="00B75747" w:rsidRPr="00D11F20" w:rsidRDefault="00000000">
            <w:pPr>
              <w:numPr>
                <w:ilvl w:val="0"/>
                <w:numId w:val="41"/>
              </w:numPr>
              <w:tabs>
                <w:tab w:val="clear" w:pos="720"/>
              </w:tabs>
              <w:spacing w:after="0" w:line="240" w:lineRule="auto"/>
              <w:ind w:left="390" w:hanging="292"/>
              <w:textAlignment w:val="baseline"/>
              <w:rPr>
                <w:rFonts w:eastAsia="Times New Roman" w:cs="Times New Roman"/>
              </w:rPr>
            </w:pPr>
            <w:r>
              <w:rPr>
                <w:rFonts w:eastAsia="Times New Roman" w:cs="Times New Roman"/>
                <w:color w:val="000000"/>
                <w:lang w:val="pt-BR"/>
              </w:rPr>
              <w:t xml:space="preserve">Defesa </w:t>
            </w:r>
          </w:p>
          <w:p w14:paraId="305C89DC" w14:textId="77777777" w:rsidR="00B75747" w:rsidRPr="00D11F20" w:rsidRDefault="00000000">
            <w:pPr>
              <w:numPr>
                <w:ilvl w:val="0"/>
                <w:numId w:val="41"/>
              </w:numPr>
              <w:tabs>
                <w:tab w:val="clear" w:pos="720"/>
              </w:tabs>
              <w:spacing w:after="0" w:line="240" w:lineRule="auto"/>
              <w:ind w:left="390" w:hanging="292"/>
              <w:textAlignment w:val="baseline"/>
              <w:rPr>
                <w:rFonts w:eastAsia="Times New Roman" w:cs="Times New Roman"/>
              </w:rPr>
            </w:pPr>
            <w:r>
              <w:rPr>
                <w:rFonts w:eastAsia="Times New Roman" w:cs="Times New Roman"/>
                <w:color w:val="000000"/>
                <w:lang w:val="pt-BR"/>
              </w:rPr>
              <w:t xml:space="preserve">Participar de 504 reuniões. </w:t>
            </w:r>
          </w:p>
          <w:p w14:paraId="692181B4" w14:textId="77777777" w:rsidR="00B75747" w:rsidRPr="00D11F20" w:rsidRDefault="00000000">
            <w:pPr>
              <w:numPr>
                <w:ilvl w:val="0"/>
                <w:numId w:val="41"/>
              </w:numPr>
              <w:tabs>
                <w:tab w:val="clear" w:pos="720"/>
              </w:tabs>
              <w:spacing w:after="0" w:line="240" w:lineRule="auto"/>
              <w:ind w:left="390" w:hanging="292"/>
              <w:textAlignment w:val="baseline"/>
              <w:rPr>
                <w:rFonts w:eastAsia="Times New Roman" w:cs="Times New Roman"/>
              </w:rPr>
            </w:pPr>
            <w:r>
              <w:rPr>
                <w:rFonts w:eastAsia="Times New Roman" w:cs="Times New Roman"/>
                <w:color w:val="000000"/>
                <w:lang w:val="pt-BR"/>
              </w:rPr>
              <w:t xml:space="preserve">Reuniões com contatos migrantes. </w:t>
            </w:r>
          </w:p>
          <w:p w14:paraId="4579CCDA" w14:textId="77777777" w:rsidR="00B75747" w:rsidRPr="00D11F20" w:rsidRDefault="00000000">
            <w:pPr>
              <w:numPr>
                <w:ilvl w:val="0"/>
                <w:numId w:val="41"/>
              </w:numPr>
              <w:tabs>
                <w:tab w:val="clear" w:pos="720"/>
              </w:tabs>
              <w:spacing w:after="0" w:line="240" w:lineRule="auto"/>
              <w:ind w:left="390" w:hanging="292"/>
              <w:textAlignment w:val="baseline"/>
              <w:rPr>
                <w:rFonts w:eastAsia="Times New Roman" w:cs="Times New Roman"/>
              </w:rPr>
            </w:pPr>
            <w:r>
              <w:rPr>
                <w:rFonts w:eastAsia="Times New Roman" w:cs="Times New Roman"/>
                <w:color w:val="000000"/>
                <w:lang w:val="pt-BR"/>
              </w:rPr>
              <w:t xml:space="preserve">Tutoria virtual. </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B4A7B3" w14:textId="77777777" w:rsidR="00B75747" w:rsidRPr="00D11F20" w:rsidRDefault="00000000">
            <w:pPr>
              <w:numPr>
                <w:ilvl w:val="0"/>
                <w:numId w:val="42"/>
              </w:numPr>
              <w:tabs>
                <w:tab w:val="clear" w:pos="720"/>
              </w:tabs>
              <w:spacing w:after="0" w:line="240" w:lineRule="auto"/>
              <w:ind w:left="390" w:hanging="292"/>
              <w:textAlignment w:val="baseline"/>
              <w:rPr>
                <w:rFonts w:eastAsia="Times New Roman" w:cs="Times New Roman"/>
              </w:rPr>
            </w:pPr>
            <w:r>
              <w:rPr>
                <w:rFonts w:eastAsia="Times New Roman" w:cs="Times New Roman"/>
                <w:color w:val="000000"/>
                <w:lang w:val="pt-BR"/>
              </w:rPr>
              <w:t xml:space="preserve">Tempo da equipe </w:t>
            </w:r>
          </w:p>
          <w:p w14:paraId="69927C6E" w14:textId="77777777" w:rsidR="00B75747" w:rsidRPr="00CC1CB4" w:rsidRDefault="00000000">
            <w:pPr>
              <w:numPr>
                <w:ilvl w:val="0"/>
                <w:numId w:val="42"/>
              </w:numPr>
              <w:tabs>
                <w:tab w:val="clear" w:pos="720"/>
              </w:tabs>
              <w:spacing w:after="0" w:line="240" w:lineRule="auto"/>
              <w:ind w:left="390" w:hanging="292"/>
              <w:textAlignment w:val="baseline"/>
              <w:rPr>
                <w:rFonts w:eastAsia="Times New Roman" w:cs="Times New Roman"/>
                <w:lang w:val="es-ES"/>
              </w:rPr>
            </w:pPr>
            <w:r>
              <w:rPr>
                <w:rFonts w:eastAsia="Times New Roman" w:cs="Times New Roman"/>
                <w:color w:val="000000"/>
                <w:lang w:val="pt-BR"/>
              </w:rPr>
              <w:t xml:space="preserve">Materiais para auxiliar no acesso, como pontos sensíveis. </w:t>
            </w:r>
          </w:p>
          <w:p w14:paraId="33BC7249" w14:textId="77777777" w:rsidR="00B75747" w:rsidRPr="00D11F20" w:rsidRDefault="00000000">
            <w:pPr>
              <w:numPr>
                <w:ilvl w:val="0"/>
                <w:numId w:val="42"/>
              </w:numPr>
              <w:tabs>
                <w:tab w:val="clear" w:pos="720"/>
              </w:tabs>
              <w:spacing w:after="0" w:line="240" w:lineRule="auto"/>
              <w:ind w:left="390" w:hanging="292"/>
              <w:textAlignment w:val="baseline"/>
              <w:rPr>
                <w:rFonts w:eastAsia="Times New Roman" w:cs="Times New Roman"/>
              </w:rPr>
            </w:pPr>
            <w:r>
              <w:rPr>
                <w:rFonts w:eastAsia="Times New Roman" w:cs="Times New Roman"/>
                <w:color w:val="000000"/>
                <w:lang w:val="pt-BR"/>
              </w:rPr>
              <w:t xml:space="preserve">Transporte após a orientação. </w:t>
            </w:r>
          </w:p>
          <w:p w14:paraId="5F792AB1" w14:textId="77777777" w:rsidR="00B75747" w:rsidRPr="00D11F20" w:rsidRDefault="00000000">
            <w:pPr>
              <w:numPr>
                <w:ilvl w:val="0"/>
                <w:numId w:val="42"/>
              </w:numPr>
              <w:tabs>
                <w:tab w:val="clear" w:pos="720"/>
              </w:tabs>
              <w:spacing w:after="0" w:line="240" w:lineRule="auto"/>
              <w:ind w:left="390" w:hanging="292"/>
              <w:textAlignment w:val="baseline"/>
              <w:rPr>
                <w:rFonts w:eastAsia="Times New Roman" w:cs="Times New Roman"/>
              </w:rPr>
            </w:pPr>
            <w:r>
              <w:rPr>
                <w:rFonts w:eastAsia="Times New Roman" w:cs="Times New Roman"/>
                <w:color w:val="000000"/>
                <w:lang w:val="pt-BR"/>
              </w:rPr>
              <w:t xml:space="preserve">MOUs com escolas. </w:t>
            </w:r>
          </w:p>
        </w:tc>
        <w:tc>
          <w:tcPr>
            <w:tcW w:w="30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67AFC7" w14:textId="77777777" w:rsidR="00B75747" w:rsidRPr="00D11F20" w:rsidRDefault="00000000">
            <w:pPr>
              <w:numPr>
                <w:ilvl w:val="0"/>
                <w:numId w:val="43"/>
              </w:numPr>
              <w:spacing w:after="0" w:line="240" w:lineRule="auto"/>
              <w:ind w:left="390" w:hanging="292"/>
              <w:textAlignment w:val="baseline"/>
              <w:rPr>
                <w:rFonts w:eastAsia="Times New Roman" w:cs="Times New Roman"/>
              </w:rPr>
            </w:pPr>
            <w:r>
              <w:rPr>
                <w:rFonts w:eastAsia="Times New Roman" w:cs="Times New Roman"/>
                <w:color w:val="000000"/>
                <w:lang w:val="pt-BR"/>
              </w:rPr>
              <w:t xml:space="preserve">Pesquisas </w:t>
            </w:r>
          </w:p>
          <w:p w14:paraId="12CF3937" w14:textId="77777777" w:rsidR="00B75747" w:rsidRPr="00D11F20" w:rsidRDefault="00000000">
            <w:pPr>
              <w:numPr>
                <w:ilvl w:val="0"/>
                <w:numId w:val="43"/>
              </w:numPr>
              <w:spacing w:after="0" w:line="240" w:lineRule="auto"/>
              <w:ind w:left="390" w:hanging="292"/>
              <w:textAlignment w:val="baseline"/>
              <w:rPr>
                <w:rFonts w:eastAsia="Times New Roman" w:cs="Times New Roman"/>
              </w:rPr>
            </w:pPr>
            <w:r>
              <w:rPr>
                <w:rFonts w:eastAsia="Times New Roman" w:cs="Times New Roman"/>
                <w:color w:val="000000"/>
                <w:lang w:val="pt-BR"/>
              </w:rPr>
              <w:t xml:space="preserve">Agendas </w:t>
            </w:r>
          </w:p>
          <w:p w14:paraId="32D2B73E" w14:textId="77777777" w:rsidR="00B75747" w:rsidRPr="00D11F20" w:rsidRDefault="00000000">
            <w:pPr>
              <w:numPr>
                <w:ilvl w:val="0"/>
                <w:numId w:val="43"/>
              </w:numPr>
              <w:spacing w:after="0" w:line="240" w:lineRule="auto"/>
              <w:ind w:left="390" w:hanging="292"/>
              <w:textAlignment w:val="baseline"/>
              <w:rPr>
                <w:rFonts w:eastAsia="Times New Roman" w:cs="Times New Roman"/>
              </w:rPr>
            </w:pPr>
            <w:r>
              <w:rPr>
                <w:rFonts w:eastAsia="Times New Roman" w:cs="Times New Roman"/>
                <w:color w:val="000000"/>
                <w:lang w:val="pt-BR"/>
              </w:rPr>
              <w:t xml:space="preserve">Observações </w:t>
            </w:r>
          </w:p>
          <w:p w14:paraId="58CC8B35" w14:textId="77777777" w:rsidR="00B75747" w:rsidRPr="00D11F20" w:rsidRDefault="00000000">
            <w:pPr>
              <w:numPr>
                <w:ilvl w:val="0"/>
                <w:numId w:val="43"/>
              </w:numPr>
              <w:spacing w:after="0" w:line="240" w:lineRule="auto"/>
              <w:ind w:left="390" w:hanging="292"/>
              <w:textAlignment w:val="baseline"/>
              <w:rPr>
                <w:rFonts w:eastAsia="Times New Roman" w:cs="Times New Roman"/>
              </w:rPr>
            </w:pPr>
            <w:r>
              <w:rPr>
                <w:rFonts w:eastAsia="Times New Roman" w:cs="Times New Roman"/>
                <w:color w:val="000000"/>
                <w:lang w:val="pt-BR"/>
              </w:rPr>
              <w:t xml:space="preserve">Avaliações </w:t>
            </w:r>
          </w:p>
          <w:p w14:paraId="3A05473F" w14:textId="77777777" w:rsidR="00B75747" w:rsidRPr="00D11F20" w:rsidRDefault="00000000">
            <w:pPr>
              <w:numPr>
                <w:ilvl w:val="0"/>
                <w:numId w:val="43"/>
              </w:numPr>
              <w:spacing w:after="0" w:line="240" w:lineRule="auto"/>
              <w:ind w:left="390" w:hanging="292"/>
              <w:textAlignment w:val="baseline"/>
              <w:rPr>
                <w:rFonts w:eastAsia="Times New Roman" w:cs="Times New Roman"/>
              </w:rPr>
            </w:pPr>
            <w:r>
              <w:rPr>
                <w:rFonts w:eastAsia="Times New Roman" w:cs="Times New Roman"/>
                <w:color w:val="000000"/>
                <w:lang w:val="pt-BR"/>
              </w:rPr>
              <w:t xml:space="preserve">Registros do tutor </w:t>
            </w:r>
          </w:p>
          <w:p w14:paraId="778B114D" w14:textId="77777777" w:rsidR="00B75747" w:rsidRPr="00D11F20" w:rsidRDefault="00000000">
            <w:pPr>
              <w:numPr>
                <w:ilvl w:val="0"/>
                <w:numId w:val="43"/>
              </w:numPr>
              <w:spacing w:after="0" w:line="240" w:lineRule="auto"/>
              <w:ind w:left="390" w:hanging="292"/>
              <w:textAlignment w:val="baseline"/>
              <w:rPr>
                <w:rFonts w:eastAsia="Times New Roman" w:cs="Times New Roman"/>
              </w:rPr>
            </w:pPr>
            <w:r>
              <w:rPr>
                <w:rFonts w:eastAsia="Times New Roman" w:cs="Times New Roman"/>
                <w:color w:val="000000"/>
                <w:lang w:val="pt-BR"/>
              </w:rPr>
              <w:t xml:space="preserve">MOUs </w:t>
            </w:r>
          </w:p>
          <w:p w14:paraId="2D23B9E0" w14:textId="77777777" w:rsidR="00B75747" w:rsidRPr="00D11F20" w:rsidRDefault="00000000">
            <w:pPr>
              <w:numPr>
                <w:ilvl w:val="0"/>
                <w:numId w:val="43"/>
              </w:numPr>
              <w:spacing w:after="0" w:line="240" w:lineRule="auto"/>
              <w:ind w:left="390" w:hanging="292"/>
              <w:textAlignment w:val="baseline"/>
              <w:rPr>
                <w:rFonts w:eastAsia="Times New Roman" w:cs="Times New Roman"/>
              </w:rPr>
            </w:pPr>
            <w:r>
              <w:rPr>
                <w:rFonts w:eastAsia="Times New Roman" w:cs="Times New Roman"/>
                <w:color w:val="000000"/>
                <w:lang w:val="pt-BR"/>
              </w:rPr>
              <w:t xml:space="preserve">Registros de comunicação </w:t>
            </w:r>
          </w:p>
        </w:tc>
      </w:tr>
    </w:tbl>
    <w:p w14:paraId="32985C24" w14:textId="77777777" w:rsidR="00D11F20" w:rsidRPr="00D11F20" w:rsidRDefault="00000000" w:rsidP="00D11F20">
      <w:pPr>
        <w:rPr>
          <w:rFonts w:ascii="Calibri" w:eastAsia="Times New Roman" w:hAnsi="Calibri" w:cs="Calibri"/>
          <w:b/>
          <w:bCs/>
          <w:color w:val="1F4D78"/>
          <w:sz w:val="28"/>
          <w:szCs w:val="28"/>
        </w:rPr>
      </w:pPr>
      <w:r>
        <w:rPr>
          <w:rFonts w:ascii="Calibri" w:eastAsia="Times New Roman" w:hAnsi="Calibri" w:cs="Calibri"/>
          <w:color w:val="1F4D78"/>
          <w:sz w:val="28"/>
          <w:szCs w:val="28"/>
        </w:rPr>
        <w:t xml:space="preserve"> </w:t>
      </w:r>
      <w:r>
        <w:rPr>
          <w:rFonts w:ascii="Calibri" w:eastAsia="Times New Roman" w:hAnsi="Calibri" w:cs="Calibri"/>
          <w:color w:val="1F4D78"/>
          <w:sz w:val="28"/>
          <w:szCs w:val="28"/>
        </w:rPr>
        <w:br w:type="page"/>
      </w:r>
    </w:p>
    <w:p w14:paraId="1A13A8AC" w14:textId="77777777" w:rsidR="0053042A" w:rsidRPr="0053042A" w:rsidRDefault="00000000" w:rsidP="0053042A">
      <w:pPr>
        <w:pStyle w:val="aff0"/>
        <w:spacing w:before="240"/>
        <w:rPr>
          <w:rFonts w:ascii="Segoe UI" w:eastAsia="Times New Roman" w:hAnsi="Segoe UI" w:cs="Segoe UI"/>
          <w:color w:val="0F4761"/>
          <w:sz w:val="18"/>
          <w:szCs w:val="18"/>
        </w:rPr>
      </w:pPr>
      <w:r>
        <w:rPr>
          <w:rFonts w:eastAsia="Cambria"/>
          <w:lang w:val="pt-BR"/>
        </w:rPr>
        <w:lastRenderedPageBreak/>
        <w:t>Área 2: Prontidão para a escola</w:t>
      </w:r>
    </w:p>
    <w:tbl>
      <w:tblPr>
        <w:tblW w:w="12944" w:type="dxa"/>
        <w:tblBorders>
          <w:top w:val="outset" w:sz="6" w:space="0" w:color="auto"/>
          <w:left w:val="outset" w:sz="6" w:space="0" w:color="auto"/>
          <w:bottom w:val="outset" w:sz="6" w:space="0" w:color="auto"/>
          <w:right w:val="outset" w:sz="6" w:space="0" w:color="auto"/>
        </w:tblBorders>
        <w:tblCellMar>
          <w:top w:w="58" w:type="dxa"/>
          <w:left w:w="58" w:type="dxa"/>
          <w:bottom w:w="58" w:type="dxa"/>
          <w:right w:w="58" w:type="dxa"/>
        </w:tblCellMar>
        <w:tblLook w:val="0420" w:firstRow="1" w:lastRow="0" w:firstColumn="0" w:lastColumn="0" w:noHBand="0" w:noVBand="1"/>
        <w:tblCaption w:val="School Readiness Project Plan"/>
      </w:tblPr>
      <w:tblGrid>
        <w:gridCol w:w="3502"/>
        <w:gridCol w:w="4140"/>
        <w:gridCol w:w="2168"/>
        <w:gridCol w:w="3134"/>
      </w:tblGrid>
      <w:tr w:rsidR="00C566B2" w:rsidRPr="00C04CDD" w14:paraId="3C1A5743" w14:textId="77777777" w:rsidTr="00985E0B">
        <w:trPr>
          <w:trHeight w:val="300"/>
          <w:tblHeader/>
        </w:trPr>
        <w:tc>
          <w:tcPr>
            <w:tcW w:w="3502" w:type="dxa"/>
            <w:tcBorders>
              <w:top w:val="single" w:sz="6" w:space="0" w:color="000000"/>
              <w:left w:val="single" w:sz="6" w:space="0" w:color="000000"/>
              <w:bottom w:val="single" w:sz="6" w:space="0" w:color="000000"/>
              <w:right w:val="single" w:sz="4" w:space="0" w:color="FFFFFF" w:themeColor="background1"/>
            </w:tcBorders>
            <w:shd w:val="clear" w:color="auto" w:fill="244061" w:themeFill="accent1" w:themeFillShade="80"/>
            <w:hideMark/>
          </w:tcPr>
          <w:p w14:paraId="7F3A8EEB" w14:textId="77777777" w:rsidR="00B75747" w:rsidRPr="00D11F20" w:rsidRDefault="00000000" w:rsidP="00B75747">
            <w:pPr>
              <w:spacing w:after="0" w:line="240" w:lineRule="auto"/>
              <w:jc w:val="center"/>
              <w:textAlignment w:val="baseline"/>
              <w:rPr>
                <w:rFonts w:eastAsia="Times New Roman" w:cs="Times New Roman"/>
              </w:rPr>
            </w:pPr>
            <w:r>
              <w:rPr>
                <w:rFonts w:eastAsia="Times New Roman" w:cs="Times New Roman"/>
                <w:b/>
                <w:bCs/>
                <w:color w:val="FFFFFF"/>
                <w:lang w:val="pt-BR"/>
              </w:rPr>
              <w:t>Estratégia</w:t>
            </w:r>
            <w:r>
              <w:rPr>
                <w:rFonts w:eastAsia="Times New Roman" w:cs="Times New Roman"/>
                <w:color w:val="FFFFFF"/>
                <w:lang w:val="pt-BR"/>
              </w:rPr>
              <w:t xml:space="preserve"> </w:t>
            </w:r>
          </w:p>
        </w:tc>
        <w:tc>
          <w:tcPr>
            <w:tcW w:w="4140" w:type="dxa"/>
            <w:tcBorders>
              <w:top w:val="single" w:sz="6" w:space="0" w:color="000000"/>
              <w:left w:val="single" w:sz="4" w:space="0" w:color="FFFFFF" w:themeColor="background1"/>
              <w:bottom w:val="single" w:sz="6" w:space="0" w:color="000000"/>
              <w:right w:val="single" w:sz="4" w:space="0" w:color="FFFFFF" w:themeColor="background1"/>
            </w:tcBorders>
            <w:shd w:val="clear" w:color="auto" w:fill="244061" w:themeFill="accent1" w:themeFillShade="80"/>
            <w:hideMark/>
          </w:tcPr>
          <w:p w14:paraId="0489D5AB" w14:textId="77777777" w:rsidR="00B75747" w:rsidRPr="00C04CDD" w:rsidRDefault="00000000" w:rsidP="00B75747">
            <w:pPr>
              <w:spacing w:after="0" w:line="240" w:lineRule="auto"/>
              <w:jc w:val="center"/>
              <w:textAlignment w:val="baseline"/>
              <w:rPr>
                <w:rFonts w:eastAsia="Times New Roman" w:cs="Times New Roman"/>
                <w:lang w:val="fr-FR"/>
              </w:rPr>
            </w:pPr>
            <w:r>
              <w:rPr>
                <w:rFonts w:eastAsia="Times New Roman" w:cs="Times New Roman"/>
                <w:b/>
                <w:bCs/>
                <w:color w:val="FFFFFF"/>
                <w:lang w:val="pt-BR"/>
              </w:rPr>
              <w:t>Exemplos de implementação de estratégia</w:t>
            </w:r>
            <w:r>
              <w:rPr>
                <w:rFonts w:eastAsia="Times New Roman" w:cs="Times New Roman"/>
                <w:color w:val="FFFFFF"/>
                <w:lang w:val="pt-BR"/>
              </w:rPr>
              <w:t xml:space="preserve"> </w:t>
            </w:r>
          </w:p>
        </w:tc>
        <w:tc>
          <w:tcPr>
            <w:tcW w:w="2168" w:type="dxa"/>
            <w:tcBorders>
              <w:top w:val="single" w:sz="6" w:space="0" w:color="000000"/>
              <w:left w:val="single" w:sz="4" w:space="0" w:color="FFFFFF" w:themeColor="background1"/>
              <w:bottom w:val="single" w:sz="6" w:space="0" w:color="000000"/>
              <w:right w:val="single" w:sz="4" w:space="0" w:color="FFFFFF" w:themeColor="background1"/>
            </w:tcBorders>
            <w:shd w:val="clear" w:color="auto" w:fill="244061" w:themeFill="accent1" w:themeFillShade="80"/>
            <w:hideMark/>
          </w:tcPr>
          <w:p w14:paraId="36D6C42F" w14:textId="77777777" w:rsidR="00B75747" w:rsidRPr="00CC1CB4" w:rsidRDefault="00000000" w:rsidP="00B75747">
            <w:pPr>
              <w:spacing w:after="0" w:line="240" w:lineRule="auto"/>
              <w:jc w:val="center"/>
              <w:textAlignment w:val="baseline"/>
              <w:rPr>
                <w:rFonts w:eastAsia="Times New Roman" w:cs="Times New Roman"/>
                <w:lang w:val="es-ES"/>
              </w:rPr>
            </w:pPr>
            <w:r>
              <w:rPr>
                <w:rFonts w:eastAsia="Times New Roman" w:cs="Times New Roman"/>
                <w:b/>
                <w:bCs/>
                <w:color w:val="FFFFFF"/>
                <w:lang w:val="pt-BR"/>
              </w:rPr>
              <w:t>Uso de fundos do MEP</w:t>
            </w:r>
            <w:r>
              <w:rPr>
                <w:rFonts w:eastAsia="Times New Roman" w:cs="Times New Roman"/>
                <w:color w:val="FFFFFF"/>
                <w:lang w:val="pt-BR"/>
              </w:rPr>
              <w:t xml:space="preserve"> </w:t>
            </w:r>
          </w:p>
        </w:tc>
        <w:tc>
          <w:tcPr>
            <w:tcW w:w="3134" w:type="dxa"/>
            <w:tcBorders>
              <w:top w:val="single" w:sz="6" w:space="0" w:color="000000"/>
              <w:left w:val="single" w:sz="4" w:space="0" w:color="FFFFFF" w:themeColor="background1"/>
              <w:bottom w:val="single" w:sz="6" w:space="0" w:color="000000"/>
              <w:right w:val="single" w:sz="6" w:space="0" w:color="000000"/>
            </w:tcBorders>
            <w:shd w:val="clear" w:color="auto" w:fill="244061" w:themeFill="accent1" w:themeFillShade="80"/>
            <w:hideMark/>
          </w:tcPr>
          <w:p w14:paraId="6831085A" w14:textId="77777777" w:rsidR="00B75747" w:rsidRPr="00CC1CB4" w:rsidRDefault="00000000" w:rsidP="00B75747">
            <w:pPr>
              <w:spacing w:after="0" w:line="240" w:lineRule="auto"/>
              <w:jc w:val="center"/>
              <w:textAlignment w:val="baseline"/>
              <w:rPr>
                <w:rFonts w:eastAsia="Times New Roman" w:cs="Times New Roman"/>
                <w:lang w:val="es-ES"/>
              </w:rPr>
            </w:pPr>
            <w:r>
              <w:rPr>
                <w:rFonts w:eastAsia="Times New Roman" w:cs="Times New Roman"/>
                <w:b/>
                <w:bCs/>
                <w:color w:val="FFFFFF"/>
                <w:lang w:val="pt-BR"/>
              </w:rPr>
              <w:t>As unidades de informação devem manter sobre a implementação da estratégia</w:t>
            </w:r>
            <w:r>
              <w:rPr>
                <w:rFonts w:eastAsia="Times New Roman" w:cs="Times New Roman"/>
                <w:color w:val="FFFFFF"/>
                <w:lang w:val="pt-BR"/>
              </w:rPr>
              <w:t xml:space="preserve"> </w:t>
            </w:r>
          </w:p>
        </w:tc>
      </w:tr>
      <w:tr w:rsidR="00C566B2" w:rsidRPr="00856537" w14:paraId="59A2350E" w14:textId="77777777" w:rsidTr="0053042A">
        <w:trPr>
          <w:trHeight w:val="300"/>
        </w:trPr>
        <w:tc>
          <w:tcPr>
            <w:tcW w:w="3502" w:type="dxa"/>
            <w:tcBorders>
              <w:top w:val="single" w:sz="6" w:space="0" w:color="000000"/>
              <w:left w:val="single" w:sz="6" w:space="0" w:color="000000"/>
              <w:bottom w:val="single" w:sz="6" w:space="0" w:color="000000"/>
              <w:right w:val="single" w:sz="6" w:space="0" w:color="000000"/>
            </w:tcBorders>
            <w:shd w:val="clear" w:color="auto" w:fill="auto"/>
            <w:hideMark/>
          </w:tcPr>
          <w:p w14:paraId="599274C3" w14:textId="77777777" w:rsidR="00B75747" w:rsidRPr="00CC1CB4" w:rsidRDefault="00000000" w:rsidP="00B75747">
            <w:pPr>
              <w:spacing w:after="0" w:line="240" w:lineRule="auto"/>
              <w:textAlignment w:val="baseline"/>
              <w:rPr>
                <w:rFonts w:eastAsia="Times New Roman" w:cs="Times New Roman"/>
                <w:lang w:val="es-ES"/>
              </w:rPr>
            </w:pPr>
            <w:r>
              <w:rPr>
                <w:rFonts w:eastAsia="Times New Roman" w:cs="Times New Roman"/>
                <w:b/>
                <w:bCs/>
                <w:lang w:val="pt-BR"/>
              </w:rPr>
              <w:t>2.1)</w:t>
            </w:r>
            <w:r>
              <w:rPr>
                <w:rFonts w:eastAsia="Times New Roman" w:cs="Times New Roman"/>
                <w:lang w:val="pt-BR"/>
              </w:rPr>
              <w:t xml:space="preserve"> Estabelecer acordos e/ou coordenar com os prestadores de programa de início precoce e infantil semelhante para facilitar o acesso a experiências de aprendizagem pré-escolar para crianças migratórias que levarão à prontidão para o jardim de infância. </w:t>
            </w:r>
          </w:p>
        </w:tc>
        <w:tc>
          <w:tcPr>
            <w:tcW w:w="4140" w:type="dxa"/>
            <w:tcBorders>
              <w:top w:val="single" w:sz="6" w:space="0" w:color="000000"/>
              <w:left w:val="single" w:sz="6" w:space="0" w:color="000000"/>
              <w:bottom w:val="single" w:sz="6" w:space="0" w:color="000000"/>
              <w:right w:val="single" w:sz="6" w:space="0" w:color="000000"/>
            </w:tcBorders>
            <w:shd w:val="clear" w:color="auto" w:fill="auto"/>
            <w:hideMark/>
          </w:tcPr>
          <w:p w14:paraId="62964B5B" w14:textId="77777777" w:rsidR="00B75747" w:rsidRPr="00CC1CB4" w:rsidRDefault="00000000">
            <w:pPr>
              <w:numPr>
                <w:ilvl w:val="0"/>
                <w:numId w:val="44"/>
              </w:numPr>
              <w:tabs>
                <w:tab w:val="clear" w:pos="720"/>
                <w:tab w:val="num" w:pos="457"/>
              </w:tabs>
              <w:spacing w:after="0" w:line="240" w:lineRule="auto"/>
              <w:ind w:left="457" w:hanging="270"/>
              <w:textAlignment w:val="baseline"/>
              <w:rPr>
                <w:rFonts w:eastAsia="Times New Roman" w:cs="Times New Roman"/>
                <w:lang w:val="es-ES"/>
              </w:rPr>
            </w:pPr>
            <w:r>
              <w:rPr>
                <w:rFonts w:eastAsia="Times New Roman" w:cs="Times New Roman"/>
                <w:color w:val="000000"/>
                <w:lang w:val="pt-BR"/>
              </w:rPr>
              <w:t xml:space="preserve">Reuniões semestrais com agências parceiras que prestam serviços educacionais para crianças migratórias.  </w:t>
            </w:r>
          </w:p>
          <w:p w14:paraId="3AD5DF31" w14:textId="77777777" w:rsidR="00B75747" w:rsidRPr="00CC1CB4" w:rsidRDefault="00000000">
            <w:pPr>
              <w:numPr>
                <w:ilvl w:val="0"/>
                <w:numId w:val="44"/>
              </w:numPr>
              <w:tabs>
                <w:tab w:val="clear" w:pos="720"/>
                <w:tab w:val="num" w:pos="457"/>
              </w:tabs>
              <w:spacing w:after="0" w:line="240" w:lineRule="auto"/>
              <w:ind w:left="457" w:hanging="270"/>
              <w:textAlignment w:val="baseline"/>
              <w:rPr>
                <w:rFonts w:eastAsia="Times New Roman" w:cs="Times New Roman"/>
                <w:lang w:val="es-ES"/>
              </w:rPr>
            </w:pPr>
            <w:r>
              <w:rPr>
                <w:rFonts w:eastAsia="Times New Roman" w:cs="Times New Roman"/>
                <w:color w:val="000000"/>
                <w:lang w:val="pt-BR"/>
              </w:rPr>
              <w:t xml:space="preserve">Suporte para registro, incluindo transporte, interpretação e defesa. </w:t>
            </w:r>
          </w:p>
          <w:p w14:paraId="39E01B51" w14:textId="77777777" w:rsidR="00B75747" w:rsidRPr="00D11F20" w:rsidRDefault="00000000">
            <w:pPr>
              <w:numPr>
                <w:ilvl w:val="0"/>
                <w:numId w:val="44"/>
              </w:numPr>
              <w:tabs>
                <w:tab w:val="clear" w:pos="720"/>
                <w:tab w:val="num" w:pos="457"/>
              </w:tabs>
              <w:spacing w:after="0" w:line="240" w:lineRule="auto"/>
              <w:ind w:left="457" w:hanging="270"/>
              <w:textAlignment w:val="baseline"/>
              <w:rPr>
                <w:rFonts w:eastAsia="Times New Roman" w:cs="Times New Roman"/>
              </w:rPr>
            </w:pPr>
            <w:r>
              <w:rPr>
                <w:rFonts w:eastAsia="Times New Roman" w:cs="Times New Roman"/>
                <w:color w:val="000000"/>
                <w:lang w:val="pt-BR"/>
              </w:rPr>
              <w:t xml:space="preserve">Acordos para compartilhar referências. </w:t>
            </w:r>
          </w:p>
          <w:p w14:paraId="6584B4F6" w14:textId="77777777" w:rsidR="00B75747" w:rsidRPr="00CC1CB4" w:rsidRDefault="00000000">
            <w:pPr>
              <w:numPr>
                <w:ilvl w:val="0"/>
                <w:numId w:val="44"/>
              </w:numPr>
              <w:tabs>
                <w:tab w:val="clear" w:pos="720"/>
                <w:tab w:val="num" w:pos="457"/>
              </w:tabs>
              <w:spacing w:after="0" w:line="240" w:lineRule="auto"/>
              <w:ind w:left="457" w:hanging="270"/>
              <w:textAlignment w:val="baseline"/>
              <w:rPr>
                <w:rFonts w:eastAsia="Times New Roman" w:cs="Times New Roman"/>
                <w:lang w:val="es-ES"/>
              </w:rPr>
            </w:pPr>
            <w:r>
              <w:rPr>
                <w:rFonts w:eastAsia="Times New Roman" w:cs="Times New Roman"/>
                <w:color w:val="000000"/>
                <w:lang w:val="pt-BR"/>
              </w:rPr>
              <w:t xml:space="preserve">Assistência de transição pré-escolar para pais e filhos. </w:t>
            </w:r>
          </w:p>
        </w:tc>
        <w:tc>
          <w:tcPr>
            <w:tcW w:w="2168" w:type="dxa"/>
            <w:tcBorders>
              <w:top w:val="single" w:sz="6" w:space="0" w:color="000000"/>
              <w:left w:val="single" w:sz="6" w:space="0" w:color="000000"/>
              <w:bottom w:val="single" w:sz="6" w:space="0" w:color="000000"/>
              <w:right w:val="single" w:sz="6" w:space="0" w:color="000000"/>
            </w:tcBorders>
            <w:shd w:val="clear" w:color="auto" w:fill="auto"/>
            <w:hideMark/>
          </w:tcPr>
          <w:p w14:paraId="2F1F2699" w14:textId="77777777" w:rsidR="00B75747" w:rsidRPr="00D11F20" w:rsidRDefault="00000000">
            <w:pPr>
              <w:numPr>
                <w:ilvl w:val="0"/>
                <w:numId w:val="45"/>
              </w:numPr>
              <w:tabs>
                <w:tab w:val="clear" w:pos="720"/>
                <w:tab w:val="num" w:pos="457"/>
              </w:tabs>
              <w:spacing w:after="0" w:line="240" w:lineRule="auto"/>
              <w:ind w:left="449" w:hanging="262"/>
              <w:textAlignment w:val="baseline"/>
              <w:rPr>
                <w:rFonts w:eastAsia="Times New Roman" w:cs="Times New Roman"/>
              </w:rPr>
            </w:pPr>
            <w:r>
              <w:rPr>
                <w:rFonts w:eastAsia="Times New Roman" w:cs="Times New Roman"/>
                <w:color w:val="000000"/>
                <w:lang w:val="pt-BR"/>
              </w:rPr>
              <w:t xml:space="preserve">Intervencionistas, contatos, defensores </w:t>
            </w:r>
          </w:p>
          <w:p w14:paraId="59187E44" w14:textId="77777777" w:rsidR="00B75747" w:rsidRPr="00CC1CB4" w:rsidRDefault="00000000">
            <w:pPr>
              <w:numPr>
                <w:ilvl w:val="0"/>
                <w:numId w:val="45"/>
              </w:numPr>
              <w:tabs>
                <w:tab w:val="clear" w:pos="720"/>
                <w:tab w:val="num" w:pos="457"/>
              </w:tabs>
              <w:spacing w:after="0" w:line="240" w:lineRule="auto"/>
              <w:ind w:left="449" w:hanging="262"/>
              <w:textAlignment w:val="baseline"/>
              <w:rPr>
                <w:rFonts w:eastAsia="Times New Roman" w:cs="Times New Roman"/>
                <w:lang w:val="es-ES"/>
              </w:rPr>
            </w:pPr>
            <w:r>
              <w:rPr>
                <w:rFonts w:eastAsia="Times New Roman" w:cs="Times New Roman"/>
                <w:color w:val="000000"/>
                <w:lang w:val="pt-BR"/>
              </w:rPr>
              <w:t xml:space="preserve">Reuniões com prestadores de serviços de pré-escola. </w:t>
            </w:r>
          </w:p>
          <w:p w14:paraId="1BB0E9DF" w14:textId="77777777" w:rsidR="00B75747" w:rsidRPr="00D11F20" w:rsidRDefault="00000000">
            <w:pPr>
              <w:numPr>
                <w:ilvl w:val="0"/>
                <w:numId w:val="45"/>
              </w:numPr>
              <w:tabs>
                <w:tab w:val="clear" w:pos="720"/>
                <w:tab w:val="num" w:pos="457"/>
              </w:tabs>
              <w:spacing w:after="0" w:line="240" w:lineRule="auto"/>
              <w:ind w:left="449" w:hanging="262"/>
              <w:textAlignment w:val="baseline"/>
              <w:rPr>
                <w:rFonts w:eastAsia="Times New Roman" w:cs="Times New Roman"/>
              </w:rPr>
            </w:pPr>
            <w:r>
              <w:rPr>
                <w:rFonts w:eastAsia="Times New Roman" w:cs="Times New Roman"/>
                <w:color w:val="000000"/>
                <w:lang w:val="pt-BR"/>
              </w:rPr>
              <w:t xml:space="preserve">Materiais educacionais complementares. </w:t>
            </w:r>
          </w:p>
          <w:p w14:paraId="6D08CA74" w14:textId="77777777" w:rsidR="00B75747" w:rsidRPr="00D11F20" w:rsidRDefault="00000000">
            <w:pPr>
              <w:numPr>
                <w:ilvl w:val="0"/>
                <w:numId w:val="45"/>
              </w:numPr>
              <w:tabs>
                <w:tab w:val="clear" w:pos="720"/>
                <w:tab w:val="num" w:pos="457"/>
              </w:tabs>
              <w:spacing w:after="0" w:line="240" w:lineRule="auto"/>
              <w:ind w:left="449" w:hanging="262"/>
              <w:textAlignment w:val="baseline"/>
              <w:rPr>
                <w:rFonts w:eastAsia="Times New Roman" w:cs="Times New Roman"/>
              </w:rPr>
            </w:pPr>
            <w:r>
              <w:rPr>
                <w:rFonts w:eastAsia="Times New Roman" w:cs="Times New Roman"/>
                <w:color w:val="000000"/>
                <w:lang w:val="pt-BR"/>
              </w:rPr>
              <w:t xml:space="preserve">Transporte </w:t>
            </w:r>
          </w:p>
        </w:tc>
        <w:tc>
          <w:tcPr>
            <w:tcW w:w="3134" w:type="dxa"/>
            <w:tcBorders>
              <w:top w:val="single" w:sz="6" w:space="0" w:color="000000"/>
              <w:left w:val="single" w:sz="6" w:space="0" w:color="000000"/>
              <w:bottom w:val="single" w:sz="6" w:space="0" w:color="000000"/>
              <w:right w:val="single" w:sz="6" w:space="0" w:color="000000"/>
            </w:tcBorders>
            <w:shd w:val="clear" w:color="auto" w:fill="auto"/>
            <w:hideMark/>
          </w:tcPr>
          <w:p w14:paraId="054BB80F" w14:textId="77777777" w:rsidR="00B75747" w:rsidRPr="00CC1CB4" w:rsidRDefault="00000000">
            <w:pPr>
              <w:numPr>
                <w:ilvl w:val="0"/>
                <w:numId w:val="46"/>
              </w:numPr>
              <w:tabs>
                <w:tab w:val="clear" w:pos="720"/>
                <w:tab w:val="num" w:pos="457"/>
              </w:tabs>
              <w:spacing w:after="0" w:line="240" w:lineRule="auto"/>
              <w:ind w:left="449" w:hanging="262"/>
              <w:textAlignment w:val="baseline"/>
              <w:rPr>
                <w:rFonts w:eastAsia="Times New Roman" w:cs="Times New Roman"/>
                <w:lang w:val="es-ES"/>
              </w:rPr>
            </w:pPr>
            <w:r>
              <w:rPr>
                <w:rFonts w:eastAsia="Times New Roman" w:cs="Times New Roman"/>
                <w:color w:val="000000"/>
                <w:lang w:val="pt-BR"/>
              </w:rPr>
              <w:t xml:space="preserve">Acordos com provedores de educação infantil. </w:t>
            </w:r>
          </w:p>
          <w:p w14:paraId="44E0CAED" w14:textId="77777777" w:rsidR="00B75747" w:rsidRPr="00C04CDD" w:rsidRDefault="00000000">
            <w:pPr>
              <w:numPr>
                <w:ilvl w:val="0"/>
                <w:numId w:val="46"/>
              </w:numPr>
              <w:tabs>
                <w:tab w:val="clear" w:pos="720"/>
                <w:tab w:val="num" w:pos="457"/>
              </w:tabs>
              <w:spacing w:after="0" w:line="240" w:lineRule="auto"/>
              <w:ind w:left="449" w:hanging="262"/>
              <w:textAlignment w:val="baseline"/>
              <w:rPr>
                <w:rFonts w:eastAsia="Times New Roman" w:cs="Times New Roman"/>
                <w:lang w:val="fr-FR"/>
              </w:rPr>
            </w:pPr>
            <w:r>
              <w:rPr>
                <w:rFonts w:eastAsia="Times New Roman" w:cs="Times New Roman"/>
                <w:color w:val="000000"/>
                <w:lang w:val="pt-BR"/>
              </w:rPr>
              <w:t xml:space="preserve">Registros de participação ou inscrição. </w:t>
            </w:r>
          </w:p>
          <w:p w14:paraId="7ED5B7C4" w14:textId="77777777" w:rsidR="00B75747" w:rsidRPr="00D11F20" w:rsidRDefault="00000000">
            <w:pPr>
              <w:numPr>
                <w:ilvl w:val="0"/>
                <w:numId w:val="46"/>
              </w:numPr>
              <w:tabs>
                <w:tab w:val="clear" w:pos="720"/>
                <w:tab w:val="num" w:pos="457"/>
              </w:tabs>
              <w:spacing w:after="0" w:line="240" w:lineRule="auto"/>
              <w:ind w:left="449" w:hanging="262"/>
              <w:textAlignment w:val="baseline"/>
              <w:rPr>
                <w:rFonts w:eastAsia="Times New Roman" w:cs="Times New Roman"/>
              </w:rPr>
            </w:pPr>
            <w:r>
              <w:rPr>
                <w:rFonts w:eastAsia="Times New Roman" w:cs="Times New Roman"/>
                <w:color w:val="000000"/>
                <w:lang w:val="pt-BR"/>
              </w:rPr>
              <w:t xml:space="preserve">Registros de comunicação </w:t>
            </w:r>
          </w:p>
          <w:p w14:paraId="67F7D9F4" w14:textId="77777777" w:rsidR="00B75747" w:rsidRPr="00D11F20" w:rsidRDefault="00000000">
            <w:pPr>
              <w:numPr>
                <w:ilvl w:val="0"/>
                <w:numId w:val="46"/>
              </w:numPr>
              <w:tabs>
                <w:tab w:val="clear" w:pos="720"/>
                <w:tab w:val="num" w:pos="457"/>
              </w:tabs>
              <w:spacing w:after="0" w:line="240" w:lineRule="auto"/>
              <w:ind w:left="449" w:hanging="262"/>
              <w:textAlignment w:val="baseline"/>
              <w:rPr>
                <w:rFonts w:eastAsia="Times New Roman" w:cs="Times New Roman"/>
              </w:rPr>
            </w:pPr>
            <w:r>
              <w:rPr>
                <w:rFonts w:eastAsia="Times New Roman" w:cs="Times New Roman"/>
                <w:color w:val="000000"/>
                <w:lang w:val="pt-BR"/>
              </w:rPr>
              <w:t xml:space="preserve">Notas de reunião </w:t>
            </w:r>
          </w:p>
          <w:p w14:paraId="2A715A4E" w14:textId="77777777" w:rsidR="00B75747" w:rsidRPr="00CC1CB4" w:rsidRDefault="00000000">
            <w:pPr>
              <w:numPr>
                <w:ilvl w:val="0"/>
                <w:numId w:val="46"/>
              </w:numPr>
              <w:tabs>
                <w:tab w:val="clear" w:pos="720"/>
                <w:tab w:val="num" w:pos="457"/>
              </w:tabs>
              <w:spacing w:after="0" w:line="240" w:lineRule="auto"/>
              <w:ind w:left="449" w:hanging="262"/>
              <w:textAlignment w:val="baseline"/>
              <w:rPr>
                <w:rFonts w:eastAsia="Times New Roman" w:cs="Times New Roman"/>
                <w:lang w:val="es-ES"/>
              </w:rPr>
            </w:pPr>
            <w:r>
              <w:rPr>
                <w:rFonts w:eastAsia="Times New Roman" w:cs="Times New Roman"/>
                <w:color w:val="000000"/>
                <w:lang w:val="pt-BR"/>
              </w:rPr>
              <w:t xml:space="preserve">Agendas da reunião com os pais. </w:t>
            </w:r>
          </w:p>
        </w:tc>
      </w:tr>
      <w:tr w:rsidR="00C566B2" w:rsidRPr="00C04CDD" w14:paraId="57F9218C" w14:textId="77777777" w:rsidTr="0053042A">
        <w:trPr>
          <w:trHeight w:val="300"/>
        </w:trPr>
        <w:tc>
          <w:tcPr>
            <w:tcW w:w="3502" w:type="dxa"/>
            <w:tcBorders>
              <w:top w:val="single" w:sz="6" w:space="0" w:color="000000"/>
              <w:left w:val="single" w:sz="6" w:space="0" w:color="000000"/>
              <w:bottom w:val="single" w:sz="6" w:space="0" w:color="000000"/>
              <w:right w:val="single" w:sz="6" w:space="0" w:color="000000"/>
            </w:tcBorders>
            <w:shd w:val="clear" w:color="auto" w:fill="auto"/>
            <w:hideMark/>
          </w:tcPr>
          <w:p w14:paraId="3EDA484E" w14:textId="77777777" w:rsidR="00B75747" w:rsidRPr="00CC1CB4" w:rsidRDefault="00000000" w:rsidP="00B75747">
            <w:pPr>
              <w:spacing w:after="0" w:line="240" w:lineRule="auto"/>
              <w:textAlignment w:val="baseline"/>
              <w:rPr>
                <w:rFonts w:eastAsia="Times New Roman" w:cs="Times New Roman"/>
                <w:lang w:val="es-ES"/>
              </w:rPr>
            </w:pPr>
            <w:r>
              <w:rPr>
                <w:rFonts w:eastAsia="Times New Roman" w:cs="Times New Roman"/>
                <w:b/>
                <w:bCs/>
                <w:lang w:val="pt-BR"/>
              </w:rPr>
              <w:t xml:space="preserve">2.2) </w:t>
            </w:r>
            <w:r>
              <w:rPr>
                <w:rFonts w:eastAsia="Times New Roman" w:cs="Times New Roman"/>
                <w:lang w:val="pt-BR"/>
              </w:rPr>
              <w:t xml:space="preserve">Fornecer às crianças pequenas migratórias instruções de verão apropriadas para a idade, apropriadas para o desenvolvimento e culturalmente inclusivas. Providenciar materiais de leitura em suas casas durante o ano letivo regular. </w:t>
            </w:r>
          </w:p>
        </w:tc>
        <w:tc>
          <w:tcPr>
            <w:tcW w:w="4140" w:type="dxa"/>
            <w:tcBorders>
              <w:top w:val="single" w:sz="6" w:space="0" w:color="000000"/>
              <w:left w:val="single" w:sz="6" w:space="0" w:color="000000"/>
              <w:bottom w:val="single" w:sz="6" w:space="0" w:color="000000"/>
              <w:right w:val="single" w:sz="6" w:space="0" w:color="000000"/>
            </w:tcBorders>
            <w:shd w:val="clear" w:color="auto" w:fill="auto"/>
            <w:hideMark/>
          </w:tcPr>
          <w:p w14:paraId="5714B997" w14:textId="77777777" w:rsidR="00B75747" w:rsidRPr="00EA039D" w:rsidRDefault="00000000">
            <w:pPr>
              <w:numPr>
                <w:ilvl w:val="0"/>
                <w:numId w:val="47"/>
              </w:numPr>
              <w:tabs>
                <w:tab w:val="clear" w:pos="720"/>
                <w:tab w:val="num" w:pos="457"/>
              </w:tabs>
              <w:spacing w:after="0" w:line="240" w:lineRule="auto"/>
              <w:ind w:left="457" w:hanging="270"/>
              <w:textAlignment w:val="baseline"/>
              <w:rPr>
                <w:rFonts w:eastAsia="Times New Roman" w:cs="Times New Roman"/>
              </w:rPr>
            </w:pPr>
            <w:r>
              <w:rPr>
                <w:rFonts w:eastAsia="Times New Roman" w:cs="Times New Roman"/>
                <w:color w:val="000000"/>
                <w:lang w:val="pt-BR"/>
              </w:rPr>
              <w:t xml:space="preserve">Instrução direta (no local) </w:t>
            </w:r>
          </w:p>
          <w:p w14:paraId="5120CD37" w14:textId="77777777" w:rsidR="00B75747" w:rsidRPr="00EA039D" w:rsidRDefault="00000000">
            <w:pPr>
              <w:numPr>
                <w:ilvl w:val="0"/>
                <w:numId w:val="47"/>
              </w:numPr>
              <w:tabs>
                <w:tab w:val="clear" w:pos="720"/>
                <w:tab w:val="num" w:pos="457"/>
              </w:tabs>
              <w:spacing w:after="0" w:line="240" w:lineRule="auto"/>
              <w:ind w:left="457" w:hanging="270"/>
              <w:textAlignment w:val="baseline"/>
              <w:rPr>
                <w:rFonts w:eastAsia="Times New Roman" w:cs="Times New Roman"/>
              </w:rPr>
            </w:pPr>
            <w:r>
              <w:rPr>
                <w:rFonts w:eastAsia="Times New Roman" w:cs="Times New Roman"/>
                <w:color w:val="000000"/>
                <w:lang w:val="pt-BR"/>
              </w:rPr>
              <w:t xml:space="preserve">Instrução direta (em casa) </w:t>
            </w:r>
          </w:p>
          <w:p w14:paraId="726D9E61" w14:textId="77777777" w:rsidR="00B75747" w:rsidRPr="00CC1CB4" w:rsidRDefault="00000000">
            <w:pPr>
              <w:numPr>
                <w:ilvl w:val="0"/>
                <w:numId w:val="47"/>
              </w:numPr>
              <w:tabs>
                <w:tab w:val="clear" w:pos="720"/>
                <w:tab w:val="num" w:pos="457"/>
              </w:tabs>
              <w:spacing w:after="0" w:line="240" w:lineRule="auto"/>
              <w:ind w:left="457" w:hanging="270"/>
              <w:textAlignment w:val="baseline"/>
              <w:rPr>
                <w:rFonts w:eastAsia="Times New Roman" w:cs="Times New Roman"/>
                <w:lang w:val="es-ES"/>
              </w:rPr>
            </w:pPr>
            <w:r>
              <w:rPr>
                <w:rFonts w:eastAsia="Times New Roman" w:cs="Times New Roman"/>
                <w:color w:val="000000"/>
                <w:lang w:val="pt-BR"/>
              </w:rPr>
              <w:t xml:space="preserve">Providenciar materiais de leitura para casa durante o ano escolar. </w:t>
            </w:r>
          </w:p>
          <w:p w14:paraId="7261E28D" w14:textId="77777777" w:rsidR="00B75747" w:rsidRPr="00CC1CB4" w:rsidRDefault="00000000">
            <w:pPr>
              <w:numPr>
                <w:ilvl w:val="0"/>
                <w:numId w:val="47"/>
              </w:numPr>
              <w:tabs>
                <w:tab w:val="clear" w:pos="720"/>
                <w:tab w:val="num" w:pos="457"/>
              </w:tabs>
              <w:spacing w:after="0" w:line="240" w:lineRule="auto"/>
              <w:ind w:left="457" w:hanging="270"/>
              <w:textAlignment w:val="baseline"/>
              <w:rPr>
                <w:rFonts w:eastAsia="Times New Roman" w:cs="Times New Roman"/>
                <w:lang w:val="es-ES"/>
              </w:rPr>
            </w:pPr>
            <w:r>
              <w:rPr>
                <w:rFonts w:eastAsia="Times New Roman" w:cs="Times New Roman"/>
                <w:color w:val="000000"/>
                <w:lang w:val="pt-BR"/>
              </w:rPr>
              <w:t xml:space="preserve">Enriquecimento e viagens de campo. </w:t>
            </w:r>
          </w:p>
        </w:tc>
        <w:tc>
          <w:tcPr>
            <w:tcW w:w="2168" w:type="dxa"/>
            <w:tcBorders>
              <w:top w:val="single" w:sz="6" w:space="0" w:color="000000"/>
              <w:left w:val="single" w:sz="6" w:space="0" w:color="000000"/>
              <w:bottom w:val="single" w:sz="6" w:space="0" w:color="000000"/>
              <w:right w:val="single" w:sz="6" w:space="0" w:color="000000"/>
            </w:tcBorders>
            <w:shd w:val="clear" w:color="auto" w:fill="auto"/>
            <w:hideMark/>
          </w:tcPr>
          <w:p w14:paraId="303D2A0B" w14:textId="77777777" w:rsidR="00B75747" w:rsidRPr="00EA039D" w:rsidRDefault="00000000">
            <w:pPr>
              <w:numPr>
                <w:ilvl w:val="0"/>
                <w:numId w:val="48"/>
              </w:numPr>
              <w:tabs>
                <w:tab w:val="clear" w:pos="720"/>
                <w:tab w:val="num" w:pos="457"/>
              </w:tabs>
              <w:spacing w:after="0" w:line="240" w:lineRule="auto"/>
              <w:ind w:left="449" w:hanging="262"/>
              <w:textAlignment w:val="baseline"/>
              <w:rPr>
                <w:rFonts w:eastAsia="Times New Roman" w:cs="Times New Roman"/>
              </w:rPr>
            </w:pPr>
            <w:r>
              <w:rPr>
                <w:rFonts w:eastAsia="Times New Roman" w:cs="Times New Roman"/>
                <w:color w:val="000000"/>
                <w:lang w:val="pt-BR"/>
              </w:rPr>
              <w:t xml:space="preserve">Professores e assistentes </w:t>
            </w:r>
          </w:p>
          <w:p w14:paraId="3582B459" w14:textId="77777777" w:rsidR="00B75747" w:rsidRPr="00EA039D" w:rsidRDefault="00000000">
            <w:pPr>
              <w:numPr>
                <w:ilvl w:val="0"/>
                <w:numId w:val="48"/>
              </w:numPr>
              <w:tabs>
                <w:tab w:val="clear" w:pos="720"/>
                <w:tab w:val="num" w:pos="457"/>
              </w:tabs>
              <w:spacing w:after="0" w:line="240" w:lineRule="auto"/>
              <w:ind w:left="449" w:hanging="262"/>
              <w:textAlignment w:val="baseline"/>
              <w:rPr>
                <w:rFonts w:eastAsia="Times New Roman" w:cs="Times New Roman"/>
              </w:rPr>
            </w:pPr>
            <w:r>
              <w:rPr>
                <w:rFonts w:eastAsia="Times New Roman" w:cs="Times New Roman"/>
                <w:color w:val="000000"/>
                <w:lang w:val="pt-BR"/>
              </w:rPr>
              <w:t xml:space="preserve">PD local </w:t>
            </w:r>
          </w:p>
          <w:p w14:paraId="724D97B1" w14:textId="77777777" w:rsidR="00B75747" w:rsidRPr="00CC1CB4" w:rsidRDefault="00000000">
            <w:pPr>
              <w:numPr>
                <w:ilvl w:val="0"/>
                <w:numId w:val="48"/>
              </w:numPr>
              <w:tabs>
                <w:tab w:val="clear" w:pos="720"/>
                <w:tab w:val="num" w:pos="457"/>
              </w:tabs>
              <w:spacing w:after="0" w:line="240" w:lineRule="auto"/>
              <w:ind w:left="449" w:hanging="262"/>
              <w:textAlignment w:val="baseline"/>
              <w:rPr>
                <w:rFonts w:eastAsia="Times New Roman" w:cs="Times New Roman"/>
                <w:lang w:val="es-ES"/>
              </w:rPr>
            </w:pPr>
            <w:r>
              <w:rPr>
                <w:rFonts w:eastAsia="Times New Roman" w:cs="Times New Roman"/>
                <w:color w:val="000000"/>
                <w:lang w:val="pt-BR"/>
              </w:rPr>
              <w:t xml:space="preserve">Recursos matemáticos iniciais; por exemplo, manipuladores e acesso à tecnologia. </w:t>
            </w:r>
          </w:p>
          <w:p w14:paraId="25C14794" w14:textId="77777777" w:rsidR="00B75747" w:rsidRPr="00CC1CB4" w:rsidRDefault="00000000">
            <w:pPr>
              <w:numPr>
                <w:ilvl w:val="0"/>
                <w:numId w:val="48"/>
              </w:numPr>
              <w:tabs>
                <w:tab w:val="clear" w:pos="720"/>
                <w:tab w:val="num" w:pos="457"/>
              </w:tabs>
              <w:spacing w:after="0" w:line="240" w:lineRule="auto"/>
              <w:ind w:left="449" w:hanging="262"/>
              <w:textAlignment w:val="baseline"/>
              <w:rPr>
                <w:rFonts w:eastAsia="Times New Roman" w:cs="Times New Roman"/>
                <w:lang w:val="es-ES"/>
              </w:rPr>
            </w:pPr>
            <w:r>
              <w:rPr>
                <w:rFonts w:eastAsia="Times New Roman" w:cs="Times New Roman"/>
                <w:color w:val="000000"/>
                <w:lang w:val="pt-BR"/>
              </w:rPr>
              <w:t xml:space="preserve">Despesas de viagem de campo. </w:t>
            </w:r>
          </w:p>
          <w:p w14:paraId="02E3D05C" w14:textId="77777777" w:rsidR="00B75747" w:rsidRPr="00EA039D" w:rsidRDefault="00000000">
            <w:pPr>
              <w:numPr>
                <w:ilvl w:val="0"/>
                <w:numId w:val="48"/>
              </w:numPr>
              <w:tabs>
                <w:tab w:val="clear" w:pos="720"/>
                <w:tab w:val="num" w:pos="457"/>
              </w:tabs>
              <w:spacing w:after="0" w:line="240" w:lineRule="auto"/>
              <w:ind w:left="449" w:hanging="262"/>
              <w:textAlignment w:val="baseline"/>
              <w:rPr>
                <w:rFonts w:eastAsia="Times New Roman" w:cs="Times New Roman"/>
              </w:rPr>
            </w:pPr>
            <w:r>
              <w:rPr>
                <w:rFonts w:eastAsia="Times New Roman" w:cs="Times New Roman"/>
                <w:color w:val="000000"/>
                <w:lang w:val="pt-BR"/>
              </w:rPr>
              <w:t xml:space="preserve">Materiais de leitura. </w:t>
            </w:r>
          </w:p>
        </w:tc>
        <w:tc>
          <w:tcPr>
            <w:tcW w:w="3134" w:type="dxa"/>
            <w:tcBorders>
              <w:top w:val="single" w:sz="6" w:space="0" w:color="000000"/>
              <w:left w:val="single" w:sz="6" w:space="0" w:color="000000"/>
              <w:bottom w:val="single" w:sz="6" w:space="0" w:color="000000"/>
              <w:right w:val="single" w:sz="6" w:space="0" w:color="000000"/>
            </w:tcBorders>
            <w:shd w:val="clear" w:color="auto" w:fill="auto"/>
            <w:hideMark/>
          </w:tcPr>
          <w:p w14:paraId="78BD19DB" w14:textId="77777777" w:rsidR="00B75747" w:rsidRPr="00EA039D" w:rsidRDefault="00000000">
            <w:pPr>
              <w:numPr>
                <w:ilvl w:val="0"/>
                <w:numId w:val="49"/>
              </w:numPr>
              <w:tabs>
                <w:tab w:val="clear" w:pos="720"/>
                <w:tab w:val="num" w:pos="457"/>
              </w:tabs>
              <w:spacing w:after="0" w:line="240" w:lineRule="auto"/>
              <w:ind w:left="449" w:hanging="262"/>
              <w:textAlignment w:val="baseline"/>
              <w:rPr>
                <w:rFonts w:eastAsia="Times New Roman" w:cs="Times New Roman"/>
              </w:rPr>
            </w:pPr>
            <w:r>
              <w:rPr>
                <w:rFonts w:eastAsia="Times New Roman" w:cs="Times New Roman"/>
                <w:color w:val="000000"/>
                <w:lang w:val="pt-BR"/>
              </w:rPr>
              <w:t xml:space="preserve">Registros de presença </w:t>
            </w:r>
          </w:p>
          <w:p w14:paraId="0995EEDC" w14:textId="77777777" w:rsidR="00B75747" w:rsidRPr="00CC1CB4" w:rsidRDefault="00000000">
            <w:pPr>
              <w:numPr>
                <w:ilvl w:val="0"/>
                <w:numId w:val="49"/>
              </w:numPr>
              <w:tabs>
                <w:tab w:val="clear" w:pos="720"/>
                <w:tab w:val="num" w:pos="457"/>
              </w:tabs>
              <w:spacing w:after="0" w:line="240" w:lineRule="auto"/>
              <w:ind w:left="449" w:hanging="262"/>
              <w:textAlignment w:val="baseline"/>
              <w:rPr>
                <w:rFonts w:eastAsia="Times New Roman" w:cs="Times New Roman"/>
                <w:lang w:val="es-ES"/>
              </w:rPr>
            </w:pPr>
            <w:r>
              <w:rPr>
                <w:rFonts w:eastAsia="Times New Roman" w:cs="Times New Roman"/>
                <w:color w:val="000000"/>
                <w:lang w:val="pt-BR"/>
              </w:rPr>
              <w:t xml:space="preserve">Avaliação da educação infantil do MEP </w:t>
            </w:r>
          </w:p>
        </w:tc>
      </w:tr>
      <w:tr w:rsidR="00C566B2" w:rsidRPr="00C04CDD" w14:paraId="0C5895D6" w14:textId="77777777" w:rsidTr="00EA039D">
        <w:trPr>
          <w:cantSplit/>
          <w:trHeight w:val="300"/>
        </w:trPr>
        <w:tc>
          <w:tcPr>
            <w:tcW w:w="3502" w:type="dxa"/>
            <w:tcBorders>
              <w:top w:val="single" w:sz="6" w:space="0" w:color="000000"/>
              <w:left w:val="single" w:sz="6" w:space="0" w:color="000000"/>
              <w:bottom w:val="single" w:sz="6" w:space="0" w:color="000000"/>
              <w:right w:val="single" w:sz="6" w:space="0" w:color="000000"/>
            </w:tcBorders>
            <w:shd w:val="clear" w:color="auto" w:fill="auto"/>
            <w:hideMark/>
          </w:tcPr>
          <w:p w14:paraId="0B88D779" w14:textId="77777777" w:rsidR="00B75747" w:rsidRPr="00CC1CB4" w:rsidRDefault="00000000" w:rsidP="00B75747">
            <w:pPr>
              <w:spacing w:after="0" w:line="240" w:lineRule="auto"/>
              <w:textAlignment w:val="baseline"/>
              <w:rPr>
                <w:rFonts w:eastAsia="Times New Roman" w:cs="Times New Roman"/>
                <w:lang w:val="es-ES"/>
              </w:rPr>
            </w:pPr>
            <w:r>
              <w:rPr>
                <w:rFonts w:eastAsia="Times New Roman" w:cs="Times New Roman"/>
                <w:b/>
                <w:bCs/>
                <w:lang w:val="pt-BR"/>
              </w:rPr>
              <w:lastRenderedPageBreak/>
              <w:t xml:space="preserve">2.3) </w:t>
            </w:r>
            <w:r>
              <w:rPr>
                <w:rFonts w:eastAsia="Times New Roman" w:cs="Times New Roman"/>
                <w:lang w:val="pt-BR"/>
              </w:rPr>
              <w:t xml:space="preserve">Fornecer atividades aos pais para divulgar informações sobre oportunidades de aprendizagem pré-escolar e incluir manuais de recursos fáceis de ler (fáceis de ler, coloridos, bem rotulados, simplificados) listando suportes instrucionais e relacionados. Certifique-se de que as informações sejam distribuídas no idioma local dos pais e de uma maneira acessível aos pais, incluindo tecnologia como WhatsApp. </w:t>
            </w:r>
          </w:p>
        </w:tc>
        <w:tc>
          <w:tcPr>
            <w:tcW w:w="4140" w:type="dxa"/>
            <w:tcBorders>
              <w:top w:val="single" w:sz="6" w:space="0" w:color="000000"/>
              <w:left w:val="single" w:sz="6" w:space="0" w:color="000000"/>
              <w:bottom w:val="single" w:sz="6" w:space="0" w:color="000000"/>
              <w:right w:val="single" w:sz="6" w:space="0" w:color="000000"/>
            </w:tcBorders>
            <w:shd w:val="clear" w:color="auto" w:fill="auto"/>
            <w:hideMark/>
          </w:tcPr>
          <w:p w14:paraId="1BBEE7BE" w14:textId="77777777" w:rsidR="00B75747" w:rsidRPr="00CC1CB4" w:rsidRDefault="00000000">
            <w:pPr>
              <w:numPr>
                <w:ilvl w:val="0"/>
                <w:numId w:val="50"/>
              </w:numPr>
              <w:tabs>
                <w:tab w:val="clear" w:pos="720"/>
                <w:tab w:val="num" w:pos="457"/>
              </w:tabs>
              <w:spacing w:after="0" w:line="240" w:lineRule="auto"/>
              <w:ind w:left="457" w:hanging="270"/>
              <w:textAlignment w:val="baseline"/>
              <w:rPr>
                <w:rFonts w:eastAsia="Times New Roman" w:cs="Times New Roman"/>
                <w:lang w:val="es-ES"/>
              </w:rPr>
            </w:pPr>
            <w:r>
              <w:rPr>
                <w:rFonts w:eastAsia="Times New Roman" w:cs="Times New Roman"/>
                <w:color w:val="000000"/>
                <w:lang w:val="pt-BR"/>
              </w:rPr>
              <w:t xml:space="preserve">Oferecer workshops para pais de grupos grandes e pequenos e reuniões do Conselho Consultivo para pais. </w:t>
            </w:r>
          </w:p>
          <w:p w14:paraId="05CD3300" w14:textId="77777777" w:rsidR="00B75747" w:rsidRPr="00CC1CB4" w:rsidRDefault="00000000">
            <w:pPr>
              <w:numPr>
                <w:ilvl w:val="0"/>
                <w:numId w:val="50"/>
              </w:numPr>
              <w:tabs>
                <w:tab w:val="clear" w:pos="720"/>
                <w:tab w:val="num" w:pos="457"/>
              </w:tabs>
              <w:spacing w:after="0" w:line="240" w:lineRule="auto"/>
              <w:ind w:left="457" w:hanging="270"/>
              <w:textAlignment w:val="baseline"/>
              <w:rPr>
                <w:rFonts w:eastAsia="Times New Roman" w:cs="Times New Roman"/>
                <w:lang w:val="es-ES"/>
              </w:rPr>
            </w:pPr>
            <w:r>
              <w:rPr>
                <w:rFonts w:eastAsia="Times New Roman" w:cs="Times New Roman"/>
                <w:color w:val="000000"/>
                <w:lang w:val="pt-BR"/>
              </w:rPr>
              <w:t xml:space="preserve">Protocolo de visitante domiciliar para interações efetivas com os pais. </w:t>
            </w:r>
          </w:p>
          <w:p w14:paraId="2C2A4BB6" w14:textId="77777777" w:rsidR="00B75747" w:rsidRPr="00CC1CB4" w:rsidRDefault="00000000">
            <w:pPr>
              <w:numPr>
                <w:ilvl w:val="0"/>
                <w:numId w:val="50"/>
              </w:numPr>
              <w:tabs>
                <w:tab w:val="clear" w:pos="720"/>
                <w:tab w:val="num" w:pos="457"/>
              </w:tabs>
              <w:spacing w:after="0" w:line="240" w:lineRule="auto"/>
              <w:ind w:left="457" w:hanging="270"/>
              <w:textAlignment w:val="baseline"/>
              <w:rPr>
                <w:rFonts w:eastAsia="Times New Roman" w:cs="Times New Roman"/>
                <w:lang w:val="es-ES"/>
              </w:rPr>
            </w:pPr>
            <w:r>
              <w:rPr>
                <w:rFonts w:eastAsia="Times New Roman" w:cs="Times New Roman"/>
                <w:color w:val="000000"/>
                <w:lang w:val="pt-BR"/>
              </w:rPr>
              <w:t xml:space="preserve">Reuniões semestrais com agências parceiras que prestam serviços educacionais para crianças migratórias. </w:t>
            </w:r>
          </w:p>
          <w:p w14:paraId="6DA74E3F" w14:textId="77777777" w:rsidR="00B75747" w:rsidRPr="00CC1CB4" w:rsidRDefault="00000000">
            <w:pPr>
              <w:numPr>
                <w:ilvl w:val="0"/>
                <w:numId w:val="50"/>
              </w:numPr>
              <w:tabs>
                <w:tab w:val="clear" w:pos="720"/>
                <w:tab w:val="num" w:pos="457"/>
              </w:tabs>
              <w:spacing w:after="0" w:line="240" w:lineRule="auto"/>
              <w:ind w:left="457" w:hanging="270"/>
              <w:textAlignment w:val="baseline"/>
              <w:rPr>
                <w:rFonts w:eastAsia="Times New Roman" w:cs="Times New Roman"/>
                <w:lang w:val="es-ES"/>
              </w:rPr>
            </w:pPr>
            <w:r>
              <w:rPr>
                <w:rFonts w:eastAsia="Times New Roman" w:cs="Times New Roman"/>
                <w:color w:val="000000"/>
                <w:lang w:val="pt-BR"/>
              </w:rPr>
              <w:t xml:space="preserve">Usar tecnologia para criar vídeos instrucionais para pais que modelam estratégias instrucionais. </w:t>
            </w:r>
          </w:p>
          <w:p w14:paraId="4671AB84" w14:textId="77777777" w:rsidR="00B75747" w:rsidRPr="00CC1CB4" w:rsidRDefault="00000000">
            <w:pPr>
              <w:numPr>
                <w:ilvl w:val="0"/>
                <w:numId w:val="50"/>
              </w:numPr>
              <w:tabs>
                <w:tab w:val="clear" w:pos="720"/>
                <w:tab w:val="num" w:pos="457"/>
              </w:tabs>
              <w:spacing w:after="0" w:line="240" w:lineRule="auto"/>
              <w:ind w:left="457" w:hanging="270"/>
              <w:textAlignment w:val="baseline"/>
              <w:rPr>
                <w:rFonts w:eastAsia="Times New Roman" w:cs="Times New Roman"/>
                <w:lang w:val="es-ES"/>
              </w:rPr>
            </w:pPr>
            <w:r>
              <w:rPr>
                <w:rFonts w:eastAsia="Times New Roman" w:cs="Times New Roman"/>
                <w:color w:val="000000"/>
                <w:lang w:val="pt-BR"/>
              </w:rPr>
              <w:t xml:space="preserve">Usar o site do MEP para compilar/compartilhar recursos principais. </w:t>
            </w:r>
          </w:p>
          <w:p w14:paraId="11CDBEB3" w14:textId="77777777" w:rsidR="00B75747" w:rsidRPr="00CC1CB4" w:rsidRDefault="00000000">
            <w:pPr>
              <w:numPr>
                <w:ilvl w:val="0"/>
                <w:numId w:val="50"/>
              </w:numPr>
              <w:tabs>
                <w:tab w:val="clear" w:pos="720"/>
                <w:tab w:val="num" w:pos="457"/>
              </w:tabs>
              <w:spacing w:after="0" w:line="240" w:lineRule="auto"/>
              <w:ind w:left="457" w:hanging="270"/>
              <w:textAlignment w:val="baseline"/>
              <w:rPr>
                <w:rFonts w:eastAsia="Times New Roman" w:cs="Times New Roman"/>
                <w:lang w:val="es-ES"/>
              </w:rPr>
            </w:pPr>
            <w:r>
              <w:rPr>
                <w:rFonts w:eastAsia="Times New Roman" w:cs="Times New Roman"/>
                <w:color w:val="000000"/>
                <w:lang w:val="pt-BR"/>
              </w:rPr>
              <w:t xml:space="preserve">Criar uma lista de programas pré-escolares/de primeira infância para conscientização da equipe do MEP e distribuir aos pais/responsáveis (com base na proximidade geográfica de onde eles residem). </w:t>
            </w:r>
          </w:p>
        </w:tc>
        <w:tc>
          <w:tcPr>
            <w:tcW w:w="2168" w:type="dxa"/>
            <w:tcBorders>
              <w:top w:val="single" w:sz="6" w:space="0" w:color="000000"/>
              <w:left w:val="single" w:sz="6" w:space="0" w:color="000000"/>
              <w:bottom w:val="single" w:sz="6" w:space="0" w:color="000000"/>
              <w:right w:val="single" w:sz="6" w:space="0" w:color="000000"/>
            </w:tcBorders>
            <w:shd w:val="clear" w:color="auto" w:fill="auto"/>
            <w:hideMark/>
          </w:tcPr>
          <w:p w14:paraId="1D19810B" w14:textId="77777777" w:rsidR="00B75747" w:rsidRPr="00EA039D" w:rsidRDefault="00000000">
            <w:pPr>
              <w:numPr>
                <w:ilvl w:val="0"/>
                <w:numId w:val="51"/>
              </w:numPr>
              <w:tabs>
                <w:tab w:val="clear" w:pos="720"/>
                <w:tab w:val="num" w:pos="457"/>
              </w:tabs>
              <w:spacing w:after="0" w:line="240" w:lineRule="auto"/>
              <w:ind w:left="449" w:hanging="262"/>
              <w:textAlignment w:val="baseline"/>
              <w:rPr>
                <w:rFonts w:eastAsia="Times New Roman" w:cs="Times New Roman"/>
              </w:rPr>
            </w:pPr>
            <w:r>
              <w:rPr>
                <w:rFonts w:eastAsia="Times New Roman" w:cs="Times New Roman"/>
                <w:color w:val="000000"/>
                <w:lang w:val="pt-BR"/>
              </w:rPr>
              <w:t xml:space="preserve">Professores e assistentes </w:t>
            </w:r>
          </w:p>
          <w:p w14:paraId="76783652" w14:textId="77777777" w:rsidR="00B75747" w:rsidRPr="00EA039D" w:rsidRDefault="00000000">
            <w:pPr>
              <w:numPr>
                <w:ilvl w:val="0"/>
                <w:numId w:val="51"/>
              </w:numPr>
              <w:tabs>
                <w:tab w:val="clear" w:pos="720"/>
                <w:tab w:val="num" w:pos="457"/>
              </w:tabs>
              <w:spacing w:after="0" w:line="240" w:lineRule="auto"/>
              <w:ind w:left="449" w:hanging="262"/>
              <w:textAlignment w:val="baseline"/>
              <w:rPr>
                <w:rFonts w:eastAsia="Times New Roman" w:cs="Times New Roman"/>
              </w:rPr>
            </w:pPr>
            <w:r>
              <w:rPr>
                <w:rFonts w:eastAsia="Times New Roman" w:cs="Times New Roman"/>
                <w:color w:val="000000"/>
                <w:lang w:val="pt-BR"/>
              </w:rPr>
              <w:t xml:space="preserve">PD local </w:t>
            </w:r>
          </w:p>
          <w:p w14:paraId="7CC8D1E2" w14:textId="77777777" w:rsidR="00B75747" w:rsidRPr="00EA039D" w:rsidRDefault="00000000">
            <w:pPr>
              <w:numPr>
                <w:ilvl w:val="0"/>
                <w:numId w:val="51"/>
              </w:numPr>
              <w:tabs>
                <w:tab w:val="clear" w:pos="720"/>
                <w:tab w:val="num" w:pos="457"/>
              </w:tabs>
              <w:spacing w:after="0" w:line="240" w:lineRule="auto"/>
              <w:ind w:left="449" w:hanging="262"/>
              <w:textAlignment w:val="baseline"/>
              <w:rPr>
                <w:rFonts w:eastAsia="Times New Roman" w:cs="Times New Roman"/>
              </w:rPr>
            </w:pPr>
            <w:r>
              <w:rPr>
                <w:rFonts w:eastAsia="Times New Roman" w:cs="Times New Roman"/>
                <w:color w:val="000000"/>
                <w:lang w:val="pt-BR"/>
              </w:rPr>
              <w:t xml:space="preserve">Materiais e suprimentos educacionais </w:t>
            </w:r>
          </w:p>
          <w:p w14:paraId="3F28D319" w14:textId="77777777" w:rsidR="00B75747" w:rsidRPr="00EA039D" w:rsidRDefault="00000000">
            <w:pPr>
              <w:numPr>
                <w:ilvl w:val="0"/>
                <w:numId w:val="51"/>
              </w:numPr>
              <w:tabs>
                <w:tab w:val="clear" w:pos="720"/>
                <w:tab w:val="num" w:pos="457"/>
              </w:tabs>
              <w:spacing w:after="0" w:line="240" w:lineRule="auto"/>
              <w:ind w:left="449" w:hanging="262"/>
              <w:textAlignment w:val="baseline"/>
              <w:rPr>
                <w:rFonts w:eastAsia="Times New Roman" w:cs="Times New Roman"/>
              </w:rPr>
            </w:pPr>
            <w:r>
              <w:rPr>
                <w:rFonts w:eastAsia="Times New Roman" w:cs="Times New Roman"/>
                <w:color w:val="000000"/>
                <w:lang w:val="pt-BR"/>
              </w:rPr>
              <w:t xml:space="preserve">Despesas do workshop de pais </w:t>
            </w:r>
          </w:p>
          <w:p w14:paraId="1C3733A3" w14:textId="77777777" w:rsidR="00B75747" w:rsidRPr="00CC1CB4" w:rsidRDefault="00000000">
            <w:pPr>
              <w:numPr>
                <w:ilvl w:val="0"/>
                <w:numId w:val="51"/>
              </w:numPr>
              <w:tabs>
                <w:tab w:val="clear" w:pos="720"/>
                <w:tab w:val="num" w:pos="457"/>
              </w:tabs>
              <w:spacing w:after="0" w:line="240" w:lineRule="auto"/>
              <w:ind w:left="449" w:hanging="262"/>
              <w:textAlignment w:val="baseline"/>
              <w:rPr>
                <w:rFonts w:eastAsia="Times New Roman" w:cs="Times New Roman"/>
                <w:lang w:val="es-ES"/>
              </w:rPr>
            </w:pPr>
            <w:r>
              <w:rPr>
                <w:rFonts w:eastAsia="Times New Roman" w:cs="Times New Roman"/>
                <w:color w:val="000000"/>
                <w:lang w:val="pt-BR"/>
              </w:rPr>
              <w:t xml:space="preserve">Pendrives, cartões SD etc., carregados com recursos instrucionais </w:t>
            </w:r>
          </w:p>
        </w:tc>
        <w:tc>
          <w:tcPr>
            <w:tcW w:w="3134" w:type="dxa"/>
            <w:tcBorders>
              <w:top w:val="single" w:sz="6" w:space="0" w:color="000000"/>
              <w:left w:val="single" w:sz="6" w:space="0" w:color="000000"/>
              <w:bottom w:val="single" w:sz="6" w:space="0" w:color="000000"/>
              <w:right w:val="single" w:sz="6" w:space="0" w:color="000000"/>
            </w:tcBorders>
            <w:shd w:val="clear" w:color="auto" w:fill="auto"/>
            <w:hideMark/>
          </w:tcPr>
          <w:p w14:paraId="0CC4A79E" w14:textId="77777777" w:rsidR="00B75747" w:rsidRPr="00EA039D" w:rsidRDefault="00000000">
            <w:pPr>
              <w:numPr>
                <w:ilvl w:val="0"/>
                <w:numId w:val="52"/>
              </w:numPr>
              <w:tabs>
                <w:tab w:val="clear" w:pos="720"/>
                <w:tab w:val="num" w:pos="457"/>
              </w:tabs>
              <w:spacing w:after="0" w:line="240" w:lineRule="auto"/>
              <w:ind w:left="449" w:hanging="262"/>
              <w:textAlignment w:val="baseline"/>
              <w:rPr>
                <w:rFonts w:eastAsia="Times New Roman" w:cs="Times New Roman"/>
              </w:rPr>
            </w:pPr>
            <w:r>
              <w:rPr>
                <w:rFonts w:eastAsia="Times New Roman" w:cs="Times New Roman"/>
                <w:color w:val="000000"/>
                <w:lang w:val="pt-BR"/>
              </w:rPr>
              <w:t xml:space="preserve">Folhas de presença. </w:t>
            </w:r>
          </w:p>
          <w:p w14:paraId="6F5F2319" w14:textId="77777777" w:rsidR="00B75747" w:rsidRPr="00EA039D" w:rsidRDefault="00000000">
            <w:pPr>
              <w:numPr>
                <w:ilvl w:val="0"/>
                <w:numId w:val="52"/>
              </w:numPr>
              <w:tabs>
                <w:tab w:val="clear" w:pos="720"/>
                <w:tab w:val="num" w:pos="457"/>
              </w:tabs>
              <w:spacing w:after="0" w:line="240" w:lineRule="auto"/>
              <w:ind w:left="449" w:hanging="262"/>
              <w:textAlignment w:val="baseline"/>
              <w:rPr>
                <w:rFonts w:eastAsia="Times New Roman" w:cs="Times New Roman"/>
              </w:rPr>
            </w:pPr>
            <w:r>
              <w:rPr>
                <w:rFonts w:eastAsia="Times New Roman" w:cs="Times New Roman"/>
                <w:color w:val="000000"/>
                <w:lang w:val="pt-BR"/>
              </w:rPr>
              <w:t xml:space="preserve">Agendas do workshop </w:t>
            </w:r>
          </w:p>
          <w:p w14:paraId="2FD279F5" w14:textId="77777777" w:rsidR="00B75747" w:rsidRPr="00EA039D" w:rsidRDefault="00000000">
            <w:pPr>
              <w:numPr>
                <w:ilvl w:val="0"/>
                <w:numId w:val="52"/>
              </w:numPr>
              <w:tabs>
                <w:tab w:val="clear" w:pos="720"/>
                <w:tab w:val="num" w:pos="457"/>
              </w:tabs>
              <w:spacing w:after="0" w:line="240" w:lineRule="auto"/>
              <w:ind w:left="449" w:hanging="262"/>
              <w:textAlignment w:val="baseline"/>
              <w:rPr>
                <w:rFonts w:eastAsia="Times New Roman" w:cs="Times New Roman"/>
              </w:rPr>
            </w:pPr>
            <w:r>
              <w:rPr>
                <w:rFonts w:eastAsia="Times New Roman" w:cs="Times New Roman"/>
                <w:color w:val="000000"/>
                <w:lang w:val="pt-BR"/>
              </w:rPr>
              <w:t xml:space="preserve">Avaliações dos pais </w:t>
            </w:r>
          </w:p>
          <w:p w14:paraId="389D79DB" w14:textId="77777777" w:rsidR="00B75747" w:rsidRPr="00CC1CB4" w:rsidRDefault="00000000">
            <w:pPr>
              <w:numPr>
                <w:ilvl w:val="0"/>
                <w:numId w:val="52"/>
              </w:numPr>
              <w:tabs>
                <w:tab w:val="clear" w:pos="720"/>
                <w:tab w:val="num" w:pos="457"/>
              </w:tabs>
              <w:spacing w:after="0" w:line="240" w:lineRule="auto"/>
              <w:ind w:left="449" w:hanging="262"/>
              <w:textAlignment w:val="baseline"/>
              <w:rPr>
                <w:rFonts w:eastAsia="Times New Roman" w:cs="Times New Roman"/>
                <w:lang w:val="es-ES"/>
              </w:rPr>
            </w:pPr>
            <w:r>
              <w:rPr>
                <w:rFonts w:eastAsia="Times New Roman" w:cs="Times New Roman"/>
                <w:color w:val="000000"/>
                <w:lang w:val="pt-BR"/>
              </w:rPr>
              <w:t xml:space="preserve">Registros e notas de reuniões de colaboração </w:t>
            </w:r>
          </w:p>
        </w:tc>
      </w:tr>
    </w:tbl>
    <w:p w14:paraId="3D78ECF6" w14:textId="77777777" w:rsidR="00B75747" w:rsidRPr="00CC1CB4" w:rsidRDefault="00000000" w:rsidP="0053042A">
      <w:pPr>
        <w:pStyle w:val="aff0"/>
        <w:spacing w:before="240"/>
        <w:rPr>
          <w:rFonts w:ascii="Segoe UI" w:eastAsia="Times New Roman" w:hAnsi="Segoe UI" w:cs="Segoe UI"/>
          <w:sz w:val="18"/>
          <w:szCs w:val="18"/>
          <w:lang w:val="es-ES"/>
        </w:rPr>
      </w:pPr>
      <w:r>
        <w:rPr>
          <w:rFonts w:ascii="Calibri" w:eastAsia="Calibri" w:hAnsi="Calibri" w:cs="Calibri"/>
          <w:sz w:val="24"/>
          <w:szCs w:val="24"/>
          <w:lang w:val="pt-BR"/>
        </w:rPr>
        <w:t xml:space="preserve"> </w:t>
      </w:r>
      <w:r>
        <w:rPr>
          <w:rFonts w:eastAsia="Cambria"/>
          <w:lang w:val="pt-BR"/>
        </w:rPr>
        <w:t xml:space="preserve">Área 3: Formação no ensino médio e desempenho de jovens fora da escola </w:t>
      </w:r>
    </w:p>
    <w:tbl>
      <w:tblPr>
        <w:tblW w:w="12944" w:type="dxa"/>
        <w:tblBorders>
          <w:top w:val="outset" w:sz="6" w:space="0" w:color="auto"/>
          <w:left w:val="outset" w:sz="6" w:space="0" w:color="auto"/>
          <w:bottom w:val="outset" w:sz="6" w:space="0" w:color="auto"/>
          <w:right w:val="outset" w:sz="6" w:space="0" w:color="auto"/>
        </w:tblBorders>
        <w:tblCellMar>
          <w:top w:w="58" w:type="dxa"/>
          <w:left w:w="58" w:type="dxa"/>
          <w:bottom w:w="58" w:type="dxa"/>
          <w:right w:w="58" w:type="dxa"/>
        </w:tblCellMar>
        <w:tblLook w:val="0420" w:firstRow="1" w:lastRow="0" w:firstColumn="0" w:lastColumn="0" w:noHBand="0" w:noVBand="1"/>
        <w:tblCaption w:val="High School Graduation Project Plan"/>
      </w:tblPr>
      <w:tblGrid>
        <w:gridCol w:w="3458"/>
        <w:gridCol w:w="3975"/>
        <w:gridCol w:w="2536"/>
        <w:gridCol w:w="2975"/>
      </w:tblGrid>
      <w:tr w:rsidR="00C566B2" w:rsidRPr="00C04CDD" w14:paraId="35637C2C" w14:textId="77777777" w:rsidTr="00985E0B">
        <w:trPr>
          <w:trHeight w:val="300"/>
          <w:tblHeader/>
        </w:trPr>
        <w:tc>
          <w:tcPr>
            <w:tcW w:w="3502" w:type="dxa"/>
            <w:tcBorders>
              <w:top w:val="single" w:sz="6" w:space="0" w:color="000000"/>
              <w:left w:val="single" w:sz="6" w:space="0" w:color="000000"/>
              <w:bottom w:val="single" w:sz="6" w:space="0" w:color="000000"/>
              <w:right w:val="single" w:sz="4" w:space="0" w:color="FFFFFF" w:themeColor="background1"/>
            </w:tcBorders>
            <w:shd w:val="clear" w:color="auto" w:fill="244061" w:themeFill="accent1" w:themeFillShade="80"/>
            <w:hideMark/>
          </w:tcPr>
          <w:p w14:paraId="63277860" w14:textId="77777777" w:rsidR="00B75747" w:rsidRPr="00EA039D" w:rsidRDefault="00000000" w:rsidP="00B75747">
            <w:pPr>
              <w:spacing w:after="0" w:line="240" w:lineRule="auto"/>
              <w:jc w:val="center"/>
              <w:textAlignment w:val="baseline"/>
              <w:rPr>
                <w:rFonts w:eastAsia="Times New Roman" w:cs="Times New Roman"/>
              </w:rPr>
            </w:pPr>
            <w:r>
              <w:rPr>
                <w:rFonts w:eastAsia="Times New Roman" w:cs="Times New Roman"/>
                <w:b/>
                <w:bCs/>
                <w:color w:val="FFFFFF"/>
                <w:lang w:val="pt-BR"/>
              </w:rPr>
              <w:t>Estratégia</w:t>
            </w:r>
            <w:r>
              <w:rPr>
                <w:rFonts w:eastAsia="Times New Roman" w:cs="Times New Roman"/>
                <w:color w:val="FFFFFF"/>
                <w:lang w:val="pt-BR"/>
              </w:rPr>
              <w:t xml:space="preserve"> </w:t>
            </w:r>
          </w:p>
        </w:tc>
        <w:tc>
          <w:tcPr>
            <w:tcW w:w="4023" w:type="dxa"/>
            <w:tcBorders>
              <w:top w:val="single" w:sz="6" w:space="0" w:color="000000"/>
              <w:left w:val="single" w:sz="4" w:space="0" w:color="FFFFFF" w:themeColor="background1"/>
              <w:bottom w:val="single" w:sz="6" w:space="0" w:color="000000"/>
              <w:right w:val="single" w:sz="4" w:space="0" w:color="FFFFFF" w:themeColor="background1"/>
            </w:tcBorders>
            <w:shd w:val="clear" w:color="auto" w:fill="244061" w:themeFill="accent1" w:themeFillShade="80"/>
            <w:hideMark/>
          </w:tcPr>
          <w:p w14:paraId="7C41E100" w14:textId="77777777" w:rsidR="00B75747" w:rsidRPr="00C04CDD" w:rsidRDefault="00000000" w:rsidP="00B75747">
            <w:pPr>
              <w:spacing w:after="0" w:line="240" w:lineRule="auto"/>
              <w:jc w:val="center"/>
              <w:textAlignment w:val="baseline"/>
              <w:rPr>
                <w:rFonts w:eastAsia="Times New Roman" w:cs="Times New Roman"/>
                <w:lang w:val="fr-FR"/>
              </w:rPr>
            </w:pPr>
            <w:r>
              <w:rPr>
                <w:rFonts w:eastAsia="Times New Roman" w:cs="Times New Roman"/>
                <w:b/>
                <w:bCs/>
                <w:color w:val="FFFFFF"/>
                <w:lang w:val="pt-BR"/>
              </w:rPr>
              <w:t>Exemplos de implementação de estratégia</w:t>
            </w:r>
            <w:r>
              <w:rPr>
                <w:rFonts w:eastAsia="Times New Roman" w:cs="Times New Roman"/>
                <w:color w:val="FFFFFF"/>
                <w:lang w:val="pt-BR"/>
              </w:rPr>
              <w:t xml:space="preserve"> </w:t>
            </w:r>
          </w:p>
        </w:tc>
        <w:tc>
          <w:tcPr>
            <w:tcW w:w="2418" w:type="dxa"/>
            <w:tcBorders>
              <w:top w:val="single" w:sz="6" w:space="0" w:color="000000"/>
              <w:left w:val="single" w:sz="4" w:space="0" w:color="FFFFFF" w:themeColor="background1"/>
              <w:bottom w:val="single" w:sz="6" w:space="0" w:color="000000"/>
              <w:right w:val="single" w:sz="4" w:space="0" w:color="FFFFFF" w:themeColor="background1"/>
            </w:tcBorders>
            <w:shd w:val="clear" w:color="auto" w:fill="244061" w:themeFill="accent1" w:themeFillShade="80"/>
            <w:hideMark/>
          </w:tcPr>
          <w:p w14:paraId="0661ACF2" w14:textId="77777777" w:rsidR="00B75747" w:rsidRPr="00CC1CB4" w:rsidRDefault="00000000" w:rsidP="00B75747">
            <w:pPr>
              <w:spacing w:after="0" w:line="240" w:lineRule="auto"/>
              <w:jc w:val="center"/>
              <w:textAlignment w:val="baseline"/>
              <w:rPr>
                <w:rFonts w:eastAsia="Times New Roman" w:cs="Times New Roman"/>
                <w:lang w:val="es-ES"/>
              </w:rPr>
            </w:pPr>
            <w:r>
              <w:rPr>
                <w:rFonts w:eastAsia="Times New Roman" w:cs="Times New Roman"/>
                <w:b/>
                <w:bCs/>
                <w:color w:val="FFFFFF"/>
                <w:lang w:val="pt-BR"/>
              </w:rPr>
              <w:t>Uso de fundos do MEP</w:t>
            </w:r>
            <w:r>
              <w:rPr>
                <w:rFonts w:eastAsia="Times New Roman" w:cs="Times New Roman"/>
                <w:color w:val="FFFFFF"/>
                <w:lang w:val="pt-BR"/>
              </w:rPr>
              <w:t xml:space="preserve"> </w:t>
            </w:r>
          </w:p>
        </w:tc>
        <w:tc>
          <w:tcPr>
            <w:tcW w:w="3001" w:type="dxa"/>
            <w:tcBorders>
              <w:top w:val="single" w:sz="6" w:space="0" w:color="000000"/>
              <w:left w:val="single" w:sz="4" w:space="0" w:color="FFFFFF" w:themeColor="background1"/>
              <w:bottom w:val="single" w:sz="6" w:space="0" w:color="000000"/>
              <w:right w:val="single" w:sz="6" w:space="0" w:color="000000"/>
            </w:tcBorders>
            <w:shd w:val="clear" w:color="auto" w:fill="244061" w:themeFill="accent1" w:themeFillShade="80"/>
            <w:hideMark/>
          </w:tcPr>
          <w:p w14:paraId="6C3481C6" w14:textId="77777777" w:rsidR="00B75747" w:rsidRPr="00CC1CB4" w:rsidRDefault="00000000" w:rsidP="00B75747">
            <w:pPr>
              <w:spacing w:after="0" w:line="240" w:lineRule="auto"/>
              <w:jc w:val="center"/>
              <w:textAlignment w:val="baseline"/>
              <w:rPr>
                <w:rFonts w:eastAsia="Times New Roman" w:cs="Times New Roman"/>
                <w:lang w:val="es-ES"/>
              </w:rPr>
            </w:pPr>
            <w:r>
              <w:rPr>
                <w:rFonts w:eastAsia="Times New Roman" w:cs="Times New Roman"/>
                <w:b/>
                <w:bCs/>
                <w:color w:val="FFFFFF"/>
                <w:lang w:val="pt-BR"/>
              </w:rPr>
              <w:t>As unidades de informação devem manter sobre a implementação da estratégia</w:t>
            </w:r>
            <w:r>
              <w:rPr>
                <w:rFonts w:eastAsia="Times New Roman" w:cs="Times New Roman"/>
                <w:color w:val="FFFFFF"/>
                <w:lang w:val="pt-BR"/>
              </w:rPr>
              <w:t xml:space="preserve"> </w:t>
            </w:r>
          </w:p>
        </w:tc>
      </w:tr>
      <w:tr w:rsidR="00C566B2" w14:paraId="64E79CC9" w14:textId="77777777" w:rsidTr="0053042A">
        <w:trPr>
          <w:trHeight w:val="300"/>
        </w:trPr>
        <w:tc>
          <w:tcPr>
            <w:tcW w:w="3502" w:type="dxa"/>
            <w:tcBorders>
              <w:top w:val="single" w:sz="6" w:space="0" w:color="000000"/>
              <w:left w:val="single" w:sz="6" w:space="0" w:color="000000"/>
              <w:bottom w:val="single" w:sz="6" w:space="0" w:color="000000"/>
              <w:right w:val="single" w:sz="6" w:space="0" w:color="000000"/>
            </w:tcBorders>
            <w:shd w:val="clear" w:color="auto" w:fill="auto"/>
            <w:hideMark/>
          </w:tcPr>
          <w:p w14:paraId="449F658C" w14:textId="77777777" w:rsidR="00B75747" w:rsidRPr="00CC1CB4" w:rsidRDefault="00000000" w:rsidP="00B75747">
            <w:pPr>
              <w:spacing w:after="0" w:line="240" w:lineRule="auto"/>
              <w:textAlignment w:val="baseline"/>
              <w:rPr>
                <w:rFonts w:eastAsia="Times New Roman" w:cs="Times New Roman"/>
                <w:lang w:val="es-ES"/>
              </w:rPr>
            </w:pPr>
            <w:r>
              <w:rPr>
                <w:rFonts w:eastAsia="Times New Roman" w:cs="Times New Roman"/>
                <w:b/>
                <w:bCs/>
                <w:lang w:val="pt-BR"/>
              </w:rPr>
              <w:t>3.1)</w:t>
            </w:r>
            <w:r>
              <w:rPr>
                <w:rFonts w:eastAsia="Times New Roman" w:cs="Times New Roman"/>
                <w:lang w:val="pt-BR"/>
              </w:rPr>
              <w:t xml:space="preserve"> Durante o ano letivo, fornecer tutoria suplementar em leitura e matemática com apoio em inglês apropriado para as necessidades do aluno secundário e alinhado com sua </w:t>
            </w:r>
            <w:r>
              <w:rPr>
                <w:rFonts w:eastAsia="Times New Roman" w:cs="Times New Roman"/>
                <w:lang w:val="pt-BR"/>
              </w:rPr>
              <w:lastRenderedPageBreak/>
              <w:t xml:space="preserve">Avaliação de necessidades individuais. </w:t>
            </w:r>
          </w:p>
        </w:tc>
        <w:tc>
          <w:tcPr>
            <w:tcW w:w="4023" w:type="dxa"/>
            <w:tcBorders>
              <w:top w:val="single" w:sz="6" w:space="0" w:color="000000"/>
              <w:left w:val="single" w:sz="6" w:space="0" w:color="000000"/>
              <w:bottom w:val="single" w:sz="6" w:space="0" w:color="000000"/>
              <w:right w:val="single" w:sz="6" w:space="0" w:color="000000"/>
            </w:tcBorders>
            <w:shd w:val="clear" w:color="auto" w:fill="auto"/>
            <w:hideMark/>
          </w:tcPr>
          <w:p w14:paraId="3207833A" w14:textId="77777777" w:rsidR="00B75747" w:rsidRPr="00EA039D" w:rsidRDefault="00000000">
            <w:pPr>
              <w:numPr>
                <w:ilvl w:val="0"/>
                <w:numId w:val="53"/>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lastRenderedPageBreak/>
              <w:t xml:space="preserve">Tutoria na escola </w:t>
            </w:r>
          </w:p>
          <w:p w14:paraId="654219F7" w14:textId="77777777" w:rsidR="00B75747" w:rsidRPr="00CC1CB4" w:rsidRDefault="00000000">
            <w:pPr>
              <w:numPr>
                <w:ilvl w:val="0"/>
                <w:numId w:val="53"/>
              </w:numPr>
              <w:tabs>
                <w:tab w:val="clear" w:pos="720"/>
                <w:tab w:val="num" w:pos="547"/>
              </w:tabs>
              <w:spacing w:after="0" w:line="240" w:lineRule="auto"/>
              <w:ind w:left="379" w:hanging="192"/>
              <w:textAlignment w:val="baseline"/>
              <w:rPr>
                <w:rFonts w:eastAsia="Times New Roman" w:cs="Times New Roman"/>
                <w:lang w:val="es-ES"/>
              </w:rPr>
            </w:pPr>
            <w:r>
              <w:rPr>
                <w:rFonts w:eastAsia="Times New Roman" w:cs="Times New Roman"/>
                <w:color w:val="000000"/>
                <w:lang w:val="pt-BR"/>
              </w:rPr>
              <w:t xml:space="preserve">Tutoria após a escola ou no fim de semana </w:t>
            </w:r>
          </w:p>
          <w:p w14:paraId="33EB0707" w14:textId="77777777" w:rsidR="00B75747" w:rsidRPr="00EA039D" w:rsidRDefault="00000000">
            <w:pPr>
              <w:numPr>
                <w:ilvl w:val="0"/>
                <w:numId w:val="53"/>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Tutoria virtual ou remota </w:t>
            </w:r>
          </w:p>
          <w:p w14:paraId="5A795967" w14:textId="77777777" w:rsidR="00B75747" w:rsidRPr="00EA039D" w:rsidRDefault="00000000">
            <w:pPr>
              <w:numPr>
                <w:ilvl w:val="0"/>
                <w:numId w:val="53"/>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Aprendizagem assistida por computador </w:t>
            </w:r>
          </w:p>
          <w:p w14:paraId="7C67B7A8" w14:textId="77777777" w:rsidR="00B75747" w:rsidRPr="00CC1CB4" w:rsidRDefault="00000000">
            <w:pPr>
              <w:numPr>
                <w:ilvl w:val="0"/>
                <w:numId w:val="53"/>
              </w:numPr>
              <w:tabs>
                <w:tab w:val="clear" w:pos="720"/>
                <w:tab w:val="num" w:pos="547"/>
              </w:tabs>
              <w:spacing w:after="0" w:line="240" w:lineRule="auto"/>
              <w:ind w:left="379" w:hanging="192"/>
              <w:textAlignment w:val="baseline"/>
              <w:rPr>
                <w:rFonts w:eastAsia="Times New Roman" w:cs="Times New Roman"/>
                <w:lang w:val="es-ES"/>
              </w:rPr>
            </w:pPr>
            <w:r>
              <w:rPr>
                <w:rFonts w:eastAsia="Times New Roman" w:cs="Times New Roman"/>
                <w:color w:val="000000"/>
                <w:lang w:val="pt-BR"/>
              </w:rPr>
              <w:lastRenderedPageBreak/>
              <w:t xml:space="preserve">Precisa de avaliação com revisão dos resultados da avaliação e discussões com professores. </w:t>
            </w:r>
          </w:p>
        </w:tc>
        <w:tc>
          <w:tcPr>
            <w:tcW w:w="2418" w:type="dxa"/>
            <w:tcBorders>
              <w:top w:val="single" w:sz="6" w:space="0" w:color="000000"/>
              <w:left w:val="single" w:sz="6" w:space="0" w:color="000000"/>
              <w:bottom w:val="single" w:sz="6" w:space="0" w:color="000000"/>
              <w:right w:val="single" w:sz="6" w:space="0" w:color="000000"/>
            </w:tcBorders>
            <w:shd w:val="clear" w:color="auto" w:fill="auto"/>
            <w:hideMark/>
          </w:tcPr>
          <w:p w14:paraId="31FD8FCF" w14:textId="77777777" w:rsidR="00B75747" w:rsidRPr="00EA039D" w:rsidRDefault="00000000">
            <w:pPr>
              <w:numPr>
                <w:ilvl w:val="0"/>
                <w:numId w:val="54"/>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lastRenderedPageBreak/>
              <w:t xml:space="preserve">Treinamento da equipe </w:t>
            </w:r>
          </w:p>
          <w:p w14:paraId="6782C1B4" w14:textId="77777777" w:rsidR="00B75747" w:rsidRPr="00EA039D" w:rsidRDefault="00000000">
            <w:pPr>
              <w:numPr>
                <w:ilvl w:val="0"/>
                <w:numId w:val="54"/>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Tempo da equipe </w:t>
            </w:r>
          </w:p>
          <w:p w14:paraId="1E4DF780" w14:textId="77777777" w:rsidR="00B75747" w:rsidRPr="00CC1CB4" w:rsidRDefault="00000000">
            <w:pPr>
              <w:numPr>
                <w:ilvl w:val="0"/>
                <w:numId w:val="54"/>
              </w:numPr>
              <w:tabs>
                <w:tab w:val="clear" w:pos="720"/>
                <w:tab w:val="num" w:pos="547"/>
              </w:tabs>
              <w:spacing w:after="0" w:line="240" w:lineRule="auto"/>
              <w:ind w:left="379" w:hanging="192"/>
              <w:textAlignment w:val="baseline"/>
              <w:rPr>
                <w:rFonts w:eastAsia="Times New Roman" w:cs="Times New Roman"/>
                <w:lang w:val="es-ES"/>
              </w:rPr>
            </w:pPr>
            <w:r>
              <w:rPr>
                <w:rFonts w:eastAsia="Times New Roman" w:cs="Times New Roman"/>
                <w:color w:val="000000"/>
                <w:lang w:val="pt-BR"/>
              </w:rPr>
              <w:t xml:space="preserve">Suporte a equipamentos e conectividade. </w:t>
            </w:r>
          </w:p>
          <w:p w14:paraId="301CAC90" w14:textId="77777777" w:rsidR="00B75747" w:rsidRPr="00EA039D" w:rsidRDefault="00000000">
            <w:pPr>
              <w:numPr>
                <w:ilvl w:val="0"/>
                <w:numId w:val="54"/>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Materiais instrucionais </w:t>
            </w:r>
          </w:p>
          <w:p w14:paraId="5714D997" w14:textId="77777777" w:rsidR="00B75747" w:rsidRPr="00C04CDD" w:rsidRDefault="00000000">
            <w:pPr>
              <w:numPr>
                <w:ilvl w:val="0"/>
                <w:numId w:val="54"/>
              </w:numPr>
              <w:tabs>
                <w:tab w:val="clear" w:pos="720"/>
                <w:tab w:val="num" w:pos="547"/>
              </w:tabs>
              <w:spacing w:after="0" w:line="240" w:lineRule="auto"/>
              <w:ind w:left="379" w:hanging="192"/>
              <w:textAlignment w:val="baseline"/>
              <w:rPr>
                <w:rFonts w:eastAsia="Times New Roman" w:cs="Times New Roman"/>
                <w:lang w:val="fr-FR"/>
              </w:rPr>
            </w:pPr>
            <w:r>
              <w:rPr>
                <w:rFonts w:eastAsia="Times New Roman" w:cs="Times New Roman"/>
                <w:color w:val="000000"/>
                <w:lang w:val="pt-BR"/>
              </w:rPr>
              <w:lastRenderedPageBreak/>
              <w:t xml:space="preserve">Software ou licenças para plataformas de aprendizagem. </w:t>
            </w:r>
          </w:p>
        </w:tc>
        <w:tc>
          <w:tcPr>
            <w:tcW w:w="3001" w:type="dxa"/>
            <w:tcBorders>
              <w:top w:val="single" w:sz="6" w:space="0" w:color="000000"/>
              <w:left w:val="single" w:sz="6" w:space="0" w:color="000000"/>
              <w:bottom w:val="single" w:sz="6" w:space="0" w:color="000000"/>
              <w:right w:val="single" w:sz="6" w:space="0" w:color="000000"/>
            </w:tcBorders>
            <w:shd w:val="clear" w:color="auto" w:fill="auto"/>
            <w:hideMark/>
          </w:tcPr>
          <w:p w14:paraId="55EC686B" w14:textId="77777777" w:rsidR="00B75747" w:rsidRPr="00EA039D" w:rsidRDefault="00000000">
            <w:pPr>
              <w:numPr>
                <w:ilvl w:val="0"/>
                <w:numId w:val="55"/>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lastRenderedPageBreak/>
              <w:t xml:space="preserve">Avaliações de necessidades individuais </w:t>
            </w:r>
          </w:p>
          <w:p w14:paraId="696EC6A8" w14:textId="77777777" w:rsidR="00B75747" w:rsidRPr="00EA039D" w:rsidRDefault="00000000">
            <w:pPr>
              <w:numPr>
                <w:ilvl w:val="0"/>
                <w:numId w:val="55"/>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Escrever rubricas </w:t>
            </w:r>
          </w:p>
          <w:p w14:paraId="59C8098D" w14:textId="77777777" w:rsidR="00B75747" w:rsidRPr="00EA039D" w:rsidRDefault="00000000">
            <w:pPr>
              <w:numPr>
                <w:ilvl w:val="0"/>
                <w:numId w:val="55"/>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Registros de tutoria </w:t>
            </w:r>
          </w:p>
          <w:p w14:paraId="6A233CFD" w14:textId="77777777" w:rsidR="00B75747" w:rsidRPr="00EA039D" w:rsidRDefault="00000000">
            <w:pPr>
              <w:numPr>
                <w:ilvl w:val="0"/>
                <w:numId w:val="55"/>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Planos de aprendizagem </w:t>
            </w:r>
          </w:p>
        </w:tc>
      </w:tr>
      <w:tr w:rsidR="00C566B2" w14:paraId="028168BE" w14:textId="77777777" w:rsidTr="0053042A">
        <w:trPr>
          <w:cantSplit/>
          <w:trHeight w:val="300"/>
        </w:trPr>
        <w:tc>
          <w:tcPr>
            <w:tcW w:w="3502" w:type="dxa"/>
            <w:tcBorders>
              <w:top w:val="single" w:sz="6" w:space="0" w:color="000000"/>
              <w:left w:val="single" w:sz="6" w:space="0" w:color="000000"/>
              <w:bottom w:val="single" w:sz="6" w:space="0" w:color="000000"/>
              <w:right w:val="single" w:sz="6" w:space="0" w:color="000000"/>
            </w:tcBorders>
            <w:shd w:val="clear" w:color="auto" w:fill="auto"/>
            <w:hideMark/>
          </w:tcPr>
          <w:p w14:paraId="2476B3EC" w14:textId="77777777" w:rsidR="00B75747" w:rsidRPr="00CC1CB4" w:rsidRDefault="00000000" w:rsidP="00B75747">
            <w:pPr>
              <w:spacing w:after="0" w:line="240" w:lineRule="auto"/>
              <w:textAlignment w:val="baseline"/>
              <w:rPr>
                <w:rFonts w:eastAsia="Times New Roman" w:cs="Times New Roman"/>
                <w:lang w:val="es-ES"/>
              </w:rPr>
            </w:pPr>
            <w:r>
              <w:rPr>
                <w:rFonts w:eastAsia="Times New Roman" w:cs="Times New Roman"/>
                <w:b/>
                <w:bCs/>
                <w:lang w:val="pt-BR"/>
              </w:rPr>
              <w:t>3.2)</w:t>
            </w:r>
            <w:r>
              <w:rPr>
                <w:rFonts w:eastAsia="Times New Roman" w:cs="Times New Roman"/>
                <w:lang w:val="pt-BR"/>
              </w:rPr>
              <w:t xml:space="preserve"> Fornecer apoio instrucional durante o verão por meio de escola de verão no local, instrução virtual ou instrução em casa. </w:t>
            </w:r>
          </w:p>
        </w:tc>
        <w:tc>
          <w:tcPr>
            <w:tcW w:w="4023" w:type="dxa"/>
            <w:tcBorders>
              <w:top w:val="single" w:sz="6" w:space="0" w:color="000000"/>
              <w:left w:val="single" w:sz="6" w:space="0" w:color="000000"/>
              <w:bottom w:val="single" w:sz="6" w:space="0" w:color="000000"/>
              <w:right w:val="single" w:sz="6" w:space="0" w:color="000000"/>
            </w:tcBorders>
            <w:shd w:val="clear" w:color="auto" w:fill="auto"/>
            <w:hideMark/>
          </w:tcPr>
          <w:p w14:paraId="78E12399" w14:textId="77777777" w:rsidR="00B75747" w:rsidRPr="00CC1CB4" w:rsidRDefault="00000000">
            <w:pPr>
              <w:numPr>
                <w:ilvl w:val="0"/>
                <w:numId w:val="56"/>
              </w:numPr>
              <w:tabs>
                <w:tab w:val="clear" w:pos="720"/>
                <w:tab w:val="num" w:pos="547"/>
              </w:tabs>
              <w:spacing w:after="0" w:line="240" w:lineRule="auto"/>
              <w:ind w:left="379" w:hanging="192"/>
              <w:textAlignment w:val="baseline"/>
              <w:rPr>
                <w:rFonts w:eastAsia="Times New Roman" w:cs="Times New Roman"/>
                <w:lang w:val="es-ES"/>
              </w:rPr>
            </w:pPr>
            <w:r>
              <w:rPr>
                <w:rFonts w:eastAsia="Times New Roman" w:cs="Times New Roman"/>
                <w:color w:val="000000"/>
                <w:lang w:val="pt-BR"/>
              </w:rPr>
              <w:t xml:space="preserve">Equivalência do ensino médio, estratégias motivacionais </w:t>
            </w:r>
          </w:p>
          <w:p w14:paraId="701F8DA1" w14:textId="77777777" w:rsidR="00B75747" w:rsidRPr="00EA039D" w:rsidRDefault="00000000">
            <w:pPr>
              <w:numPr>
                <w:ilvl w:val="0"/>
                <w:numId w:val="56"/>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Atividades de enriquecimento e engajamento </w:t>
            </w:r>
          </w:p>
          <w:p w14:paraId="05894CCF" w14:textId="77777777" w:rsidR="00B75747" w:rsidRPr="00EA039D" w:rsidRDefault="00000000">
            <w:pPr>
              <w:numPr>
                <w:ilvl w:val="0"/>
                <w:numId w:val="56"/>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Programa de verão no local </w:t>
            </w:r>
          </w:p>
          <w:p w14:paraId="7F54434A" w14:textId="77777777" w:rsidR="00B75747" w:rsidRPr="00EA039D" w:rsidRDefault="00000000">
            <w:pPr>
              <w:numPr>
                <w:ilvl w:val="0"/>
                <w:numId w:val="56"/>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Materiais do currículo </w:t>
            </w:r>
          </w:p>
          <w:p w14:paraId="5EA66086" w14:textId="77777777" w:rsidR="00B75747" w:rsidRPr="00EA039D" w:rsidRDefault="00000000">
            <w:pPr>
              <w:numPr>
                <w:ilvl w:val="0"/>
                <w:numId w:val="56"/>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Curso do ensino médio </w:t>
            </w:r>
          </w:p>
          <w:p w14:paraId="2FD1CB39" w14:textId="77777777" w:rsidR="00B75747" w:rsidRPr="00CC1CB4" w:rsidRDefault="00000000">
            <w:pPr>
              <w:numPr>
                <w:ilvl w:val="0"/>
                <w:numId w:val="56"/>
              </w:numPr>
              <w:tabs>
                <w:tab w:val="clear" w:pos="720"/>
                <w:tab w:val="num" w:pos="547"/>
              </w:tabs>
              <w:spacing w:after="0" w:line="240" w:lineRule="auto"/>
              <w:ind w:left="379" w:hanging="192"/>
              <w:textAlignment w:val="baseline"/>
              <w:rPr>
                <w:rFonts w:eastAsia="Times New Roman" w:cs="Times New Roman"/>
                <w:lang w:val="es-ES"/>
              </w:rPr>
            </w:pPr>
            <w:r>
              <w:rPr>
                <w:rFonts w:eastAsia="Times New Roman" w:cs="Times New Roman"/>
                <w:color w:val="000000"/>
                <w:lang w:val="pt-BR"/>
              </w:rPr>
              <w:t xml:space="preserve">Acúmulo de crédito do ensino médio </w:t>
            </w:r>
          </w:p>
          <w:p w14:paraId="1E6E1BAE" w14:textId="77777777" w:rsidR="00B75747" w:rsidRPr="00EA039D" w:rsidRDefault="00000000">
            <w:pPr>
              <w:numPr>
                <w:ilvl w:val="0"/>
                <w:numId w:val="56"/>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Desenvolvimento de habilidades acadêmicas </w:t>
            </w:r>
          </w:p>
          <w:p w14:paraId="0128B11D" w14:textId="77777777" w:rsidR="00B75747" w:rsidRPr="00EA039D" w:rsidRDefault="00000000">
            <w:pPr>
              <w:numPr>
                <w:ilvl w:val="0"/>
                <w:numId w:val="56"/>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Preparação da avaliação </w:t>
            </w:r>
          </w:p>
          <w:p w14:paraId="111F6347" w14:textId="77777777" w:rsidR="00B75747" w:rsidRPr="00EA039D" w:rsidRDefault="00000000">
            <w:pPr>
              <w:numPr>
                <w:ilvl w:val="0"/>
                <w:numId w:val="56"/>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Preparação pós-secundária </w:t>
            </w:r>
          </w:p>
          <w:p w14:paraId="7C30680B" w14:textId="77777777" w:rsidR="00B75747" w:rsidRPr="00EA039D" w:rsidRDefault="00000000">
            <w:pPr>
              <w:numPr>
                <w:ilvl w:val="0"/>
                <w:numId w:val="56"/>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Consciência de carreira </w:t>
            </w:r>
          </w:p>
          <w:p w14:paraId="68145DC0" w14:textId="77777777" w:rsidR="00B75747" w:rsidRPr="00EA039D" w:rsidRDefault="00000000">
            <w:pPr>
              <w:numPr>
                <w:ilvl w:val="0"/>
                <w:numId w:val="56"/>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Habilidades para a vida </w:t>
            </w:r>
          </w:p>
          <w:p w14:paraId="705D789F" w14:textId="77777777" w:rsidR="00B75747" w:rsidRPr="00EA039D" w:rsidRDefault="00000000">
            <w:pPr>
              <w:numPr>
                <w:ilvl w:val="0"/>
                <w:numId w:val="56"/>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STEAM </w:t>
            </w:r>
          </w:p>
          <w:p w14:paraId="4CE95EDA" w14:textId="77777777" w:rsidR="00232975" w:rsidRPr="00CC1CB4" w:rsidRDefault="00000000">
            <w:pPr>
              <w:numPr>
                <w:ilvl w:val="0"/>
                <w:numId w:val="56"/>
              </w:numPr>
              <w:tabs>
                <w:tab w:val="clear" w:pos="720"/>
                <w:tab w:val="num" w:pos="547"/>
              </w:tabs>
              <w:spacing w:after="0" w:line="240" w:lineRule="auto"/>
              <w:ind w:left="379" w:hanging="192"/>
              <w:textAlignment w:val="baseline"/>
              <w:rPr>
                <w:rFonts w:eastAsia="Times New Roman" w:cs="Times New Roman"/>
                <w:lang w:val="es-ES"/>
              </w:rPr>
            </w:pPr>
            <w:r>
              <w:rPr>
                <w:rFonts w:eastAsia="Times New Roman" w:cs="Times New Roman"/>
                <w:color w:val="000000"/>
                <w:lang w:val="pt-BR"/>
              </w:rPr>
              <w:t>Acesso aos recursos da biblioteca escolar</w:t>
            </w:r>
          </w:p>
        </w:tc>
        <w:tc>
          <w:tcPr>
            <w:tcW w:w="2418" w:type="dxa"/>
            <w:tcBorders>
              <w:top w:val="single" w:sz="6" w:space="0" w:color="000000"/>
              <w:left w:val="single" w:sz="6" w:space="0" w:color="000000"/>
              <w:bottom w:val="single" w:sz="6" w:space="0" w:color="000000"/>
              <w:right w:val="single" w:sz="6" w:space="0" w:color="000000"/>
            </w:tcBorders>
            <w:shd w:val="clear" w:color="auto" w:fill="auto"/>
            <w:hideMark/>
          </w:tcPr>
          <w:p w14:paraId="2FE8AB09" w14:textId="77777777" w:rsidR="00B75747" w:rsidRPr="00EA039D" w:rsidRDefault="00000000">
            <w:pPr>
              <w:numPr>
                <w:ilvl w:val="0"/>
                <w:numId w:val="57"/>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Treinamento da equipe </w:t>
            </w:r>
          </w:p>
          <w:p w14:paraId="0BF649F2" w14:textId="77777777" w:rsidR="00B75747" w:rsidRPr="00EA039D" w:rsidRDefault="00000000">
            <w:pPr>
              <w:numPr>
                <w:ilvl w:val="0"/>
                <w:numId w:val="57"/>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Tempo da equipe </w:t>
            </w:r>
          </w:p>
          <w:p w14:paraId="027F7BF2" w14:textId="77777777" w:rsidR="00B75747" w:rsidRPr="00CC1CB4" w:rsidRDefault="00000000">
            <w:pPr>
              <w:numPr>
                <w:ilvl w:val="0"/>
                <w:numId w:val="57"/>
              </w:numPr>
              <w:tabs>
                <w:tab w:val="clear" w:pos="720"/>
                <w:tab w:val="num" w:pos="547"/>
              </w:tabs>
              <w:spacing w:after="0" w:line="240" w:lineRule="auto"/>
              <w:ind w:left="379" w:hanging="192"/>
              <w:textAlignment w:val="baseline"/>
              <w:rPr>
                <w:rFonts w:eastAsia="Times New Roman" w:cs="Times New Roman"/>
                <w:lang w:val="es-ES"/>
              </w:rPr>
            </w:pPr>
            <w:r>
              <w:rPr>
                <w:rFonts w:eastAsia="Times New Roman" w:cs="Times New Roman"/>
                <w:color w:val="000000"/>
                <w:lang w:val="pt-BR"/>
              </w:rPr>
              <w:t xml:space="preserve">Custo de acúmulo de crédito. </w:t>
            </w:r>
          </w:p>
          <w:p w14:paraId="6FC29AC6" w14:textId="77777777" w:rsidR="00B75747" w:rsidRPr="00CC1CB4" w:rsidRDefault="00000000">
            <w:pPr>
              <w:numPr>
                <w:ilvl w:val="0"/>
                <w:numId w:val="57"/>
              </w:numPr>
              <w:tabs>
                <w:tab w:val="clear" w:pos="720"/>
                <w:tab w:val="num" w:pos="547"/>
              </w:tabs>
              <w:spacing w:after="0" w:line="240" w:lineRule="auto"/>
              <w:ind w:left="379" w:hanging="192"/>
              <w:textAlignment w:val="baseline"/>
              <w:rPr>
                <w:rFonts w:eastAsia="Times New Roman" w:cs="Times New Roman"/>
                <w:lang w:val="es-ES"/>
              </w:rPr>
            </w:pPr>
            <w:r>
              <w:rPr>
                <w:rFonts w:eastAsia="Times New Roman" w:cs="Times New Roman"/>
                <w:color w:val="000000"/>
                <w:lang w:val="pt-BR"/>
              </w:rPr>
              <w:t xml:space="preserve">Visitas/enriquecimento e atividades de engajamento à faculdade. </w:t>
            </w:r>
          </w:p>
          <w:p w14:paraId="17B8900D" w14:textId="77777777" w:rsidR="00B75747" w:rsidRPr="00CC1CB4" w:rsidRDefault="00000000">
            <w:pPr>
              <w:numPr>
                <w:ilvl w:val="0"/>
                <w:numId w:val="57"/>
              </w:numPr>
              <w:tabs>
                <w:tab w:val="clear" w:pos="720"/>
                <w:tab w:val="num" w:pos="547"/>
              </w:tabs>
              <w:spacing w:after="0" w:line="240" w:lineRule="auto"/>
              <w:ind w:left="379" w:hanging="192"/>
              <w:textAlignment w:val="baseline"/>
              <w:rPr>
                <w:rFonts w:eastAsia="Times New Roman" w:cs="Times New Roman"/>
                <w:lang w:val="es-ES"/>
              </w:rPr>
            </w:pPr>
            <w:r>
              <w:rPr>
                <w:rFonts w:eastAsia="Times New Roman" w:cs="Times New Roman"/>
                <w:color w:val="000000"/>
                <w:lang w:val="pt-BR"/>
              </w:rPr>
              <w:t xml:space="preserve">Despesas de viagem de campo </w:t>
            </w:r>
          </w:p>
        </w:tc>
        <w:tc>
          <w:tcPr>
            <w:tcW w:w="3001" w:type="dxa"/>
            <w:tcBorders>
              <w:top w:val="single" w:sz="6" w:space="0" w:color="000000"/>
              <w:left w:val="single" w:sz="6" w:space="0" w:color="000000"/>
              <w:bottom w:val="single" w:sz="6" w:space="0" w:color="000000"/>
              <w:right w:val="single" w:sz="6" w:space="0" w:color="000000"/>
            </w:tcBorders>
            <w:shd w:val="clear" w:color="auto" w:fill="auto"/>
            <w:hideMark/>
          </w:tcPr>
          <w:p w14:paraId="1E7AFF58" w14:textId="77777777" w:rsidR="00B75747" w:rsidRPr="00EA039D" w:rsidRDefault="00000000">
            <w:pPr>
              <w:numPr>
                <w:ilvl w:val="0"/>
                <w:numId w:val="58"/>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Pré e pós-testes </w:t>
            </w:r>
          </w:p>
          <w:p w14:paraId="6FA2846B" w14:textId="77777777" w:rsidR="00B75747" w:rsidRPr="00EA039D" w:rsidRDefault="00000000">
            <w:pPr>
              <w:numPr>
                <w:ilvl w:val="0"/>
                <w:numId w:val="58"/>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Avaliações de necessidades individuais </w:t>
            </w:r>
          </w:p>
          <w:p w14:paraId="48BEF894" w14:textId="77777777" w:rsidR="00B75747" w:rsidRPr="00EA039D" w:rsidRDefault="00000000">
            <w:pPr>
              <w:numPr>
                <w:ilvl w:val="0"/>
                <w:numId w:val="58"/>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Planos de aprendizagem </w:t>
            </w:r>
          </w:p>
          <w:p w14:paraId="61531B68" w14:textId="77777777" w:rsidR="00B75747" w:rsidRPr="00EA039D" w:rsidRDefault="00000000">
            <w:pPr>
              <w:numPr>
                <w:ilvl w:val="0"/>
                <w:numId w:val="58"/>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Inventários de juros </w:t>
            </w:r>
          </w:p>
          <w:p w14:paraId="4C4F5639" w14:textId="77777777" w:rsidR="00B75747" w:rsidRPr="00CC1CB4" w:rsidRDefault="00000000">
            <w:pPr>
              <w:numPr>
                <w:ilvl w:val="0"/>
                <w:numId w:val="58"/>
              </w:numPr>
              <w:tabs>
                <w:tab w:val="clear" w:pos="720"/>
                <w:tab w:val="num" w:pos="547"/>
              </w:tabs>
              <w:spacing w:after="0" w:line="240" w:lineRule="auto"/>
              <w:ind w:left="379" w:hanging="192"/>
              <w:textAlignment w:val="baseline"/>
              <w:rPr>
                <w:rFonts w:eastAsia="Times New Roman" w:cs="Times New Roman"/>
                <w:lang w:val="es-ES"/>
              </w:rPr>
            </w:pPr>
            <w:r>
              <w:rPr>
                <w:rFonts w:eastAsia="Times New Roman" w:cs="Times New Roman"/>
                <w:color w:val="000000"/>
                <w:lang w:val="pt-BR"/>
              </w:rPr>
              <w:t xml:space="preserve">Formulários de acumulação de crédito. </w:t>
            </w:r>
          </w:p>
          <w:p w14:paraId="1AABA2B3" w14:textId="77777777" w:rsidR="00B75747" w:rsidRPr="00EA039D" w:rsidRDefault="00000000">
            <w:pPr>
              <w:numPr>
                <w:ilvl w:val="0"/>
                <w:numId w:val="58"/>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Pesquisas com estudantes </w:t>
            </w:r>
          </w:p>
          <w:p w14:paraId="458D6646" w14:textId="77777777" w:rsidR="00B75747" w:rsidRPr="00EA039D" w:rsidRDefault="00000000">
            <w:pPr>
              <w:numPr>
                <w:ilvl w:val="0"/>
                <w:numId w:val="58"/>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Agendas </w:t>
            </w:r>
          </w:p>
          <w:p w14:paraId="5C995C93" w14:textId="77777777" w:rsidR="00B75747" w:rsidRPr="00EA039D" w:rsidRDefault="00000000">
            <w:pPr>
              <w:numPr>
                <w:ilvl w:val="0"/>
                <w:numId w:val="58"/>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Participação do aluno (presença) </w:t>
            </w:r>
          </w:p>
        </w:tc>
      </w:tr>
      <w:tr w:rsidR="00C566B2" w14:paraId="0B51706F" w14:textId="77777777" w:rsidTr="0053042A">
        <w:trPr>
          <w:trHeight w:val="300"/>
        </w:trPr>
        <w:tc>
          <w:tcPr>
            <w:tcW w:w="3502" w:type="dxa"/>
            <w:tcBorders>
              <w:top w:val="single" w:sz="6" w:space="0" w:color="000000"/>
              <w:left w:val="single" w:sz="6" w:space="0" w:color="000000"/>
              <w:bottom w:val="single" w:sz="6" w:space="0" w:color="000000"/>
              <w:right w:val="single" w:sz="6" w:space="0" w:color="000000"/>
            </w:tcBorders>
            <w:shd w:val="clear" w:color="auto" w:fill="auto"/>
            <w:hideMark/>
          </w:tcPr>
          <w:p w14:paraId="399C05BC" w14:textId="77777777" w:rsidR="00B75747" w:rsidRPr="00CC1CB4" w:rsidRDefault="00000000" w:rsidP="00B75747">
            <w:pPr>
              <w:spacing w:after="0" w:line="240" w:lineRule="auto"/>
              <w:textAlignment w:val="baseline"/>
              <w:rPr>
                <w:rFonts w:eastAsia="Times New Roman" w:cs="Times New Roman"/>
                <w:lang w:val="es-ES"/>
              </w:rPr>
            </w:pPr>
            <w:r>
              <w:rPr>
                <w:rFonts w:eastAsia="Times New Roman" w:cs="Times New Roman"/>
                <w:b/>
                <w:bCs/>
                <w:lang w:val="pt-BR"/>
              </w:rPr>
              <w:t>3.3)</w:t>
            </w:r>
            <w:r>
              <w:rPr>
                <w:rFonts w:eastAsia="Times New Roman" w:cs="Times New Roman"/>
                <w:lang w:val="pt-BR"/>
              </w:rPr>
              <w:t xml:space="preserve"> Fornecer informações e facilitar o acesso a programas vocacionais, de preparação para a carreira e de faculdade, conforme apropriado para as necessidades e interesses dos alunos.</w:t>
            </w:r>
            <w:r>
              <w:rPr>
                <w:rFonts w:eastAsia="Times New Roman" w:cs="Times New Roman"/>
                <w:color w:val="0000FF"/>
                <w:lang w:val="pt-BR"/>
              </w:rPr>
              <w:t xml:space="preserve"> </w:t>
            </w:r>
          </w:p>
        </w:tc>
        <w:tc>
          <w:tcPr>
            <w:tcW w:w="4023" w:type="dxa"/>
            <w:tcBorders>
              <w:top w:val="single" w:sz="6" w:space="0" w:color="000000"/>
              <w:left w:val="single" w:sz="6" w:space="0" w:color="000000"/>
              <w:bottom w:val="single" w:sz="6" w:space="0" w:color="000000"/>
              <w:right w:val="single" w:sz="6" w:space="0" w:color="000000"/>
            </w:tcBorders>
            <w:shd w:val="clear" w:color="auto" w:fill="auto"/>
            <w:hideMark/>
          </w:tcPr>
          <w:p w14:paraId="3194C66E" w14:textId="77777777" w:rsidR="00B75747" w:rsidRPr="00EA039D" w:rsidRDefault="00000000">
            <w:pPr>
              <w:numPr>
                <w:ilvl w:val="0"/>
                <w:numId w:val="59"/>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Visitas escolares com alunos. </w:t>
            </w:r>
          </w:p>
          <w:p w14:paraId="338D3F3B" w14:textId="77777777" w:rsidR="00B75747" w:rsidRPr="00CC1CB4" w:rsidRDefault="00000000">
            <w:pPr>
              <w:numPr>
                <w:ilvl w:val="0"/>
                <w:numId w:val="59"/>
              </w:numPr>
              <w:tabs>
                <w:tab w:val="clear" w:pos="720"/>
                <w:tab w:val="num" w:pos="547"/>
              </w:tabs>
              <w:spacing w:after="0" w:line="240" w:lineRule="auto"/>
              <w:ind w:left="379" w:hanging="192"/>
              <w:textAlignment w:val="baseline"/>
              <w:rPr>
                <w:rFonts w:eastAsia="Times New Roman" w:cs="Times New Roman"/>
                <w:lang w:val="es-ES"/>
              </w:rPr>
            </w:pPr>
            <w:r>
              <w:rPr>
                <w:rFonts w:eastAsia="Times New Roman" w:cs="Times New Roman"/>
                <w:color w:val="000000"/>
                <w:lang w:val="pt-BR"/>
              </w:rPr>
              <w:t xml:space="preserve">Monitorar o progresso do acúmulo de crédito. </w:t>
            </w:r>
          </w:p>
          <w:p w14:paraId="4CBF8908" w14:textId="77777777" w:rsidR="00B75747" w:rsidRPr="00CC1CB4" w:rsidRDefault="00000000">
            <w:pPr>
              <w:numPr>
                <w:ilvl w:val="0"/>
                <w:numId w:val="59"/>
              </w:numPr>
              <w:tabs>
                <w:tab w:val="clear" w:pos="720"/>
                <w:tab w:val="num" w:pos="547"/>
              </w:tabs>
              <w:spacing w:after="0" w:line="240" w:lineRule="auto"/>
              <w:ind w:left="379" w:hanging="192"/>
              <w:textAlignment w:val="baseline"/>
              <w:rPr>
                <w:rFonts w:eastAsia="Times New Roman" w:cs="Times New Roman"/>
                <w:lang w:val="es-ES"/>
              </w:rPr>
            </w:pPr>
            <w:r>
              <w:rPr>
                <w:rFonts w:eastAsia="Times New Roman" w:cs="Times New Roman"/>
                <w:color w:val="000000"/>
                <w:lang w:val="pt-BR"/>
              </w:rPr>
              <w:t xml:space="preserve">Coordenação com conselheiros e professores do ensino médio para garantir que os alunos migratórios tenham a oportunidade de visitar recrutadores universitários. </w:t>
            </w:r>
          </w:p>
          <w:p w14:paraId="6AF8E680" w14:textId="77777777" w:rsidR="00B75747" w:rsidRPr="00CC1CB4" w:rsidRDefault="00000000">
            <w:pPr>
              <w:numPr>
                <w:ilvl w:val="0"/>
                <w:numId w:val="59"/>
              </w:numPr>
              <w:tabs>
                <w:tab w:val="clear" w:pos="720"/>
                <w:tab w:val="num" w:pos="547"/>
              </w:tabs>
              <w:spacing w:after="0" w:line="240" w:lineRule="auto"/>
              <w:ind w:left="379" w:hanging="192"/>
              <w:textAlignment w:val="baseline"/>
              <w:rPr>
                <w:rFonts w:eastAsia="Times New Roman" w:cs="Times New Roman"/>
                <w:lang w:val="es-ES"/>
              </w:rPr>
            </w:pPr>
            <w:r>
              <w:rPr>
                <w:rFonts w:eastAsia="Times New Roman" w:cs="Times New Roman"/>
                <w:color w:val="000000"/>
                <w:lang w:val="pt-BR"/>
              </w:rPr>
              <w:t xml:space="preserve">Necessidades e estoques de juros. </w:t>
            </w:r>
          </w:p>
          <w:p w14:paraId="69AF9A3C" w14:textId="77777777" w:rsidR="00B75747" w:rsidRPr="00CC1CB4" w:rsidRDefault="00000000">
            <w:pPr>
              <w:numPr>
                <w:ilvl w:val="0"/>
                <w:numId w:val="59"/>
              </w:numPr>
              <w:tabs>
                <w:tab w:val="clear" w:pos="720"/>
                <w:tab w:val="num" w:pos="547"/>
              </w:tabs>
              <w:spacing w:after="0" w:line="240" w:lineRule="auto"/>
              <w:ind w:left="379" w:hanging="192"/>
              <w:textAlignment w:val="baseline"/>
              <w:rPr>
                <w:rFonts w:eastAsia="Times New Roman" w:cs="Times New Roman"/>
                <w:lang w:val="es-ES"/>
              </w:rPr>
            </w:pPr>
            <w:r>
              <w:rPr>
                <w:rFonts w:eastAsia="Times New Roman" w:cs="Times New Roman"/>
                <w:color w:val="000000"/>
                <w:lang w:val="pt-BR"/>
              </w:rPr>
              <w:t xml:space="preserve">Suporte para bolsas de estudo e outras aplicações de suporte financeiro. </w:t>
            </w:r>
          </w:p>
          <w:p w14:paraId="10BCD2A1" w14:textId="77777777" w:rsidR="00B75747" w:rsidRPr="00CC1CB4" w:rsidRDefault="00000000">
            <w:pPr>
              <w:numPr>
                <w:ilvl w:val="0"/>
                <w:numId w:val="59"/>
              </w:numPr>
              <w:tabs>
                <w:tab w:val="clear" w:pos="720"/>
                <w:tab w:val="num" w:pos="547"/>
              </w:tabs>
              <w:spacing w:after="0" w:line="240" w:lineRule="auto"/>
              <w:ind w:left="379" w:hanging="192"/>
              <w:textAlignment w:val="baseline"/>
              <w:rPr>
                <w:rFonts w:eastAsia="Times New Roman" w:cs="Times New Roman"/>
                <w:lang w:val="es-ES"/>
              </w:rPr>
            </w:pPr>
            <w:r>
              <w:rPr>
                <w:rFonts w:eastAsia="Times New Roman" w:cs="Times New Roman"/>
                <w:color w:val="000000"/>
                <w:lang w:val="pt-BR"/>
              </w:rPr>
              <w:lastRenderedPageBreak/>
              <w:t xml:space="preserve">Suporte para candidaturas a faculdades. </w:t>
            </w:r>
          </w:p>
        </w:tc>
        <w:tc>
          <w:tcPr>
            <w:tcW w:w="2418" w:type="dxa"/>
            <w:tcBorders>
              <w:top w:val="single" w:sz="6" w:space="0" w:color="000000"/>
              <w:left w:val="single" w:sz="6" w:space="0" w:color="000000"/>
              <w:bottom w:val="single" w:sz="6" w:space="0" w:color="000000"/>
              <w:right w:val="single" w:sz="6" w:space="0" w:color="000000"/>
            </w:tcBorders>
            <w:shd w:val="clear" w:color="auto" w:fill="auto"/>
            <w:hideMark/>
          </w:tcPr>
          <w:p w14:paraId="36E9345E" w14:textId="77777777" w:rsidR="00B75747" w:rsidRPr="00EA039D" w:rsidRDefault="00000000">
            <w:pPr>
              <w:numPr>
                <w:ilvl w:val="0"/>
                <w:numId w:val="60"/>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lastRenderedPageBreak/>
              <w:t xml:space="preserve">Tempo da equipe </w:t>
            </w:r>
          </w:p>
          <w:p w14:paraId="2B8AD7BC" w14:textId="77777777" w:rsidR="00B75747" w:rsidRPr="00CC1CB4" w:rsidRDefault="00000000">
            <w:pPr>
              <w:numPr>
                <w:ilvl w:val="0"/>
                <w:numId w:val="60"/>
              </w:numPr>
              <w:tabs>
                <w:tab w:val="clear" w:pos="720"/>
                <w:tab w:val="num" w:pos="547"/>
              </w:tabs>
              <w:spacing w:after="0" w:line="240" w:lineRule="auto"/>
              <w:ind w:left="379" w:hanging="192"/>
              <w:textAlignment w:val="baseline"/>
              <w:rPr>
                <w:rFonts w:eastAsia="Times New Roman" w:cs="Times New Roman"/>
                <w:lang w:val="es-ES"/>
              </w:rPr>
            </w:pPr>
            <w:r>
              <w:rPr>
                <w:rFonts w:eastAsia="Times New Roman" w:cs="Times New Roman"/>
                <w:color w:val="000000"/>
                <w:lang w:val="pt-BR"/>
              </w:rPr>
              <w:t xml:space="preserve">Materiais para necessidades e inventários de juros. </w:t>
            </w:r>
          </w:p>
          <w:p w14:paraId="08831C1F" w14:textId="77777777" w:rsidR="00B75747" w:rsidRPr="00EA039D" w:rsidRDefault="00000000">
            <w:pPr>
              <w:numPr>
                <w:ilvl w:val="0"/>
                <w:numId w:val="60"/>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Transporte </w:t>
            </w:r>
          </w:p>
        </w:tc>
        <w:tc>
          <w:tcPr>
            <w:tcW w:w="3001" w:type="dxa"/>
            <w:tcBorders>
              <w:top w:val="single" w:sz="6" w:space="0" w:color="000000"/>
              <w:left w:val="single" w:sz="6" w:space="0" w:color="000000"/>
              <w:bottom w:val="single" w:sz="6" w:space="0" w:color="000000"/>
              <w:right w:val="single" w:sz="6" w:space="0" w:color="000000"/>
            </w:tcBorders>
            <w:shd w:val="clear" w:color="auto" w:fill="auto"/>
            <w:hideMark/>
          </w:tcPr>
          <w:p w14:paraId="28DA760E" w14:textId="77777777" w:rsidR="00B75747" w:rsidRPr="00EA039D" w:rsidRDefault="00000000">
            <w:pPr>
              <w:numPr>
                <w:ilvl w:val="0"/>
                <w:numId w:val="61"/>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Avaliações de necessidades individuais </w:t>
            </w:r>
          </w:p>
          <w:p w14:paraId="5FEFB1AE" w14:textId="77777777" w:rsidR="00B75747" w:rsidRPr="00EA039D" w:rsidRDefault="00000000">
            <w:pPr>
              <w:numPr>
                <w:ilvl w:val="0"/>
                <w:numId w:val="61"/>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Inventários de juros </w:t>
            </w:r>
          </w:p>
          <w:p w14:paraId="09803BB4" w14:textId="77777777" w:rsidR="00B75747" w:rsidRPr="00EA039D" w:rsidRDefault="00000000">
            <w:pPr>
              <w:numPr>
                <w:ilvl w:val="0"/>
                <w:numId w:val="61"/>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Registros e monitoramento de progresso </w:t>
            </w:r>
          </w:p>
          <w:p w14:paraId="177F138D" w14:textId="77777777" w:rsidR="00B75747" w:rsidRPr="00C04CDD" w:rsidRDefault="00000000">
            <w:pPr>
              <w:numPr>
                <w:ilvl w:val="0"/>
                <w:numId w:val="61"/>
              </w:numPr>
              <w:tabs>
                <w:tab w:val="clear" w:pos="720"/>
                <w:tab w:val="num" w:pos="547"/>
              </w:tabs>
              <w:spacing w:after="0" w:line="240" w:lineRule="auto"/>
              <w:ind w:left="379" w:hanging="192"/>
              <w:textAlignment w:val="baseline"/>
              <w:rPr>
                <w:rFonts w:eastAsia="Times New Roman" w:cs="Times New Roman"/>
                <w:lang w:val="fr-FR"/>
              </w:rPr>
            </w:pPr>
            <w:r>
              <w:rPr>
                <w:rFonts w:eastAsia="Times New Roman" w:cs="Times New Roman"/>
                <w:color w:val="000000"/>
                <w:lang w:val="pt-BR"/>
              </w:rPr>
              <w:t xml:space="preserve">Participação de estudantes em visitas à faculdade. </w:t>
            </w:r>
          </w:p>
          <w:p w14:paraId="011DD3AE" w14:textId="77777777" w:rsidR="00B75747" w:rsidRPr="00EA039D" w:rsidRDefault="00000000">
            <w:pPr>
              <w:numPr>
                <w:ilvl w:val="0"/>
                <w:numId w:val="61"/>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Registros de comunicação </w:t>
            </w:r>
          </w:p>
          <w:p w14:paraId="704E6A50" w14:textId="77777777" w:rsidR="00B75747" w:rsidRPr="00EA039D" w:rsidRDefault="00000000">
            <w:pPr>
              <w:numPr>
                <w:ilvl w:val="0"/>
                <w:numId w:val="61"/>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Registros do tutor </w:t>
            </w:r>
          </w:p>
        </w:tc>
      </w:tr>
      <w:tr w:rsidR="00C566B2" w14:paraId="5EBB3E8B" w14:textId="77777777" w:rsidTr="00EA039D">
        <w:trPr>
          <w:cantSplit/>
          <w:trHeight w:val="300"/>
        </w:trPr>
        <w:tc>
          <w:tcPr>
            <w:tcW w:w="3502" w:type="dxa"/>
            <w:tcBorders>
              <w:top w:val="single" w:sz="6" w:space="0" w:color="000000"/>
              <w:left w:val="single" w:sz="6" w:space="0" w:color="000000"/>
              <w:bottom w:val="single" w:sz="6" w:space="0" w:color="000000"/>
              <w:right w:val="single" w:sz="6" w:space="0" w:color="000000"/>
            </w:tcBorders>
            <w:shd w:val="clear" w:color="auto" w:fill="auto"/>
            <w:hideMark/>
          </w:tcPr>
          <w:p w14:paraId="4E530A98" w14:textId="77777777" w:rsidR="00B75747" w:rsidRPr="00CC1CB4" w:rsidRDefault="00000000" w:rsidP="00B75747">
            <w:pPr>
              <w:spacing w:after="0" w:line="240" w:lineRule="auto"/>
              <w:textAlignment w:val="baseline"/>
              <w:rPr>
                <w:rFonts w:eastAsia="Times New Roman" w:cs="Times New Roman"/>
                <w:lang w:val="es-ES"/>
              </w:rPr>
            </w:pPr>
            <w:r>
              <w:rPr>
                <w:rFonts w:eastAsia="Times New Roman" w:cs="Times New Roman"/>
                <w:b/>
                <w:bCs/>
                <w:lang w:val="pt-BR"/>
              </w:rPr>
              <w:t>3.4)</w:t>
            </w:r>
            <w:r>
              <w:rPr>
                <w:rFonts w:eastAsia="Times New Roman" w:cs="Times New Roman"/>
                <w:lang w:val="pt-BR"/>
              </w:rPr>
              <w:t xml:space="preserve"> Fornecer instruções de habilidades para a vida e o idioma inglês para jovens fora da escola, com foco no idioma e nas habilidades necessárias na comunidade, no plano de carreira escolhido pelo jovem ou nas metas educacionais, bem como encaminhamentos para agências que prestam os serviços listados acima. Garantir o acesso às instruções por meio de transporte, tutores móveis, tecnologia e outros suportes apropriados para necessidades juvenis fora da escola. </w:t>
            </w:r>
          </w:p>
        </w:tc>
        <w:tc>
          <w:tcPr>
            <w:tcW w:w="4023" w:type="dxa"/>
            <w:tcBorders>
              <w:top w:val="single" w:sz="6" w:space="0" w:color="000000"/>
              <w:left w:val="single" w:sz="6" w:space="0" w:color="000000"/>
              <w:bottom w:val="single" w:sz="6" w:space="0" w:color="000000"/>
              <w:right w:val="single" w:sz="6" w:space="0" w:color="000000"/>
            </w:tcBorders>
            <w:shd w:val="clear" w:color="auto" w:fill="auto"/>
            <w:hideMark/>
          </w:tcPr>
          <w:p w14:paraId="62CA52DE" w14:textId="77777777" w:rsidR="00B75747" w:rsidRPr="00EA039D" w:rsidRDefault="00000000">
            <w:pPr>
              <w:numPr>
                <w:ilvl w:val="0"/>
                <w:numId w:val="62"/>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Desenvolvimento de habilidades acadêmicas </w:t>
            </w:r>
          </w:p>
          <w:p w14:paraId="06D9ECD6" w14:textId="77777777" w:rsidR="00B75747" w:rsidRPr="00EA039D" w:rsidRDefault="00000000">
            <w:pPr>
              <w:numPr>
                <w:ilvl w:val="0"/>
                <w:numId w:val="62"/>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Suporte bilíngue/instrução multilíngue (minilições em inglês) </w:t>
            </w:r>
          </w:p>
          <w:p w14:paraId="715F8D94" w14:textId="77777777" w:rsidR="00B75747" w:rsidRPr="00CC1CB4" w:rsidRDefault="00000000">
            <w:pPr>
              <w:numPr>
                <w:ilvl w:val="0"/>
                <w:numId w:val="62"/>
              </w:numPr>
              <w:tabs>
                <w:tab w:val="clear" w:pos="720"/>
                <w:tab w:val="num" w:pos="547"/>
              </w:tabs>
              <w:spacing w:after="0" w:line="240" w:lineRule="auto"/>
              <w:ind w:left="379" w:hanging="192"/>
              <w:textAlignment w:val="baseline"/>
              <w:rPr>
                <w:rFonts w:eastAsia="Times New Roman" w:cs="Times New Roman"/>
                <w:lang w:val="es-ES"/>
              </w:rPr>
            </w:pPr>
            <w:r>
              <w:rPr>
                <w:rFonts w:eastAsia="Times New Roman" w:cs="Times New Roman"/>
                <w:color w:val="000000"/>
                <w:lang w:val="pt-BR"/>
              </w:rPr>
              <w:t xml:space="preserve">Instrução de habilidades para a vida </w:t>
            </w:r>
          </w:p>
          <w:p w14:paraId="79C75DAC" w14:textId="77777777" w:rsidR="00B75747" w:rsidRPr="00EA039D" w:rsidRDefault="00000000">
            <w:pPr>
              <w:numPr>
                <w:ilvl w:val="0"/>
                <w:numId w:val="62"/>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Estratégias motivacionais </w:t>
            </w:r>
          </w:p>
          <w:p w14:paraId="706199E0" w14:textId="77777777" w:rsidR="00B75747" w:rsidRPr="00EA039D" w:rsidRDefault="00000000">
            <w:pPr>
              <w:numPr>
                <w:ilvl w:val="0"/>
                <w:numId w:val="62"/>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Atividades de enriquecimento e engajamento </w:t>
            </w:r>
          </w:p>
          <w:p w14:paraId="6B591318" w14:textId="77777777" w:rsidR="00B75747" w:rsidRPr="00EA039D" w:rsidRDefault="00000000">
            <w:pPr>
              <w:numPr>
                <w:ilvl w:val="0"/>
                <w:numId w:val="62"/>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Aulas do OSYmigrant.org </w:t>
            </w:r>
          </w:p>
          <w:p w14:paraId="533E6F23" w14:textId="77777777" w:rsidR="00B75747" w:rsidRPr="00EA039D" w:rsidRDefault="00000000">
            <w:pPr>
              <w:numPr>
                <w:ilvl w:val="0"/>
                <w:numId w:val="62"/>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Planos de aprendizagem </w:t>
            </w:r>
          </w:p>
        </w:tc>
        <w:tc>
          <w:tcPr>
            <w:tcW w:w="2418" w:type="dxa"/>
            <w:tcBorders>
              <w:top w:val="single" w:sz="6" w:space="0" w:color="000000"/>
              <w:left w:val="single" w:sz="6" w:space="0" w:color="000000"/>
              <w:bottom w:val="single" w:sz="6" w:space="0" w:color="000000"/>
              <w:right w:val="single" w:sz="6" w:space="0" w:color="000000"/>
            </w:tcBorders>
            <w:shd w:val="clear" w:color="auto" w:fill="auto"/>
            <w:hideMark/>
          </w:tcPr>
          <w:p w14:paraId="1D3A6F74" w14:textId="77777777" w:rsidR="00B75747" w:rsidRPr="00EA039D" w:rsidRDefault="00000000">
            <w:pPr>
              <w:numPr>
                <w:ilvl w:val="0"/>
                <w:numId w:val="63"/>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Treinamento da equipe </w:t>
            </w:r>
          </w:p>
          <w:p w14:paraId="65D27188" w14:textId="77777777" w:rsidR="00B75747" w:rsidRPr="00EA039D" w:rsidRDefault="00000000">
            <w:pPr>
              <w:numPr>
                <w:ilvl w:val="0"/>
                <w:numId w:val="63"/>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Tempo da equipe </w:t>
            </w:r>
          </w:p>
          <w:p w14:paraId="555A57AE" w14:textId="77777777" w:rsidR="00B75747" w:rsidRPr="00EA039D" w:rsidRDefault="00000000">
            <w:pPr>
              <w:numPr>
                <w:ilvl w:val="0"/>
                <w:numId w:val="63"/>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Atividades de enriquecimento e engajamento </w:t>
            </w:r>
          </w:p>
          <w:p w14:paraId="05E28FEC" w14:textId="77777777" w:rsidR="00B75747" w:rsidRPr="00EA039D" w:rsidRDefault="00000000">
            <w:pPr>
              <w:numPr>
                <w:ilvl w:val="0"/>
                <w:numId w:val="63"/>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Materiais, livros, tecnologia etc. </w:t>
            </w:r>
          </w:p>
          <w:p w14:paraId="5FB7FED0" w14:textId="77777777" w:rsidR="00B75747" w:rsidRPr="00EA039D" w:rsidRDefault="00000000">
            <w:pPr>
              <w:numPr>
                <w:ilvl w:val="0"/>
                <w:numId w:val="63"/>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Transporte </w:t>
            </w:r>
          </w:p>
        </w:tc>
        <w:tc>
          <w:tcPr>
            <w:tcW w:w="3001" w:type="dxa"/>
            <w:tcBorders>
              <w:top w:val="single" w:sz="6" w:space="0" w:color="000000"/>
              <w:left w:val="single" w:sz="6" w:space="0" w:color="000000"/>
              <w:bottom w:val="single" w:sz="6" w:space="0" w:color="000000"/>
              <w:right w:val="single" w:sz="6" w:space="0" w:color="000000"/>
            </w:tcBorders>
            <w:shd w:val="clear" w:color="auto" w:fill="auto"/>
            <w:hideMark/>
          </w:tcPr>
          <w:p w14:paraId="30B7669A" w14:textId="77777777" w:rsidR="00B75747" w:rsidRPr="00EA039D" w:rsidRDefault="00000000">
            <w:pPr>
              <w:numPr>
                <w:ilvl w:val="0"/>
                <w:numId w:val="64"/>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Pré e pós-testes </w:t>
            </w:r>
          </w:p>
          <w:p w14:paraId="06E7F126" w14:textId="77777777" w:rsidR="00B75747" w:rsidRPr="00EA039D" w:rsidRDefault="00000000">
            <w:pPr>
              <w:numPr>
                <w:ilvl w:val="0"/>
                <w:numId w:val="64"/>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Agentes de triagem em inglês </w:t>
            </w:r>
          </w:p>
          <w:p w14:paraId="0B1AF20F" w14:textId="77777777" w:rsidR="00B75747" w:rsidRPr="00CC1CB4" w:rsidRDefault="00000000">
            <w:pPr>
              <w:numPr>
                <w:ilvl w:val="0"/>
                <w:numId w:val="64"/>
              </w:numPr>
              <w:tabs>
                <w:tab w:val="clear" w:pos="720"/>
                <w:tab w:val="num" w:pos="547"/>
              </w:tabs>
              <w:spacing w:after="0" w:line="240" w:lineRule="auto"/>
              <w:ind w:left="379" w:hanging="192"/>
              <w:textAlignment w:val="baseline"/>
              <w:rPr>
                <w:rFonts w:eastAsia="Times New Roman" w:cs="Times New Roman"/>
                <w:lang w:val="es-ES"/>
              </w:rPr>
            </w:pPr>
            <w:r>
              <w:rPr>
                <w:rFonts w:eastAsia="Times New Roman" w:cs="Times New Roman"/>
                <w:color w:val="000000"/>
                <w:lang w:val="pt-BR"/>
              </w:rPr>
              <w:t xml:space="preserve">Aulas de habilidades para a vida </w:t>
            </w:r>
          </w:p>
          <w:p w14:paraId="23C4E638" w14:textId="77777777" w:rsidR="00B75747" w:rsidRPr="00CC1CB4" w:rsidRDefault="00000000">
            <w:pPr>
              <w:numPr>
                <w:ilvl w:val="0"/>
                <w:numId w:val="64"/>
              </w:numPr>
              <w:tabs>
                <w:tab w:val="clear" w:pos="720"/>
                <w:tab w:val="num" w:pos="547"/>
              </w:tabs>
              <w:spacing w:after="0" w:line="240" w:lineRule="auto"/>
              <w:ind w:left="379" w:hanging="192"/>
              <w:textAlignment w:val="baseline"/>
              <w:rPr>
                <w:rFonts w:eastAsia="Times New Roman" w:cs="Times New Roman"/>
                <w:lang w:val="es-ES"/>
              </w:rPr>
            </w:pPr>
            <w:r>
              <w:rPr>
                <w:rFonts w:eastAsia="Times New Roman" w:cs="Times New Roman"/>
                <w:color w:val="000000"/>
                <w:lang w:val="pt-BR"/>
              </w:rPr>
              <w:t xml:space="preserve">Avaliações da lição do OSYmigrant.org </w:t>
            </w:r>
          </w:p>
          <w:p w14:paraId="53C0B1BB" w14:textId="77777777" w:rsidR="00B75747" w:rsidRPr="00EA039D" w:rsidRDefault="00000000">
            <w:pPr>
              <w:numPr>
                <w:ilvl w:val="0"/>
                <w:numId w:val="64"/>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Pesquisas com estudantes </w:t>
            </w:r>
          </w:p>
          <w:p w14:paraId="226F4666" w14:textId="77777777" w:rsidR="00B75747" w:rsidRPr="00EA039D" w:rsidRDefault="00000000">
            <w:pPr>
              <w:numPr>
                <w:ilvl w:val="0"/>
                <w:numId w:val="64"/>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Avaliações de necessidades individuais </w:t>
            </w:r>
          </w:p>
          <w:p w14:paraId="21EC8D60" w14:textId="77777777" w:rsidR="00B75747" w:rsidRPr="00EA039D" w:rsidRDefault="00000000">
            <w:pPr>
              <w:numPr>
                <w:ilvl w:val="0"/>
                <w:numId w:val="64"/>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Planos de aprendizagem </w:t>
            </w:r>
          </w:p>
          <w:p w14:paraId="0AF858F2" w14:textId="77777777" w:rsidR="00B75747" w:rsidRPr="00EA039D" w:rsidRDefault="00000000">
            <w:pPr>
              <w:numPr>
                <w:ilvl w:val="0"/>
                <w:numId w:val="64"/>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Agendas </w:t>
            </w:r>
          </w:p>
          <w:p w14:paraId="7478F0D0" w14:textId="77777777" w:rsidR="00B75747" w:rsidRPr="00EA039D" w:rsidRDefault="00000000">
            <w:pPr>
              <w:numPr>
                <w:ilvl w:val="0"/>
                <w:numId w:val="64"/>
              </w:numPr>
              <w:tabs>
                <w:tab w:val="clear" w:pos="720"/>
                <w:tab w:val="num" w:pos="547"/>
              </w:tabs>
              <w:spacing w:after="0" w:line="240" w:lineRule="auto"/>
              <w:ind w:left="379" w:hanging="192"/>
              <w:textAlignment w:val="baseline"/>
              <w:rPr>
                <w:rFonts w:eastAsia="Times New Roman" w:cs="Times New Roman"/>
              </w:rPr>
            </w:pPr>
            <w:r>
              <w:rPr>
                <w:rFonts w:eastAsia="Times New Roman" w:cs="Times New Roman"/>
                <w:color w:val="000000"/>
                <w:lang w:val="pt-BR"/>
              </w:rPr>
              <w:t xml:space="preserve">Participação do aluno (presença) </w:t>
            </w:r>
          </w:p>
        </w:tc>
      </w:tr>
    </w:tbl>
    <w:p w14:paraId="505B3263" w14:textId="77777777" w:rsidR="00B75747" w:rsidRPr="00CC1CB4" w:rsidRDefault="00000000" w:rsidP="00EA039D">
      <w:pPr>
        <w:pStyle w:val="aff0"/>
        <w:spacing w:before="120"/>
        <w:rPr>
          <w:rFonts w:ascii="Segoe UI" w:hAnsi="Segoe UI" w:cs="Segoe UI"/>
          <w:sz w:val="18"/>
          <w:szCs w:val="18"/>
          <w:lang w:val="es-ES"/>
        </w:rPr>
      </w:pPr>
      <w:r>
        <w:rPr>
          <w:rFonts w:eastAsia="Cambria"/>
          <w:lang w:val="pt-BR"/>
        </w:rPr>
        <w:t xml:space="preserve">Área 4: Projeto de serviços de suporte </w:t>
      </w:r>
    </w:p>
    <w:tbl>
      <w:tblPr>
        <w:tblW w:w="12944" w:type="dxa"/>
        <w:tblBorders>
          <w:top w:val="outset" w:sz="6" w:space="0" w:color="auto"/>
          <w:left w:val="outset" w:sz="6" w:space="0" w:color="auto"/>
          <w:bottom w:val="outset" w:sz="6" w:space="0" w:color="auto"/>
          <w:right w:val="outset" w:sz="6" w:space="0" w:color="auto"/>
        </w:tblBorders>
        <w:tblCellMar>
          <w:top w:w="58" w:type="dxa"/>
          <w:left w:w="58" w:type="dxa"/>
          <w:bottom w:w="58" w:type="dxa"/>
          <w:right w:w="58" w:type="dxa"/>
        </w:tblCellMar>
        <w:tblLook w:val="0420" w:firstRow="1" w:lastRow="0" w:firstColumn="0" w:lastColumn="0" w:noHBand="0" w:noVBand="1"/>
        <w:tblCaption w:val="Support Services Project Plan"/>
      </w:tblPr>
      <w:tblGrid>
        <w:gridCol w:w="3502"/>
        <w:gridCol w:w="4103"/>
        <w:gridCol w:w="2373"/>
        <w:gridCol w:w="2966"/>
      </w:tblGrid>
      <w:tr w:rsidR="00C566B2" w:rsidRPr="00C04CDD" w14:paraId="4A4BC521" w14:textId="77777777" w:rsidTr="00985E0B">
        <w:trPr>
          <w:trHeight w:val="300"/>
          <w:tblHeader/>
        </w:trPr>
        <w:tc>
          <w:tcPr>
            <w:tcW w:w="3502" w:type="dxa"/>
            <w:tcBorders>
              <w:top w:val="single" w:sz="6" w:space="0" w:color="000000" w:themeColor="text1"/>
              <w:left w:val="single" w:sz="6" w:space="0" w:color="000000" w:themeColor="text1"/>
              <w:bottom w:val="single" w:sz="6" w:space="0" w:color="000000" w:themeColor="text1"/>
              <w:right w:val="single" w:sz="4" w:space="0" w:color="FFFFFF" w:themeColor="background1"/>
            </w:tcBorders>
            <w:shd w:val="clear" w:color="auto" w:fill="244061" w:themeFill="accent1" w:themeFillShade="80"/>
            <w:hideMark/>
          </w:tcPr>
          <w:p w14:paraId="55A8DC47" w14:textId="77777777" w:rsidR="00B75747" w:rsidRPr="00EA039D" w:rsidRDefault="00000000" w:rsidP="00B75747">
            <w:pPr>
              <w:spacing w:after="0" w:line="240" w:lineRule="auto"/>
              <w:jc w:val="center"/>
              <w:textAlignment w:val="baseline"/>
              <w:rPr>
                <w:rFonts w:eastAsia="Times New Roman" w:cs="Times New Roman"/>
              </w:rPr>
            </w:pPr>
            <w:r>
              <w:rPr>
                <w:rFonts w:eastAsia="Times New Roman" w:cs="Times New Roman"/>
                <w:b/>
                <w:bCs/>
                <w:color w:val="FFFFFF"/>
                <w:lang w:val="pt-BR"/>
              </w:rPr>
              <w:t>Estratégia</w:t>
            </w:r>
            <w:r>
              <w:rPr>
                <w:rFonts w:eastAsia="Times New Roman" w:cs="Times New Roman"/>
                <w:color w:val="FFFFFF"/>
                <w:lang w:val="pt-BR"/>
              </w:rPr>
              <w:t xml:space="preserve"> </w:t>
            </w:r>
          </w:p>
        </w:tc>
        <w:tc>
          <w:tcPr>
            <w:tcW w:w="4103"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shd w:val="clear" w:color="auto" w:fill="244061" w:themeFill="accent1" w:themeFillShade="80"/>
            <w:hideMark/>
          </w:tcPr>
          <w:p w14:paraId="4A17613D" w14:textId="77777777" w:rsidR="00B75747" w:rsidRPr="00C04CDD" w:rsidRDefault="00000000" w:rsidP="00B75747">
            <w:pPr>
              <w:spacing w:after="0" w:line="240" w:lineRule="auto"/>
              <w:jc w:val="center"/>
              <w:textAlignment w:val="baseline"/>
              <w:rPr>
                <w:rFonts w:eastAsia="Times New Roman" w:cs="Times New Roman"/>
                <w:lang w:val="fr-FR"/>
              </w:rPr>
            </w:pPr>
            <w:r>
              <w:rPr>
                <w:rFonts w:eastAsia="Times New Roman" w:cs="Times New Roman"/>
                <w:b/>
                <w:bCs/>
                <w:color w:val="FFFFFF"/>
                <w:lang w:val="pt-BR"/>
              </w:rPr>
              <w:t>Exemplos de implementação de estratégia</w:t>
            </w:r>
            <w:r>
              <w:rPr>
                <w:rFonts w:eastAsia="Times New Roman" w:cs="Times New Roman"/>
                <w:color w:val="FFFFFF"/>
                <w:lang w:val="pt-BR"/>
              </w:rPr>
              <w:t xml:space="preserve"> </w:t>
            </w:r>
          </w:p>
        </w:tc>
        <w:tc>
          <w:tcPr>
            <w:tcW w:w="2373"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shd w:val="clear" w:color="auto" w:fill="244061" w:themeFill="accent1" w:themeFillShade="80"/>
            <w:hideMark/>
          </w:tcPr>
          <w:p w14:paraId="7DFA4C01" w14:textId="77777777" w:rsidR="00B75747" w:rsidRPr="00CC1CB4" w:rsidRDefault="00000000" w:rsidP="00B75747">
            <w:pPr>
              <w:spacing w:after="0" w:line="240" w:lineRule="auto"/>
              <w:jc w:val="center"/>
              <w:textAlignment w:val="baseline"/>
              <w:rPr>
                <w:rFonts w:eastAsia="Times New Roman" w:cs="Times New Roman"/>
                <w:lang w:val="es-ES"/>
              </w:rPr>
            </w:pPr>
            <w:r>
              <w:rPr>
                <w:rFonts w:eastAsia="Times New Roman" w:cs="Times New Roman"/>
                <w:b/>
                <w:bCs/>
                <w:color w:val="FFFFFF"/>
                <w:lang w:val="pt-BR"/>
              </w:rPr>
              <w:t>Uso de fundos do MEP</w:t>
            </w:r>
            <w:r>
              <w:rPr>
                <w:rFonts w:eastAsia="Times New Roman" w:cs="Times New Roman"/>
                <w:color w:val="FFFFFF"/>
                <w:lang w:val="pt-BR"/>
              </w:rPr>
              <w:t xml:space="preserve"> </w:t>
            </w:r>
          </w:p>
        </w:tc>
        <w:tc>
          <w:tcPr>
            <w:tcW w:w="2966" w:type="dxa"/>
            <w:tcBorders>
              <w:top w:val="single" w:sz="6" w:space="0" w:color="000000" w:themeColor="text1"/>
              <w:left w:val="single" w:sz="4" w:space="0" w:color="FFFFFF" w:themeColor="background1"/>
              <w:bottom w:val="single" w:sz="6" w:space="0" w:color="000000" w:themeColor="text1"/>
              <w:right w:val="single" w:sz="6" w:space="0" w:color="000000" w:themeColor="text1"/>
            </w:tcBorders>
            <w:shd w:val="clear" w:color="auto" w:fill="244061" w:themeFill="accent1" w:themeFillShade="80"/>
            <w:hideMark/>
          </w:tcPr>
          <w:p w14:paraId="0642C352" w14:textId="77777777" w:rsidR="00B75747" w:rsidRPr="00CC1CB4" w:rsidRDefault="00000000" w:rsidP="00B75747">
            <w:pPr>
              <w:spacing w:after="0" w:line="240" w:lineRule="auto"/>
              <w:jc w:val="center"/>
              <w:textAlignment w:val="baseline"/>
              <w:rPr>
                <w:rFonts w:eastAsia="Times New Roman" w:cs="Times New Roman"/>
                <w:lang w:val="es-ES"/>
              </w:rPr>
            </w:pPr>
            <w:r>
              <w:rPr>
                <w:rFonts w:eastAsia="Times New Roman" w:cs="Times New Roman"/>
                <w:b/>
                <w:bCs/>
                <w:color w:val="FFFFFF"/>
                <w:lang w:val="pt-BR"/>
              </w:rPr>
              <w:t>As unidades de informação devem manter sobre a implementação da estratégia</w:t>
            </w:r>
            <w:r>
              <w:rPr>
                <w:rFonts w:eastAsia="Times New Roman" w:cs="Times New Roman"/>
                <w:color w:val="FFFFFF"/>
                <w:lang w:val="pt-BR"/>
              </w:rPr>
              <w:t xml:space="preserve"> </w:t>
            </w:r>
          </w:p>
        </w:tc>
      </w:tr>
      <w:tr w:rsidR="00C566B2" w:rsidRPr="00856537" w14:paraId="0D1E00AC" w14:textId="77777777" w:rsidTr="1C509991">
        <w:trPr>
          <w:trHeight w:val="300"/>
        </w:trPr>
        <w:tc>
          <w:tcPr>
            <w:tcW w:w="35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D6607F" w14:textId="77777777" w:rsidR="00B75747" w:rsidRPr="00CC1CB4" w:rsidRDefault="00000000" w:rsidP="0053042A">
            <w:pPr>
              <w:spacing w:after="0" w:line="240" w:lineRule="auto"/>
              <w:ind w:left="-15"/>
              <w:textAlignment w:val="baseline"/>
              <w:rPr>
                <w:rFonts w:eastAsia="Times New Roman" w:cs="Times New Roman"/>
                <w:lang w:val="es-ES"/>
              </w:rPr>
            </w:pPr>
            <w:r>
              <w:rPr>
                <w:rFonts w:eastAsia="Times New Roman" w:cs="Times New Roman"/>
                <w:b/>
                <w:bCs/>
                <w:lang w:val="pt-BR"/>
              </w:rPr>
              <w:t>4.1)</w:t>
            </w:r>
            <w:r>
              <w:rPr>
                <w:rFonts w:eastAsia="Times New Roman" w:cs="Times New Roman"/>
                <w:lang w:val="pt-BR"/>
              </w:rPr>
              <w:t xml:space="preserve"> Fornecer materiais de leitura e matemática para crianças migratórias, incluindo livros bilíngues, atividades matemáticas, ferramentas tecnológicas e assistência e outras ferramentas de aprendizagem, conforme apropriado para as necessidades e níveis da criança. </w:t>
            </w:r>
          </w:p>
        </w:tc>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40DC59" w14:textId="77777777" w:rsidR="00B75747" w:rsidRPr="00C04CDD" w:rsidRDefault="00000000">
            <w:pPr>
              <w:numPr>
                <w:ilvl w:val="0"/>
                <w:numId w:val="65"/>
              </w:numPr>
              <w:tabs>
                <w:tab w:val="clear" w:pos="720"/>
                <w:tab w:val="num" w:pos="242"/>
              </w:tabs>
              <w:spacing w:after="0" w:line="240" w:lineRule="auto"/>
              <w:ind w:left="224" w:hanging="152"/>
              <w:textAlignment w:val="baseline"/>
              <w:rPr>
                <w:rFonts w:eastAsia="Times New Roman" w:cs="Times New Roman"/>
                <w:lang w:val="fr-FR"/>
              </w:rPr>
            </w:pPr>
            <w:r>
              <w:rPr>
                <w:rFonts w:eastAsia="Times New Roman" w:cs="Times New Roman"/>
                <w:color w:val="000000"/>
                <w:lang w:val="pt-BR"/>
              </w:rPr>
              <w:t xml:space="preserve">Feira de serviços de indicação. </w:t>
            </w:r>
          </w:p>
          <w:p w14:paraId="115237F9" w14:textId="77777777" w:rsidR="00B75747" w:rsidRPr="00CC1CB4" w:rsidRDefault="00000000">
            <w:pPr>
              <w:numPr>
                <w:ilvl w:val="0"/>
                <w:numId w:val="65"/>
              </w:numPr>
              <w:tabs>
                <w:tab w:val="clear" w:pos="720"/>
                <w:tab w:val="num" w:pos="242"/>
              </w:tabs>
              <w:spacing w:after="0" w:line="240" w:lineRule="auto"/>
              <w:ind w:left="224" w:hanging="152"/>
              <w:textAlignment w:val="baseline"/>
              <w:rPr>
                <w:rFonts w:eastAsia="Times New Roman" w:cs="Times New Roman"/>
                <w:lang w:val="es-ES"/>
              </w:rPr>
            </w:pPr>
            <w:r>
              <w:rPr>
                <w:rFonts w:eastAsia="Times New Roman" w:cs="Times New Roman"/>
                <w:color w:val="000000"/>
                <w:lang w:val="pt-BR"/>
              </w:rPr>
              <w:t xml:space="preserve">Parceria com prestadores de serviços locais. </w:t>
            </w:r>
          </w:p>
          <w:p w14:paraId="1A3A05AE" w14:textId="77777777" w:rsidR="00B75747" w:rsidRPr="00CC1CB4" w:rsidRDefault="00000000">
            <w:pPr>
              <w:numPr>
                <w:ilvl w:val="0"/>
                <w:numId w:val="65"/>
              </w:numPr>
              <w:tabs>
                <w:tab w:val="clear" w:pos="720"/>
                <w:tab w:val="num" w:pos="242"/>
              </w:tabs>
              <w:spacing w:after="0" w:line="240" w:lineRule="auto"/>
              <w:ind w:left="224" w:hanging="152"/>
              <w:textAlignment w:val="baseline"/>
              <w:rPr>
                <w:rFonts w:eastAsia="Times New Roman" w:cs="Times New Roman"/>
                <w:lang w:val="es-ES"/>
              </w:rPr>
            </w:pPr>
            <w:r>
              <w:rPr>
                <w:rFonts w:eastAsia="Times New Roman" w:cs="Times New Roman"/>
                <w:color w:val="000000"/>
                <w:lang w:val="pt-BR"/>
              </w:rPr>
              <w:t xml:space="preserve">Workshop familiar para divulgar informações e fornecer apoio para inscrição/aplicação. </w:t>
            </w:r>
          </w:p>
          <w:p w14:paraId="3EF89CDB" w14:textId="77777777" w:rsidR="00B75747" w:rsidRPr="00CC1CB4" w:rsidRDefault="00000000">
            <w:pPr>
              <w:numPr>
                <w:ilvl w:val="0"/>
                <w:numId w:val="65"/>
              </w:numPr>
              <w:tabs>
                <w:tab w:val="clear" w:pos="720"/>
                <w:tab w:val="num" w:pos="242"/>
              </w:tabs>
              <w:spacing w:after="0" w:line="240" w:lineRule="auto"/>
              <w:ind w:left="224" w:hanging="152"/>
              <w:textAlignment w:val="baseline"/>
              <w:rPr>
                <w:rFonts w:eastAsia="Times New Roman" w:cs="Times New Roman"/>
                <w:lang w:val="es-ES"/>
              </w:rPr>
            </w:pPr>
            <w:r>
              <w:rPr>
                <w:rFonts w:eastAsia="Times New Roman" w:cs="Times New Roman"/>
                <w:color w:val="000000"/>
                <w:lang w:val="pt-BR"/>
              </w:rPr>
              <w:t xml:space="preserve">Indicações e acordos para compartilhar informações de indicação. </w:t>
            </w:r>
          </w:p>
          <w:p w14:paraId="62A663AF" w14:textId="77777777" w:rsidR="00B75747" w:rsidRPr="00CC1CB4" w:rsidRDefault="00000000">
            <w:pPr>
              <w:numPr>
                <w:ilvl w:val="0"/>
                <w:numId w:val="65"/>
              </w:numPr>
              <w:tabs>
                <w:tab w:val="clear" w:pos="720"/>
                <w:tab w:val="num" w:pos="242"/>
              </w:tabs>
              <w:spacing w:after="0" w:line="240" w:lineRule="auto"/>
              <w:ind w:left="224" w:hanging="152"/>
              <w:textAlignment w:val="baseline"/>
              <w:rPr>
                <w:rFonts w:eastAsia="Times New Roman" w:cs="Times New Roman"/>
                <w:lang w:val="es-ES"/>
              </w:rPr>
            </w:pPr>
            <w:r>
              <w:rPr>
                <w:rFonts w:eastAsia="Times New Roman" w:cs="Times New Roman"/>
                <w:color w:val="000000"/>
                <w:lang w:val="pt-BR"/>
              </w:rPr>
              <w:t xml:space="preserve">Distribuição dos suprimentos instrucionais necessários. </w:t>
            </w:r>
          </w:p>
          <w:p w14:paraId="244B2085" w14:textId="77777777" w:rsidR="00B75747" w:rsidRPr="00CC1CB4" w:rsidRDefault="00000000">
            <w:pPr>
              <w:numPr>
                <w:ilvl w:val="0"/>
                <w:numId w:val="65"/>
              </w:numPr>
              <w:tabs>
                <w:tab w:val="clear" w:pos="720"/>
                <w:tab w:val="num" w:pos="242"/>
              </w:tabs>
              <w:spacing w:after="0" w:line="240" w:lineRule="auto"/>
              <w:ind w:left="224" w:hanging="152"/>
              <w:textAlignment w:val="baseline"/>
              <w:rPr>
                <w:rFonts w:eastAsia="Times New Roman" w:cs="Times New Roman"/>
                <w:lang w:val="es-ES"/>
              </w:rPr>
            </w:pPr>
            <w:r>
              <w:rPr>
                <w:rFonts w:eastAsia="Times New Roman" w:cs="Times New Roman"/>
                <w:color w:val="000000"/>
                <w:lang w:val="pt-BR"/>
              </w:rPr>
              <w:lastRenderedPageBreak/>
              <w:t xml:space="preserve">Revisar as listas de suprimentos para escolas nas quais os alunos estão matriculados e fornecer assistência para a obtenção de suprimentos. </w:t>
            </w:r>
          </w:p>
          <w:p w14:paraId="712B5007" w14:textId="77777777" w:rsidR="000351EC" w:rsidRPr="00CC1CB4" w:rsidRDefault="00000000">
            <w:pPr>
              <w:numPr>
                <w:ilvl w:val="0"/>
                <w:numId w:val="65"/>
              </w:numPr>
              <w:tabs>
                <w:tab w:val="clear" w:pos="720"/>
                <w:tab w:val="num" w:pos="242"/>
              </w:tabs>
              <w:spacing w:after="0" w:line="240" w:lineRule="auto"/>
              <w:ind w:left="224" w:hanging="152"/>
              <w:textAlignment w:val="baseline"/>
              <w:rPr>
                <w:rFonts w:eastAsia="Times New Roman" w:cs="Times New Roman"/>
                <w:lang w:val="es-ES"/>
              </w:rPr>
            </w:pPr>
            <w:r>
              <w:rPr>
                <w:rFonts w:eastAsia="Times New Roman" w:cs="Times New Roman"/>
                <w:color w:val="000000"/>
                <w:lang w:val="pt-BR"/>
              </w:rPr>
              <w:t>Parcerias com bibliotecas públicas locais.</w:t>
            </w:r>
          </w:p>
        </w:tc>
        <w:tc>
          <w:tcPr>
            <w:tcW w:w="23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AA01D9" w14:textId="77777777" w:rsidR="00B75747" w:rsidRPr="00EA039D" w:rsidRDefault="00000000">
            <w:pPr>
              <w:numPr>
                <w:ilvl w:val="0"/>
                <w:numId w:val="66"/>
              </w:numPr>
              <w:tabs>
                <w:tab w:val="clear" w:pos="720"/>
                <w:tab w:val="num" w:pos="242"/>
              </w:tabs>
              <w:spacing w:after="0" w:line="240" w:lineRule="auto"/>
              <w:ind w:left="224" w:hanging="152"/>
              <w:textAlignment w:val="baseline"/>
              <w:rPr>
                <w:rFonts w:eastAsia="Times New Roman" w:cs="Times New Roman"/>
              </w:rPr>
            </w:pPr>
            <w:r>
              <w:rPr>
                <w:rFonts w:eastAsia="Times New Roman" w:cs="Times New Roman"/>
                <w:color w:val="000000"/>
                <w:lang w:val="pt-BR"/>
              </w:rPr>
              <w:lastRenderedPageBreak/>
              <w:t xml:space="preserve">Calendário de serviços </w:t>
            </w:r>
          </w:p>
          <w:p w14:paraId="0615AB7E" w14:textId="77777777" w:rsidR="00B75747" w:rsidRPr="00EA039D" w:rsidRDefault="00000000">
            <w:pPr>
              <w:numPr>
                <w:ilvl w:val="0"/>
                <w:numId w:val="66"/>
              </w:numPr>
              <w:tabs>
                <w:tab w:val="clear" w:pos="720"/>
                <w:tab w:val="num" w:pos="242"/>
              </w:tabs>
              <w:spacing w:after="0" w:line="240" w:lineRule="auto"/>
              <w:ind w:left="224" w:hanging="152"/>
              <w:textAlignment w:val="baseline"/>
              <w:rPr>
                <w:rFonts w:eastAsia="Times New Roman" w:cs="Times New Roman"/>
              </w:rPr>
            </w:pPr>
            <w:r>
              <w:rPr>
                <w:rFonts w:eastAsia="Times New Roman" w:cs="Times New Roman"/>
                <w:color w:val="000000"/>
                <w:lang w:val="pt-BR"/>
              </w:rPr>
              <w:t xml:space="preserve">Tempo da equipe </w:t>
            </w:r>
          </w:p>
          <w:p w14:paraId="0860A318" w14:textId="77777777" w:rsidR="00B75747" w:rsidRPr="00EA039D" w:rsidRDefault="00000000">
            <w:pPr>
              <w:numPr>
                <w:ilvl w:val="0"/>
                <w:numId w:val="66"/>
              </w:numPr>
              <w:tabs>
                <w:tab w:val="clear" w:pos="720"/>
                <w:tab w:val="num" w:pos="242"/>
              </w:tabs>
              <w:spacing w:after="0" w:line="240" w:lineRule="auto"/>
              <w:ind w:left="224" w:hanging="152"/>
              <w:textAlignment w:val="baseline"/>
              <w:rPr>
                <w:rFonts w:eastAsia="Times New Roman" w:cs="Times New Roman"/>
              </w:rPr>
            </w:pPr>
            <w:r>
              <w:rPr>
                <w:rFonts w:eastAsia="Times New Roman" w:cs="Times New Roman"/>
                <w:color w:val="000000"/>
                <w:lang w:val="pt-BR"/>
              </w:rPr>
              <w:t xml:space="preserve">Custos de distribuição </w:t>
            </w:r>
          </w:p>
          <w:p w14:paraId="7E5D8A89" w14:textId="77777777" w:rsidR="00B75747" w:rsidRPr="00EA039D" w:rsidRDefault="00000000">
            <w:pPr>
              <w:numPr>
                <w:ilvl w:val="0"/>
                <w:numId w:val="66"/>
              </w:numPr>
              <w:tabs>
                <w:tab w:val="clear" w:pos="720"/>
                <w:tab w:val="num" w:pos="242"/>
              </w:tabs>
              <w:spacing w:after="0" w:line="240" w:lineRule="auto"/>
              <w:ind w:left="224" w:hanging="152"/>
              <w:textAlignment w:val="baseline"/>
              <w:rPr>
                <w:rFonts w:eastAsia="Times New Roman" w:cs="Times New Roman"/>
              </w:rPr>
            </w:pPr>
            <w:r>
              <w:rPr>
                <w:rFonts w:eastAsia="Times New Roman" w:cs="Times New Roman"/>
                <w:color w:val="000000"/>
                <w:lang w:val="pt-BR"/>
              </w:rPr>
              <w:t xml:space="preserve">Materiais informativos </w:t>
            </w:r>
          </w:p>
          <w:p w14:paraId="65989A29" w14:textId="77777777" w:rsidR="00B75747" w:rsidRPr="00EA039D" w:rsidRDefault="00000000">
            <w:pPr>
              <w:numPr>
                <w:ilvl w:val="0"/>
                <w:numId w:val="66"/>
              </w:numPr>
              <w:tabs>
                <w:tab w:val="clear" w:pos="720"/>
                <w:tab w:val="num" w:pos="242"/>
              </w:tabs>
              <w:spacing w:after="0" w:line="240" w:lineRule="auto"/>
              <w:ind w:left="224" w:hanging="152"/>
              <w:textAlignment w:val="baseline"/>
              <w:rPr>
                <w:rFonts w:eastAsia="Times New Roman" w:cs="Times New Roman"/>
              </w:rPr>
            </w:pPr>
            <w:r>
              <w:rPr>
                <w:rFonts w:eastAsia="Times New Roman" w:cs="Times New Roman"/>
                <w:color w:val="000000"/>
                <w:lang w:val="pt-BR"/>
              </w:rPr>
              <w:t xml:space="preserve">Custos de eventos familiares </w:t>
            </w:r>
          </w:p>
          <w:p w14:paraId="2A5F026B" w14:textId="77777777" w:rsidR="00B75747" w:rsidRPr="00EA039D" w:rsidRDefault="00000000">
            <w:pPr>
              <w:numPr>
                <w:ilvl w:val="0"/>
                <w:numId w:val="66"/>
              </w:numPr>
              <w:tabs>
                <w:tab w:val="clear" w:pos="720"/>
                <w:tab w:val="num" w:pos="242"/>
              </w:tabs>
              <w:spacing w:after="0" w:line="240" w:lineRule="auto"/>
              <w:ind w:left="224" w:hanging="152"/>
              <w:textAlignment w:val="baseline"/>
              <w:rPr>
                <w:rFonts w:eastAsia="Times New Roman" w:cs="Times New Roman"/>
              </w:rPr>
            </w:pPr>
            <w:r>
              <w:rPr>
                <w:rFonts w:eastAsia="Times New Roman" w:cs="Times New Roman"/>
                <w:color w:val="000000"/>
                <w:lang w:val="pt-BR"/>
              </w:rPr>
              <w:t xml:space="preserve">Livros, materiais instrucionais </w:t>
            </w:r>
          </w:p>
          <w:p w14:paraId="19EC8F73" w14:textId="77777777" w:rsidR="00B75747" w:rsidRPr="00EA039D" w:rsidRDefault="00000000">
            <w:pPr>
              <w:numPr>
                <w:ilvl w:val="0"/>
                <w:numId w:val="66"/>
              </w:numPr>
              <w:tabs>
                <w:tab w:val="clear" w:pos="720"/>
                <w:tab w:val="num" w:pos="242"/>
              </w:tabs>
              <w:spacing w:after="0" w:line="240" w:lineRule="auto"/>
              <w:ind w:left="224" w:hanging="152"/>
              <w:textAlignment w:val="baseline"/>
              <w:rPr>
                <w:rFonts w:eastAsia="Times New Roman" w:cs="Times New Roman"/>
              </w:rPr>
            </w:pPr>
            <w:r>
              <w:rPr>
                <w:rFonts w:eastAsia="Times New Roman" w:cs="Times New Roman"/>
                <w:color w:val="000000"/>
                <w:lang w:val="pt-BR"/>
              </w:rPr>
              <w:lastRenderedPageBreak/>
              <w:t xml:space="preserve">Tecnologia, dispositivos, suporte à conectividade </w:t>
            </w:r>
          </w:p>
          <w:p w14:paraId="2347FAAF" w14:textId="77777777" w:rsidR="000A7F2A" w:rsidRPr="00CC1CB4" w:rsidRDefault="00000000">
            <w:pPr>
              <w:numPr>
                <w:ilvl w:val="0"/>
                <w:numId w:val="66"/>
              </w:numPr>
              <w:tabs>
                <w:tab w:val="clear" w:pos="720"/>
                <w:tab w:val="num" w:pos="242"/>
              </w:tabs>
              <w:spacing w:after="0" w:line="240" w:lineRule="auto"/>
              <w:ind w:left="224" w:hanging="152"/>
              <w:textAlignment w:val="baseline"/>
              <w:rPr>
                <w:rFonts w:eastAsia="Times New Roman" w:cs="Times New Roman"/>
                <w:lang w:val="es-ES"/>
              </w:rPr>
            </w:pPr>
            <w:r>
              <w:rPr>
                <w:rFonts w:eastAsia="Times New Roman" w:cs="Times New Roman"/>
                <w:lang w:val="pt-BR"/>
              </w:rPr>
              <w:t>Livros, incluindo recursos da biblioteca escolar e materiais instrutivos.</w:t>
            </w:r>
          </w:p>
        </w:tc>
        <w:tc>
          <w:tcPr>
            <w:tcW w:w="29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B68BF21" w14:textId="77777777" w:rsidR="00B75747" w:rsidRPr="00EA039D" w:rsidRDefault="00000000">
            <w:pPr>
              <w:numPr>
                <w:ilvl w:val="0"/>
                <w:numId w:val="67"/>
              </w:numPr>
              <w:tabs>
                <w:tab w:val="clear" w:pos="720"/>
                <w:tab w:val="num" w:pos="242"/>
              </w:tabs>
              <w:spacing w:after="0" w:line="240" w:lineRule="auto"/>
              <w:ind w:left="224" w:hanging="152"/>
              <w:textAlignment w:val="baseline"/>
              <w:rPr>
                <w:rFonts w:eastAsia="Times New Roman" w:cs="Times New Roman"/>
              </w:rPr>
            </w:pPr>
            <w:r>
              <w:rPr>
                <w:rFonts w:eastAsia="Times New Roman" w:cs="Times New Roman"/>
                <w:color w:val="000000"/>
                <w:lang w:val="pt-BR"/>
              </w:rPr>
              <w:lastRenderedPageBreak/>
              <w:t xml:space="preserve">Precisa de avaliações </w:t>
            </w:r>
          </w:p>
          <w:p w14:paraId="1C790745" w14:textId="77777777" w:rsidR="00B75747" w:rsidRPr="00EA039D" w:rsidRDefault="00000000">
            <w:pPr>
              <w:numPr>
                <w:ilvl w:val="0"/>
                <w:numId w:val="67"/>
              </w:numPr>
              <w:tabs>
                <w:tab w:val="clear" w:pos="720"/>
                <w:tab w:val="num" w:pos="242"/>
              </w:tabs>
              <w:spacing w:after="0" w:line="240" w:lineRule="auto"/>
              <w:ind w:left="224" w:hanging="152"/>
              <w:textAlignment w:val="baseline"/>
              <w:rPr>
                <w:rFonts w:eastAsia="Times New Roman" w:cs="Times New Roman"/>
              </w:rPr>
            </w:pPr>
            <w:r>
              <w:rPr>
                <w:rFonts w:eastAsia="Times New Roman" w:cs="Times New Roman"/>
                <w:color w:val="000000"/>
                <w:lang w:val="pt-BR"/>
              </w:rPr>
              <w:t xml:space="preserve">Agendas </w:t>
            </w:r>
          </w:p>
          <w:p w14:paraId="6A1890F8" w14:textId="77777777" w:rsidR="00B75747" w:rsidRPr="00EA039D" w:rsidRDefault="00000000">
            <w:pPr>
              <w:numPr>
                <w:ilvl w:val="0"/>
                <w:numId w:val="67"/>
              </w:numPr>
              <w:tabs>
                <w:tab w:val="clear" w:pos="720"/>
                <w:tab w:val="num" w:pos="242"/>
              </w:tabs>
              <w:spacing w:after="0" w:line="240" w:lineRule="auto"/>
              <w:ind w:left="224" w:hanging="152"/>
              <w:textAlignment w:val="baseline"/>
              <w:rPr>
                <w:rFonts w:eastAsia="Times New Roman" w:cs="Times New Roman"/>
              </w:rPr>
            </w:pPr>
            <w:r>
              <w:rPr>
                <w:rFonts w:eastAsia="Times New Roman" w:cs="Times New Roman"/>
                <w:color w:val="000000"/>
                <w:lang w:val="pt-BR"/>
              </w:rPr>
              <w:t xml:space="preserve">Observações </w:t>
            </w:r>
          </w:p>
          <w:p w14:paraId="4B7E6F0E" w14:textId="77777777" w:rsidR="00B75747" w:rsidRPr="00EA039D" w:rsidRDefault="00000000">
            <w:pPr>
              <w:numPr>
                <w:ilvl w:val="0"/>
                <w:numId w:val="67"/>
              </w:numPr>
              <w:tabs>
                <w:tab w:val="clear" w:pos="720"/>
                <w:tab w:val="num" w:pos="242"/>
              </w:tabs>
              <w:spacing w:after="0" w:line="240" w:lineRule="auto"/>
              <w:ind w:left="224" w:hanging="152"/>
              <w:textAlignment w:val="baseline"/>
              <w:rPr>
                <w:rFonts w:eastAsia="Times New Roman" w:cs="Times New Roman"/>
              </w:rPr>
            </w:pPr>
            <w:r>
              <w:rPr>
                <w:rFonts w:eastAsia="Times New Roman" w:cs="Times New Roman"/>
                <w:color w:val="000000"/>
                <w:lang w:val="pt-BR"/>
              </w:rPr>
              <w:t xml:space="preserve">Avaliações </w:t>
            </w:r>
          </w:p>
          <w:p w14:paraId="4C775AAE" w14:textId="77777777" w:rsidR="00B75747" w:rsidRPr="00EA039D" w:rsidRDefault="00000000">
            <w:pPr>
              <w:numPr>
                <w:ilvl w:val="0"/>
                <w:numId w:val="67"/>
              </w:numPr>
              <w:tabs>
                <w:tab w:val="clear" w:pos="720"/>
                <w:tab w:val="num" w:pos="242"/>
              </w:tabs>
              <w:spacing w:after="0" w:line="240" w:lineRule="auto"/>
              <w:ind w:left="224" w:hanging="152"/>
              <w:textAlignment w:val="baseline"/>
              <w:rPr>
                <w:rFonts w:eastAsia="Times New Roman" w:cs="Times New Roman"/>
              </w:rPr>
            </w:pPr>
            <w:r>
              <w:rPr>
                <w:rFonts w:eastAsia="Times New Roman" w:cs="Times New Roman"/>
                <w:color w:val="000000"/>
                <w:lang w:val="pt-BR"/>
              </w:rPr>
              <w:t xml:space="preserve">Registros de distribuição </w:t>
            </w:r>
          </w:p>
          <w:p w14:paraId="19DEA2F3" w14:textId="77777777" w:rsidR="00B75747" w:rsidRPr="00CC1CB4" w:rsidRDefault="00000000">
            <w:pPr>
              <w:numPr>
                <w:ilvl w:val="0"/>
                <w:numId w:val="67"/>
              </w:numPr>
              <w:tabs>
                <w:tab w:val="clear" w:pos="720"/>
                <w:tab w:val="num" w:pos="242"/>
              </w:tabs>
              <w:spacing w:after="0" w:line="240" w:lineRule="auto"/>
              <w:ind w:left="224" w:hanging="152"/>
              <w:textAlignment w:val="baseline"/>
              <w:rPr>
                <w:rFonts w:eastAsia="Times New Roman" w:cs="Times New Roman"/>
                <w:lang w:val="es-ES"/>
              </w:rPr>
            </w:pPr>
            <w:r>
              <w:rPr>
                <w:rFonts w:eastAsia="Times New Roman" w:cs="Times New Roman"/>
                <w:color w:val="000000"/>
                <w:lang w:val="pt-BR"/>
              </w:rPr>
              <w:t xml:space="preserve">Listas de fornecimento das escolas/professores dos alunos </w:t>
            </w:r>
          </w:p>
        </w:tc>
      </w:tr>
      <w:tr w:rsidR="00C566B2" w14:paraId="123DD180" w14:textId="77777777" w:rsidTr="1C509991">
        <w:trPr>
          <w:trHeight w:val="300"/>
        </w:trPr>
        <w:tc>
          <w:tcPr>
            <w:tcW w:w="35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0C8965" w14:textId="77777777" w:rsidR="00B75747" w:rsidRPr="00CC1CB4" w:rsidRDefault="00000000" w:rsidP="00F94AE0">
            <w:pPr>
              <w:spacing w:after="40"/>
              <w:textAlignment w:val="baseline"/>
              <w:rPr>
                <w:rFonts w:eastAsia="Times New Roman" w:cs="Times New Roman"/>
                <w:lang w:val="es-ES"/>
              </w:rPr>
            </w:pPr>
            <w:r>
              <w:rPr>
                <w:rFonts w:eastAsia="Times New Roman" w:cs="Times New Roman"/>
                <w:b/>
                <w:bCs/>
                <w:lang w:val="pt-BR"/>
              </w:rPr>
              <w:t>4.2)</w:t>
            </w:r>
            <w:r>
              <w:rPr>
                <w:rFonts w:eastAsia="Times New Roman" w:cs="Times New Roman"/>
                <w:lang w:val="pt-BR"/>
              </w:rPr>
              <w:t xml:space="preserve"> Coordenar com os prestadores de serviços de saúde para facilitar o acesso aos cuidados de saúde visual, odontológica, médica e mental alinhados às necessidades das crianças. </w:t>
            </w:r>
          </w:p>
        </w:tc>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2FFC966" w14:textId="77777777" w:rsidR="00B75747" w:rsidRPr="00CC1CB4" w:rsidRDefault="00000000">
            <w:pPr>
              <w:numPr>
                <w:ilvl w:val="0"/>
                <w:numId w:val="68"/>
              </w:numPr>
              <w:tabs>
                <w:tab w:val="clear" w:pos="720"/>
                <w:tab w:val="num" w:pos="242"/>
              </w:tabs>
              <w:spacing w:after="40"/>
              <w:ind w:left="224" w:hanging="152"/>
              <w:textAlignment w:val="baseline"/>
              <w:rPr>
                <w:rFonts w:eastAsia="Times New Roman" w:cs="Times New Roman"/>
                <w:lang w:val="es-ES"/>
              </w:rPr>
            </w:pPr>
            <w:r>
              <w:rPr>
                <w:rFonts w:eastAsia="Times New Roman" w:cs="Times New Roman"/>
                <w:color w:val="000000"/>
                <w:lang w:val="pt-BR"/>
              </w:rPr>
              <w:t>Fornecer informações/folhetos sobre centros de saúde locais na comunidade e coordenar com prestadores de serviços para facilitar o acesso aos cuidados da família e dos</w:t>
            </w:r>
            <w:r>
              <w:rPr>
                <w:rFonts w:eastAsia="Times New Roman" w:cs="Times New Roman"/>
                <w:lang w:val="pt-BR"/>
              </w:rPr>
              <w:t>jovens fora da escola</w:t>
            </w:r>
            <w:r>
              <w:rPr>
                <w:rFonts w:eastAsia="Times New Roman" w:cs="Times New Roman"/>
                <w:color w:val="000000"/>
                <w:lang w:val="pt-BR"/>
              </w:rPr>
              <w:t xml:space="preserve">. </w:t>
            </w:r>
          </w:p>
          <w:p w14:paraId="49DE2280" w14:textId="77777777" w:rsidR="00B75747" w:rsidRPr="00CC1CB4" w:rsidRDefault="00000000">
            <w:pPr>
              <w:numPr>
                <w:ilvl w:val="0"/>
                <w:numId w:val="68"/>
              </w:numPr>
              <w:tabs>
                <w:tab w:val="clear" w:pos="720"/>
                <w:tab w:val="num" w:pos="242"/>
              </w:tabs>
              <w:spacing w:after="40"/>
              <w:ind w:left="224" w:hanging="152"/>
              <w:textAlignment w:val="baseline"/>
              <w:rPr>
                <w:rFonts w:eastAsia="Times New Roman" w:cs="Times New Roman"/>
                <w:lang w:val="es-ES"/>
              </w:rPr>
            </w:pPr>
            <w:r>
              <w:rPr>
                <w:rFonts w:eastAsia="Times New Roman" w:cs="Times New Roman"/>
                <w:color w:val="000000"/>
                <w:lang w:val="pt-BR"/>
              </w:rPr>
              <w:t xml:space="preserve">Eventos familiares com componentes de bem-estar. </w:t>
            </w:r>
          </w:p>
          <w:p w14:paraId="69DE572C" w14:textId="77777777" w:rsidR="00B75747" w:rsidRPr="00EA039D" w:rsidRDefault="00000000">
            <w:pPr>
              <w:numPr>
                <w:ilvl w:val="0"/>
                <w:numId w:val="68"/>
              </w:numPr>
              <w:tabs>
                <w:tab w:val="clear" w:pos="720"/>
                <w:tab w:val="num" w:pos="242"/>
              </w:tabs>
              <w:spacing w:after="40"/>
              <w:ind w:left="224" w:hanging="152"/>
              <w:textAlignment w:val="baseline"/>
              <w:rPr>
                <w:rFonts w:eastAsia="Times New Roman" w:cs="Times New Roman"/>
              </w:rPr>
            </w:pPr>
            <w:r>
              <w:rPr>
                <w:rFonts w:eastAsia="Times New Roman" w:cs="Times New Roman"/>
                <w:color w:val="000000"/>
                <w:lang w:val="pt-BR"/>
              </w:rPr>
              <w:t xml:space="preserve">Nutrição </w:t>
            </w:r>
          </w:p>
          <w:p w14:paraId="11C3288D" w14:textId="77777777" w:rsidR="00B75747" w:rsidRPr="00CC1CB4" w:rsidRDefault="00000000">
            <w:pPr>
              <w:numPr>
                <w:ilvl w:val="0"/>
                <w:numId w:val="68"/>
              </w:numPr>
              <w:tabs>
                <w:tab w:val="clear" w:pos="720"/>
                <w:tab w:val="num" w:pos="242"/>
              </w:tabs>
              <w:spacing w:after="40"/>
              <w:ind w:left="224" w:hanging="152"/>
              <w:textAlignment w:val="baseline"/>
              <w:rPr>
                <w:rFonts w:eastAsia="Times New Roman" w:cs="Times New Roman"/>
                <w:lang w:val="es-ES"/>
              </w:rPr>
            </w:pPr>
            <w:r>
              <w:rPr>
                <w:rFonts w:eastAsia="Times New Roman" w:cs="Times New Roman"/>
                <w:color w:val="000000"/>
                <w:lang w:val="pt-BR"/>
              </w:rPr>
              <w:t xml:space="preserve">Registros e encaminhamentos de imunização </w:t>
            </w:r>
          </w:p>
        </w:tc>
        <w:tc>
          <w:tcPr>
            <w:tcW w:w="23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F75C7A" w14:textId="77777777" w:rsidR="00B75747" w:rsidRPr="00CC1CB4" w:rsidRDefault="00000000">
            <w:pPr>
              <w:numPr>
                <w:ilvl w:val="0"/>
                <w:numId w:val="69"/>
              </w:numPr>
              <w:tabs>
                <w:tab w:val="clear" w:pos="720"/>
                <w:tab w:val="num" w:pos="242"/>
              </w:tabs>
              <w:spacing w:after="40"/>
              <w:ind w:left="224" w:hanging="152"/>
              <w:textAlignment w:val="baseline"/>
              <w:rPr>
                <w:rFonts w:eastAsia="Times New Roman" w:cs="Times New Roman"/>
                <w:lang w:val="es-ES"/>
              </w:rPr>
            </w:pPr>
            <w:r>
              <w:rPr>
                <w:rFonts w:eastAsia="Times New Roman" w:cs="Times New Roman"/>
                <w:color w:val="000000"/>
                <w:lang w:val="pt-BR"/>
              </w:rPr>
              <w:t xml:space="preserve">Exames dentários e de saúde. </w:t>
            </w:r>
          </w:p>
          <w:p w14:paraId="5AA37116" w14:textId="77777777" w:rsidR="00B75747" w:rsidRPr="00EA039D" w:rsidRDefault="00000000">
            <w:pPr>
              <w:numPr>
                <w:ilvl w:val="0"/>
                <w:numId w:val="69"/>
              </w:numPr>
              <w:tabs>
                <w:tab w:val="clear" w:pos="720"/>
                <w:tab w:val="num" w:pos="242"/>
              </w:tabs>
              <w:spacing w:after="40"/>
              <w:ind w:left="224" w:hanging="152"/>
              <w:textAlignment w:val="baseline"/>
              <w:rPr>
                <w:rFonts w:eastAsia="Times New Roman" w:cs="Times New Roman"/>
              </w:rPr>
            </w:pPr>
            <w:r>
              <w:rPr>
                <w:rFonts w:eastAsia="Times New Roman" w:cs="Times New Roman"/>
                <w:color w:val="000000"/>
                <w:lang w:val="pt-BR"/>
              </w:rPr>
              <w:t xml:space="preserve">Custos nutricionais suplementares. </w:t>
            </w:r>
          </w:p>
          <w:p w14:paraId="4B363EBF" w14:textId="77777777" w:rsidR="00B75747" w:rsidRPr="00CC1CB4" w:rsidRDefault="00000000">
            <w:pPr>
              <w:numPr>
                <w:ilvl w:val="0"/>
                <w:numId w:val="69"/>
              </w:numPr>
              <w:tabs>
                <w:tab w:val="clear" w:pos="720"/>
                <w:tab w:val="num" w:pos="242"/>
              </w:tabs>
              <w:spacing w:after="40"/>
              <w:ind w:left="224" w:hanging="152"/>
              <w:textAlignment w:val="baseline"/>
              <w:rPr>
                <w:rFonts w:eastAsia="Times New Roman" w:cs="Times New Roman"/>
                <w:lang w:val="es-ES"/>
              </w:rPr>
            </w:pPr>
            <w:r>
              <w:rPr>
                <w:rFonts w:eastAsia="Times New Roman" w:cs="Times New Roman"/>
                <w:color w:val="000000"/>
                <w:lang w:val="pt-BR"/>
              </w:rPr>
              <w:t xml:space="preserve">Defesa e coordenação com provedores de serviços. </w:t>
            </w:r>
          </w:p>
        </w:tc>
        <w:tc>
          <w:tcPr>
            <w:tcW w:w="29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11F27C" w14:textId="77777777" w:rsidR="00B75747" w:rsidRPr="00EA039D" w:rsidRDefault="00000000">
            <w:pPr>
              <w:numPr>
                <w:ilvl w:val="0"/>
                <w:numId w:val="70"/>
              </w:numPr>
              <w:tabs>
                <w:tab w:val="clear" w:pos="720"/>
                <w:tab w:val="num" w:pos="242"/>
              </w:tabs>
              <w:spacing w:after="40"/>
              <w:ind w:left="224" w:hanging="152"/>
              <w:textAlignment w:val="baseline"/>
              <w:rPr>
                <w:rFonts w:eastAsia="Times New Roman" w:cs="Times New Roman"/>
              </w:rPr>
            </w:pPr>
            <w:r>
              <w:rPr>
                <w:rFonts w:eastAsia="Times New Roman" w:cs="Times New Roman"/>
                <w:color w:val="000000"/>
                <w:lang w:val="pt-BR"/>
              </w:rPr>
              <w:t xml:space="preserve">Precisa de avaliações </w:t>
            </w:r>
          </w:p>
          <w:p w14:paraId="7A907BB9" w14:textId="77777777" w:rsidR="00B75747" w:rsidRPr="00EA039D" w:rsidRDefault="00000000">
            <w:pPr>
              <w:numPr>
                <w:ilvl w:val="0"/>
                <w:numId w:val="70"/>
              </w:numPr>
              <w:tabs>
                <w:tab w:val="clear" w:pos="720"/>
                <w:tab w:val="num" w:pos="242"/>
              </w:tabs>
              <w:spacing w:after="40"/>
              <w:ind w:left="224" w:hanging="152"/>
              <w:textAlignment w:val="baseline"/>
              <w:rPr>
                <w:rFonts w:eastAsia="Times New Roman" w:cs="Times New Roman"/>
              </w:rPr>
            </w:pPr>
            <w:r>
              <w:rPr>
                <w:rFonts w:eastAsia="Times New Roman" w:cs="Times New Roman"/>
                <w:color w:val="000000"/>
                <w:lang w:val="pt-BR"/>
              </w:rPr>
              <w:t xml:space="preserve">Agendas </w:t>
            </w:r>
          </w:p>
          <w:p w14:paraId="13E77201" w14:textId="77777777" w:rsidR="00B75747" w:rsidRPr="00EA039D" w:rsidRDefault="00000000">
            <w:pPr>
              <w:numPr>
                <w:ilvl w:val="0"/>
                <w:numId w:val="70"/>
              </w:numPr>
              <w:tabs>
                <w:tab w:val="clear" w:pos="720"/>
                <w:tab w:val="num" w:pos="242"/>
              </w:tabs>
              <w:spacing w:after="40"/>
              <w:ind w:left="224" w:hanging="152"/>
              <w:textAlignment w:val="baseline"/>
              <w:rPr>
                <w:rFonts w:eastAsia="Times New Roman" w:cs="Times New Roman"/>
              </w:rPr>
            </w:pPr>
            <w:r>
              <w:rPr>
                <w:rFonts w:eastAsia="Times New Roman" w:cs="Times New Roman"/>
                <w:color w:val="000000"/>
                <w:lang w:val="pt-BR"/>
              </w:rPr>
              <w:t xml:space="preserve">Observações </w:t>
            </w:r>
          </w:p>
          <w:p w14:paraId="310D4557" w14:textId="77777777" w:rsidR="00B75747" w:rsidRPr="00EA039D" w:rsidRDefault="00000000">
            <w:pPr>
              <w:numPr>
                <w:ilvl w:val="0"/>
                <w:numId w:val="70"/>
              </w:numPr>
              <w:tabs>
                <w:tab w:val="clear" w:pos="720"/>
                <w:tab w:val="num" w:pos="242"/>
              </w:tabs>
              <w:spacing w:after="40"/>
              <w:ind w:left="224" w:hanging="152"/>
              <w:textAlignment w:val="baseline"/>
              <w:rPr>
                <w:rFonts w:eastAsia="Times New Roman" w:cs="Times New Roman"/>
              </w:rPr>
            </w:pPr>
            <w:r>
              <w:rPr>
                <w:rFonts w:eastAsia="Times New Roman" w:cs="Times New Roman"/>
                <w:color w:val="000000"/>
                <w:lang w:val="pt-BR"/>
              </w:rPr>
              <w:t xml:space="preserve">Registros de participação familiar </w:t>
            </w:r>
          </w:p>
          <w:p w14:paraId="6529DE30" w14:textId="77777777" w:rsidR="00B75747" w:rsidRPr="00EA039D" w:rsidRDefault="00000000">
            <w:pPr>
              <w:numPr>
                <w:ilvl w:val="0"/>
                <w:numId w:val="70"/>
              </w:numPr>
              <w:tabs>
                <w:tab w:val="clear" w:pos="720"/>
                <w:tab w:val="num" w:pos="242"/>
              </w:tabs>
              <w:spacing w:after="40"/>
              <w:ind w:left="224" w:hanging="152"/>
              <w:textAlignment w:val="baseline"/>
              <w:rPr>
                <w:rFonts w:eastAsia="Times New Roman" w:cs="Times New Roman"/>
              </w:rPr>
            </w:pPr>
            <w:r>
              <w:rPr>
                <w:rFonts w:eastAsia="Times New Roman" w:cs="Times New Roman"/>
                <w:color w:val="000000"/>
                <w:lang w:val="pt-BR"/>
              </w:rPr>
              <w:t xml:space="preserve">Pesquisas com os pais </w:t>
            </w:r>
          </w:p>
        </w:tc>
      </w:tr>
      <w:tr w:rsidR="00C566B2" w:rsidRPr="00C04CDD" w14:paraId="366D1AB3" w14:textId="77777777" w:rsidTr="1C509991">
        <w:trPr>
          <w:trHeight w:val="300"/>
        </w:trPr>
        <w:tc>
          <w:tcPr>
            <w:tcW w:w="35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9ACADA" w14:textId="77777777" w:rsidR="00B75747" w:rsidRPr="00CC1CB4" w:rsidRDefault="00000000" w:rsidP="00F94AE0">
            <w:pPr>
              <w:spacing w:after="40"/>
              <w:textAlignment w:val="baseline"/>
              <w:rPr>
                <w:rFonts w:eastAsia="Times New Roman" w:cs="Times New Roman"/>
                <w:lang w:val="es-ES"/>
              </w:rPr>
            </w:pPr>
            <w:r>
              <w:rPr>
                <w:rFonts w:eastAsia="Times New Roman" w:cs="Times New Roman"/>
                <w:b/>
                <w:bCs/>
                <w:lang w:val="pt-BR"/>
              </w:rPr>
              <w:t>4.3)</w:t>
            </w:r>
            <w:r>
              <w:rPr>
                <w:rFonts w:eastAsia="Times New Roman" w:cs="Times New Roman"/>
                <w:lang w:val="pt-BR"/>
              </w:rPr>
              <w:t xml:space="preserve"> Oferecer aos pais e familiares oportunidades de treinamento, recursos, atividades/eventos que aumentem suas habilidades para apoiar o aprendizado de seus filhos em casa (por exemplo, aulas de comunicação escolar para pais, jogos/atividades matemáticas, alfabetização/noites de matemática). </w:t>
            </w:r>
          </w:p>
        </w:tc>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65059C" w14:textId="77777777" w:rsidR="00B75747" w:rsidRPr="00EA039D" w:rsidRDefault="00000000">
            <w:pPr>
              <w:numPr>
                <w:ilvl w:val="0"/>
                <w:numId w:val="71"/>
              </w:numPr>
              <w:tabs>
                <w:tab w:val="clear" w:pos="720"/>
                <w:tab w:val="num" w:pos="242"/>
              </w:tabs>
              <w:spacing w:after="40"/>
              <w:ind w:left="224" w:hanging="152"/>
              <w:textAlignment w:val="baseline"/>
              <w:rPr>
                <w:rFonts w:eastAsia="Times New Roman" w:cs="Times New Roman"/>
              </w:rPr>
            </w:pPr>
            <w:r>
              <w:rPr>
                <w:rFonts w:eastAsia="Times New Roman" w:cs="Times New Roman"/>
                <w:color w:val="000000"/>
                <w:lang w:val="pt-BR"/>
              </w:rPr>
              <w:t xml:space="preserve">Visitas domiciliares </w:t>
            </w:r>
          </w:p>
          <w:p w14:paraId="5F94E12D" w14:textId="77777777" w:rsidR="00B75747" w:rsidRPr="00EA039D" w:rsidRDefault="00000000">
            <w:pPr>
              <w:numPr>
                <w:ilvl w:val="0"/>
                <w:numId w:val="71"/>
              </w:numPr>
              <w:tabs>
                <w:tab w:val="clear" w:pos="720"/>
                <w:tab w:val="num" w:pos="242"/>
              </w:tabs>
              <w:spacing w:after="40"/>
              <w:ind w:left="224" w:hanging="152"/>
              <w:textAlignment w:val="baseline"/>
              <w:rPr>
                <w:rFonts w:eastAsia="Times New Roman" w:cs="Times New Roman"/>
              </w:rPr>
            </w:pPr>
            <w:r>
              <w:rPr>
                <w:rFonts w:eastAsia="Times New Roman" w:cs="Times New Roman"/>
                <w:color w:val="000000"/>
                <w:lang w:val="pt-BR"/>
              </w:rPr>
              <w:t xml:space="preserve">Materiais e itens escolares </w:t>
            </w:r>
          </w:p>
          <w:p w14:paraId="6D8F5B54" w14:textId="77777777" w:rsidR="00B75747" w:rsidRPr="00EA039D" w:rsidRDefault="00000000">
            <w:pPr>
              <w:numPr>
                <w:ilvl w:val="0"/>
                <w:numId w:val="71"/>
              </w:numPr>
              <w:tabs>
                <w:tab w:val="clear" w:pos="720"/>
                <w:tab w:val="num" w:pos="242"/>
              </w:tabs>
              <w:spacing w:after="40"/>
              <w:ind w:left="224" w:hanging="152"/>
              <w:textAlignment w:val="baseline"/>
              <w:rPr>
                <w:rFonts w:eastAsia="Times New Roman" w:cs="Times New Roman"/>
              </w:rPr>
            </w:pPr>
            <w:r>
              <w:rPr>
                <w:rFonts w:eastAsia="Times New Roman" w:cs="Times New Roman"/>
                <w:color w:val="000000"/>
                <w:lang w:val="pt-BR"/>
              </w:rPr>
              <w:t xml:space="preserve">Reuniões com os pais </w:t>
            </w:r>
          </w:p>
          <w:p w14:paraId="2FAF9982" w14:textId="77777777" w:rsidR="00B75747" w:rsidRPr="00EA039D" w:rsidRDefault="00000000">
            <w:pPr>
              <w:numPr>
                <w:ilvl w:val="0"/>
                <w:numId w:val="71"/>
              </w:numPr>
              <w:tabs>
                <w:tab w:val="clear" w:pos="720"/>
                <w:tab w:val="num" w:pos="242"/>
              </w:tabs>
              <w:spacing w:after="40"/>
              <w:ind w:left="224" w:hanging="152"/>
              <w:textAlignment w:val="baseline"/>
              <w:rPr>
                <w:rFonts w:eastAsia="Times New Roman" w:cs="Times New Roman"/>
              </w:rPr>
            </w:pPr>
            <w:r>
              <w:rPr>
                <w:rFonts w:eastAsia="Times New Roman" w:cs="Times New Roman"/>
                <w:color w:val="000000"/>
                <w:lang w:val="pt-BR"/>
              </w:rPr>
              <w:t xml:space="preserve">Workshops para pais </w:t>
            </w:r>
          </w:p>
          <w:p w14:paraId="7EA0CA98" w14:textId="77777777" w:rsidR="00B75747" w:rsidRPr="00EA039D" w:rsidRDefault="00000000">
            <w:pPr>
              <w:numPr>
                <w:ilvl w:val="0"/>
                <w:numId w:val="71"/>
              </w:numPr>
              <w:tabs>
                <w:tab w:val="clear" w:pos="720"/>
                <w:tab w:val="num" w:pos="242"/>
              </w:tabs>
              <w:spacing w:after="40"/>
              <w:ind w:left="224" w:hanging="152"/>
              <w:textAlignment w:val="baseline"/>
              <w:rPr>
                <w:rFonts w:eastAsia="Times New Roman" w:cs="Times New Roman"/>
              </w:rPr>
            </w:pPr>
            <w:r>
              <w:rPr>
                <w:rFonts w:eastAsia="Times New Roman" w:cs="Times New Roman"/>
                <w:color w:val="000000"/>
                <w:lang w:val="pt-BR"/>
              </w:rPr>
              <w:t xml:space="preserve">Reuniões de funcionários da escola </w:t>
            </w:r>
          </w:p>
          <w:p w14:paraId="79891629" w14:textId="77777777" w:rsidR="00B75747" w:rsidRPr="00EA039D" w:rsidRDefault="00000000">
            <w:pPr>
              <w:numPr>
                <w:ilvl w:val="0"/>
                <w:numId w:val="71"/>
              </w:numPr>
              <w:tabs>
                <w:tab w:val="clear" w:pos="720"/>
                <w:tab w:val="num" w:pos="242"/>
              </w:tabs>
              <w:spacing w:after="40"/>
              <w:ind w:left="224" w:hanging="152"/>
              <w:textAlignment w:val="baseline"/>
              <w:rPr>
                <w:rFonts w:eastAsia="Times New Roman" w:cs="Times New Roman"/>
              </w:rPr>
            </w:pPr>
            <w:r>
              <w:rPr>
                <w:rFonts w:eastAsia="Times New Roman" w:cs="Times New Roman"/>
                <w:color w:val="000000"/>
                <w:lang w:val="pt-BR"/>
              </w:rPr>
              <w:t xml:space="preserve">Conexões dos pais </w:t>
            </w:r>
          </w:p>
          <w:p w14:paraId="1B24274C" w14:textId="77777777" w:rsidR="00B75747" w:rsidRPr="00EA039D" w:rsidRDefault="00000000">
            <w:pPr>
              <w:numPr>
                <w:ilvl w:val="0"/>
                <w:numId w:val="71"/>
              </w:numPr>
              <w:tabs>
                <w:tab w:val="clear" w:pos="720"/>
                <w:tab w:val="num" w:pos="242"/>
              </w:tabs>
              <w:spacing w:after="40"/>
              <w:ind w:left="224" w:hanging="152"/>
              <w:textAlignment w:val="baseline"/>
              <w:rPr>
                <w:rFonts w:eastAsia="Times New Roman" w:cs="Times New Roman"/>
              </w:rPr>
            </w:pPr>
            <w:r>
              <w:rPr>
                <w:rFonts w:eastAsia="Times New Roman" w:cs="Times New Roman"/>
                <w:color w:val="000000"/>
                <w:lang w:val="pt-BR"/>
              </w:rPr>
              <w:t xml:space="preserve">Acompanhamento da solicitação. </w:t>
            </w:r>
          </w:p>
          <w:p w14:paraId="55044096" w14:textId="77777777" w:rsidR="00B75747" w:rsidRPr="00CC1CB4" w:rsidRDefault="00000000">
            <w:pPr>
              <w:numPr>
                <w:ilvl w:val="0"/>
                <w:numId w:val="71"/>
              </w:numPr>
              <w:tabs>
                <w:tab w:val="clear" w:pos="720"/>
                <w:tab w:val="num" w:pos="242"/>
              </w:tabs>
              <w:spacing w:after="40"/>
              <w:ind w:left="224" w:hanging="152"/>
              <w:textAlignment w:val="baseline"/>
              <w:rPr>
                <w:rFonts w:eastAsia="Times New Roman" w:cs="Times New Roman"/>
                <w:lang w:val="es-ES"/>
              </w:rPr>
            </w:pPr>
            <w:r>
              <w:rPr>
                <w:rFonts w:eastAsia="Times New Roman" w:cs="Times New Roman"/>
                <w:color w:val="000000"/>
                <w:lang w:val="pt-BR"/>
              </w:rPr>
              <w:t xml:space="preserve">Vários métodos de comunicação com os pais (online, folhetos, chamadas etc.). </w:t>
            </w:r>
          </w:p>
        </w:tc>
        <w:tc>
          <w:tcPr>
            <w:tcW w:w="23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2E9A41" w14:textId="77777777" w:rsidR="00B75747" w:rsidRPr="00EA039D" w:rsidRDefault="00000000">
            <w:pPr>
              <w:numPr>
                <w:ilvl w:val="0"/>
                <w:numId w:val="72"/>
              </w:numPr>
              <w:tabs>
                <w:tab w:val="clear" w:pos="720"/>
                <w:tab w:val="num" w:pos="242"/>
              </w:tabs>
              <w:spacing w:after="40"/>
              <w:ind w:left="224" w:hanging="152"/>
              <w:textAlignment w:val="baseline"/>
              <w:rPr>
                <w:rFonts w:eastAsia="Times New Roman" w:cs="Times New Roman"/>
              </w:rPr>
            </w:pPr>
            <w:r>
              <w:rPr>
                <w:rFonts w:eastAsia="Times New Roman" w:cs="Times New Roman"/>
                <w:color w:val="000000"/>
                <w:lang w:val="pt-BR"/>
              </w:rPr>
              <w:t xml:space="preserve">Tempo da equipe </w:t>
            </w:r>
          </w:p>
          <w:p w14:paraId="59E06855" w14:textId="77777777" w:rsidR="00B75747" w:rsidRPr="00EA039D" w:rsidRDefault="00000000">
            <w:pPr>
              <w:numPr>
                <w:ilvl w:val="0"/>
                <w:numId w:val="72"/>
              </w:numPr>
              <w:tabs>
                <w:tab w:val="clear" w:pos="720"/>
                <w:tab w:val="num" w:pos="242"/>
              </w:tabs>
              <w:spacing w:after="40"/>
              <w:ind w:left="224" w:hanging="152"/>
              <w:textAlignment w:val="baseline"/>
              <w:rPr>
                <w:rFonts w:eastAsia="Times New Roman" w:cs="Times New Roman"/>
              </w:rPr>
            </w:pPr>
            <w:r>
              <w:rPr>
                <w:rFonts w:eastAsia="Times New Roman" w:cs="Times New Roman"/>
                <w:color w:val="000000"/>
                <w:lang w:val="pt-BR"/>
              </w:rPr>
              <w:t xml:space="preserve">Materiais educacionais e itens escolares </w:t>
            </w:r>
          </w:p>
          <w:p w14:paraId="110F71FA" w14:textId="77777777" w:rsidR="00B75747" w:rsidRPr="00EA039D" w:rsidRDefault="00000000">
            <w:pPr>
              <w:numPr>
                <w:ilvl w:val="0"/>
                <w:numId w:val="72"/>
              </w:numPr>
              <w:tabs>
                <w:tab w:val="clear" w:pos="720"/>
                <w:tab w:val="num" w:pos="242"/>
              </w:tabs>
              <w:spacing w:after="40"/>
              <w:ind w:left="224" w:hanging="152"/>
              <w:textAlignment w:val="baseline"/>
              <w:rPr>
                <w:rFonts w:eastAsia="Times New Roman" w:cs="Times New Roman"/>
              </w:rPr>
            </w:pPr>
            <w:r>
              <w:rPr>
                <w:rFonts w:eastAsia="Times New Roman" w:cs="Times New Roman"/>
                <w:color w:val="000000"/>
                <w:lang w:val="pt-BR"/>
              </w:rPr>
              <w:t xml:space="preserve">Custos de eventos familiares </w:t>
            </w:r>
          </w:p>
          <w:p w14:paraId="18944948" w14:textId="77777777" w:rsidR="00B75747" w:rsidRPr="00EA039D" w:rsidRDefault="00000000">
            <w:pPr>
              <w:numPr>
                <w:ilvl w:val="0"/>
                <w:numId w:val="72"/>
              </w:numPr>
              <w:tabs>
                <w:tab w:val="clear" w:pos="720"/>
                <w:tab w:val="num" w:pos="242"/>
              </w:tabs>
              <w:spacing w:after="40"/>
              <w:ind w:left="224" w:hanging="152"/>
              <w:textAlignment w:val="baseline"/>
              <w:rPr>
                <w:rFonts w:eastAsia="Times New Roman" w:cs="Times New Roman"/>
              </w:rPr>
            </w:pPr>
            <w:r>
              <w:rPr>
                <w:rFonts w:eastAsia="Times New Roman" w:cs="Times New Roman"/>
                <w:color w:val="000000"/>
                <w:lang w:val="pt-BR"/>
              </w:rPr>
              <w:t xml:space="preserve">Colaboração com parceiros </w:t>
            </w:r>
          </w:p>
        </w:tc>
        <w:tc>
          <w:tcPr>
            <w:tcW w:w="29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CC113F" w14:textId="77777777" w:rsidR="00B75747" w:rsidRPr="00EA039D" w:rsidRDefault="00000000">
            <w:pPr>
              <w:numPr>
                <w:ilvl w:val="0"/>
                <w:numId w:val="73"/>
              </w:numPr>
              <w:tabs>
                <w:tab w:val="clear" w:pos="720"/>
                <w:tab w:val="num" w:pos="242"/>
              </w:tabs>
              <w:spacing w:after="40"/>
              <w:ind w:left="224" w:hanging="152"/>
              <w:textAlignment w:val="baseline"/>
              <w:rPr>
                <w:rFonts w:eastAsia="Times New Roman" w:cs="Times New Roman"/>
              </w:rPr>
            </w:pPr>
            <w:r>
              <w:rPr>
                <w:rFonts w:eastAsia="Times New Roman" w:cs="Times New Roman"/>
                <w:color w:val="000000"/>
                <w:lang w:val="pt-BR"/>
              </w:rPr>
              <w:t xml:space="preserve">Folhas de presença </w:t>
            </w:r>
          </w:p>
          <w:p w14:paraId="2EBE594E" w14:textId="77777777" w:rsidR="00B75747" w:rsidRPr="00EA039D" w:rsidRDefault="00000000">
            <w:pPr>
              <w:numPr>
                <w:ilvl w:val="0"/>
                <w:numId w:val="73"/>
              </w:numPr>
              <w:tabs>
                <w:tab w:val="clear" w:pos="720"/>
                <w:tab w:val="num" w:pos="242"/>
              </w:tabs>
              <w:spacing w:after="40"/>
              <w:ind w:left="224" w:hanging="152"/>
              <w:textAlignment w:val="baseline"/>
              <w:rPr>
                <w:rFonts w:eastAsia="Times New Roman" w:cs="Times New Roman"/>
              </w:rPr>
            </w:pPr>
            <w:r>
              <w:rPr>
                <w:rFonts w:eastAsia="Times New Roman" w:cs="Times New Roman"/>
                <w:color w:val="000000"/>
                <w:lang w:val="pt-BR"/>
              </w:rPr>
              <w:t xml:space="preserve">Pesquisas com os pais </w:t>
            </w:r>
          </w:p>
          <w:p w14:paraId="5774E0BF" w14:textId="77777777" w:rsidR="00B75747" w:rsidRPr="00EA039D" w:rsidRDefault="00000000">
            <w:pPr>
              <w:numPr>
                <w:ilvl w:val="0"/>
                <w:numId w:val="73"/>
              </w:numPr>
              <w:tabs>
                <w:tab w:val="clear" w:pos="720"/>
                <w:tab w:val="num" w:pos="242"/>
              </w:tabs>
              <w:spacing w:after="40"/>
              <w:ind w:left="224" w:hanging="152"/>
              <w:textAlignment w:val="baseline"/>
              <w:rPr>
                <w:rFonts w:eastAsia="Times New Roman" w:cs="Times New Roman"/>
              </w:rPr>
            </w:pPr>
            <w:r>
              <w:rPr>
                <w:rFonts w:eastAsia="Times New Roman" w:cs="Times New Roman"/>
                <w:color w:val="000000"/>
                <w:lang w:val="pt-BR"/>
              </w:rPr>
              <w:t xml:space="preserve">Agendas </w:t>
            </w:r>
          </w:p>
          <w:p w14:paraId="39DEF04E" w14:textId="77777777" w:rsidR="00B75747" w:rsidRPr="00EA039D" w:rsidRDefault="00000000">
            <w:pPr>
              <w:numPr>
                <w:ilvl w:val="0"/>
                <w:numId w:val="73"/>
              </w:numPr>
              <w:tabs>
                <w:tab w:val="clear" w:pos="720"/>
                <w:tab w:val="num" w:pos="242"/>
              </w:tabs>
              <w:spacing w:after="40"/>
              <w:ind w:left="224" w:hanging="152"/>
              <w:textAlignment w:val="baseline"/>
              <w:rPr>
                <w:rFonts w:eastAsia="Times New Roman" w:cs="Times New Roman"/>
              </w:rPr>
            </w:pPr>
            <w:r>
              <w:rPr>
                <w:rFonts w:eastAsia="Times New Roman" w:cs="Times New Roman"/>
                <w:color w:val="000000"/>
                <w:lang w:val="pt-BR"/>
              </w:rPr>
              <w:t xml:space="preserve">Observações </w:t>
            </w:r>
          </w:p>
          <w:p w14:paraId="38B5AFE9" w14:textId="77777777" w:rsidR="00B75747" w:rsidRPr="00EA039D" w:rsidRDefault="00000000">
            <w:pPr>
              <w:numPr>
                <w:ilvl w:val="0"/>
                <w:numId w:val="73"/>
              </w:numPr>
              <w:tabs>
                <w:tab w:val="clear" w:pos="720"/>
                <w:tab w:val="num" w:pos="242"/>
              </w:tabs>
              <w:spacing w:after="40"/>
              <w:ind w:left="224" w:hanging="152"/>
              <w:textAlignment w:val="baseline"/>
              <w:rPr>
                <w:rFonts w:eastAsia="Times New Roman" w:cs="Times New Roman"/>
              </w:rPr>
            </w:pPr>
            <w:r>
              <w:rPr>
                <w:rFonts w:eastAsia="Times New Roman" w:cs="Times New Roman"/>
                <w:color w:val="000000"/>
                <w:lang w:val="pt-BR"/>
              </w:rPr>
              <w:t xml:space="preserve">Avaliações </w:t>
            </w:r>
          </w:p>
          <w:p w14:paraId="2D2A53BD" w14:textId="77777777" w:rsidR="00B75747" w:rsidRPr="00EA039D" w:rsidRDefault="00000000">
            <w:pPr>
              <w:numPr>
                <w:ilvl w:val="0"/>
                <w:numId w:val="73"/>
              </w:numPr>
              <w:tabs>
                <w:tab w:val="clear" w:pos="720"/>
                <w:tab w:val="num" w:pos="242"/>
              </w:tabs>
              <w:spacing w:after="40"/>
              <w:ind w:left="224" w:hanging="152"/>
              <w:textAlignment w:val="baseline"/>
              <w:rPr>
                <w:rFonts w:eastAsia="Times New Roman" w:cs="Times New Roman"/>
              </w:rPr>
            </w:pPr>
            <w:r>
              <w:rPr>
                <w:rFonts w:eastAsia="Times New Roman" w:cs="Times New Roman"/>
                <w:color w:val="000000"/>
                <w:lang w:val="pt-BR"/>
              </w:rPr>
              <w:t xml:space="preserve">Registros fiscais </w:t>
            </w:r>
          </w:p>
          <w:p w14:paraId="4BDB482F" w14:textId="77777777" w:rsidR="00B75747" w:rsidRPr="00CC1CB4" w:rsidRDefault="00000000">
            <w:pPr>
              <w:numPr>
                <w:ilvl w:val="0"/>
                <w:numId w:val="73"/>
              </w:numPr>
              <w:tabs>
                <w:tab w:val="clear" w:pos="720"/>
                <w:tab w:val="num" w:pos="242"/>
              </w:tabs>
              <w:spacing w:after="40"/>
              <w:ind w:left="224" w:hanging="152"/>
              <w:textAlignment w:val="baseline"/>
              <w:rPr>
                <w:rFonts w:eastAsia="Times New Roman" w:cs="Times New Roman"/>
                <w:lang w:val="es-ES"/>
              </w:rPr>
            </w:pPr>
            <w:r>
              <w:rPr>
                <w:rFonts w:eastAsia="Times New Roman" w:cs="Times New Roman"/>
                <w:color w:val="000000"/>
                <w:lang w:val="pt-BR"/>
              </w:rPr>
              <w:t xml:space="preserve">Resumo e registro de necessidades e serviços. </w:t>
            </w:r>
          </w:p>
        </w:tc>
      </w:tr>
    </w:tbl>
    <w:p w14:paraId="12A626E3" w14:textId="77777777" w:rsidR="00F8767B" w:rsidRPr="00CC1CB4" w:rsidRDefault="00000000" w:rsidP="00F94AE0">
      <w:pPr>
        <w:keepNext/>
        <w:keepLines/>
        <w:spacing w:after="40"/>
        <w:rPr>
          <w:rFonts w:ascii="Segoe UI" w:eastAsia="Times New Roman" w:hAnsi="Segoe UI" w:cs="Segoe UI"/>
          <w:sz w:val="18"/>
          <w:szCs w:val="18"/>
          <w:lang w:val="es-ES"/>
        </w:rPr>
        <w:sectPr w:rsidR="00F8767B" w:rsidRPr="00CC1CB4" w:rsidSect="00F8767B">
          <w:pgSz w:w="15840" w:h="12240" w:orient="landscape"/>
          <w:pgMar w:top="1440" w:right="1440" w:bottom="1440" w:left="1440" w:header="720" w:footer="720" w:gutter="0"/>
          <w:cols w:space="720"/>
          <w:docGrid w:linePitch="360"/>
        </w:sectPr>
      </w:pPr>
      <w:r w:rsidRPr="00CC1CB4">
        <w:rPr>
          <w:rFonts w:ascii="Aptos" w:eastAsia="Times New Roman" w:hAnsi="Aptos" w:cs="Segoe UI"/>
          <w:lang w:val="es-ES"/>
        </w:rPr>
        <w:t xml:space="preserve"> </w:t>
      </w:r>
    </w:p>
    <w:p w14:paraId="0B2E8E7C" w14:textId="77777777" w:rsidR="00D740EA" w:rsidRPr="00CC1CB4" w:rsidRDefault="00000000" w:rsidP="00856537">
      <w:pPr>
        <w:pStyle w:val="A30"/>
      </w:pPr>
      <w:bookmarkStart w:id="132" w:name="_Toc199403739"/>
      <w:r>
        <w:lastRenderedPageBreak/>
        <w:t>Planejamento conjunto e integração de serviços</w:t>
      </w:r>
      <w:bookmarkEnd w:id="132"/>
      <w:r>
        <w:t xml:space="preserve"> </w:t>
      </w:r>
    </w:p>
    <w:p w14:paraId="141CF17C" w14:textId="77777777" w:rsidR="00D740EA" w:rsidRPr="00CC1CB4" w:rsidRDefault="00000000" w:rsidP="004D2055">
      <w:pPr>
        <w:rPr>
          <w:rFonts w:ascii="Segoe UI" w:hAnsi="Segoe UI" w:cs="Segoe UI"/>
          <w:sz w:val="18"/>
          <w:szCs w:val="18"/>
          <w:lang w:val="es-ES"/>
        </w:rPr>
      </w:pPr>
      <w:r>
        <w:rPr>
          <w:rStyle w:val="normaltextrun"/>
          <w:rFonts w:eastAsia="Times New Roman" w:cs="Arial"/>
          <w:lang w:val="pt-BR"/>
        </w:rPr>
        <w:t xml:space="preserve">O coordenador do MEP do NJDOE fica no Escritório de Programas Educacionais Complementares, que também abriga funcionários responsáveis pela implementação do Título I, Parte A, Título III, Parte A e da Education for Homeless Children and Youth. Por meio de reuniões formais semanais de equipe e conversas informais, o coordenador do MEP colabora no desenvolvimento de políticas, desenvolvimento de programas e implementação de programas para atender às necessidades de alunos migrantes que são alunos multilíngues. Para formalizar ainda mais o planejamento conjunto, o Escritório de Programas Educacionais Suplementares designa anualmente um membro da equipe das LOAs regionais para atuar como ex-membro oficial do Comitê Consultivo Bilíngue do Estado, que é autorizado pelo Código Administrativo de Nova Jersey (N.J.A.C.). </w:t>
      </w:r>
    </w:p>
    <w:p w14:paraId="3568CBA2" w14:textId="77777777" w:rsidR="00D740EA" w:rsidRPr="00CC1CB4" w:rsidRDefault="00000000" w:rsidP="004D2055">
      <w:pPr>
        <w:rPr>
          <w:rFonts w:ascii="Segoe UI" w:hAnsi="Segoe UI" w:cs="Segoe UI"/>
          <w:sz w:val="18"/>
          <w:szCs w:val="18"/>
          <w:lang w:val="es-ES"/>
        </w:rPr>
      </w:pPr>
      <w:r>
        <w:rPr>
          <w:rStyle w:val="normaltextrun"/>
          <w:rFonts w:eastAsia="Times New Roman" w:cs="Arial"/>
          <w:lang w:val="pt-BR"/>
        </w:rPr>
        <w:t xml:space="preserve">Para apoiar ainda mais as necessidades de crianças migratórias, o Título I do NJDOE, Parte C MEP, planeja conjuntamente entre programas educacionais locais, estaduais e federais, incluindo LIEPs sob o Título III, Parte A e planeja a integração dos serviços disponíveis sob o Título I, Parte C com serviços fornecidos por outros programas, incluindo McKinney-Vento. Deve-se observar que, embora os alunos migratórios não sejam elegíveis categoricamente para os serviços da McKinney-Vento, os alunos migratórios que vivem em uma residência noturna primária que não seja fixa, regular e adequada são elegíveis. Além disso, o Comitê Consultivo para Programas Financiados pelo Governo Federal (Advisory Committee for Federally Funded Programs, ACFFP) do NJDOE fornece informações sobre o planejamento para os MEPs e inclui um representante concedido às LOAs. Isso garante a colaboração e a interação com o Título I, Parte A. </w:t>
      </w:r>
    </w:p>
    <w:p w14:paraId="1058D86D" w14:textId="77777777" w:rsidR="00D740EA" w:rsidRPr="00CC1CB4" w:rsidRDefault="00000000" w:rsidP="004D2055">
      <w:pPr>
        <w:rPr>
          <w:rFonts w:ascii="Segoe UI" w:hAnsi="Segoe UI" w:cs="Segoe UI"/>
          <w:sz w:val="18"/>
          <w:szCs w:val="18"/>
          <w:lang w:val="es-ES"/>
        </w:rPr>
      </w:pPr>
      <w:r>
        <w:rPr>
          <w:rStyle w:val="normaltextrun"/>
          <w:rFonts w:eastAsia="Times New Roman" w:cs="Arial"/>
          <w:lang w:val="pt-BR"/>
        </w:rPr>
        <w:t xml:space="preserve">O coordenador do MEP de Nova Jersey também é membro do Conselho de Nova Jersey para Crianças Jovens (New Jersey Council for Young Children, NJCYC.) O NJCYC foi criado por uma ordem executiva de 2010 e atua como um “conselho consultivo estadual para cuidados precoces e educação, conforme autorizado na Lei de Melhoria do Início da Liderança para Prontidão Escolar de 2007”. A inclusão do coordenador do MEP garante que o NJCYC esteja ciente e considere as necessidades das crianças pré-escolares migrantes em seu conselho ao governador. O coordenador do MEP, por sua vez, pode incorporar o trabalho do NJCYC ao MEP do NJDOE. </w:t>
      </w:r>
    </w:p>
    <w:p w14:paraId="3B738785" w14:textId="77777777" w:rsidR="00F94AE0" w:rsidRPr="00CC1CB4" w:rsidRDefault="00000000" w:rsidP="004D2055">
      <w:pPr>
        <w:rPr>
          <w:lang w:val="es-ES"/>
        </w:rPr>
      </w:pPr>
      <w:r>
        <w:rPr>
          <w:rStyle w:val="normaltextrun"/>
          <w:rFonts w:eastAsia="Times New Roman" w:cs="Arial"/>
          <w:lang w:val="pt-BR"/>
        </w:rPr>
        <w:t xml:space="preserve">Além disso, o NJDOE implementa o planejamento conjunto entre programas educacionais locais, estaduais e federais por meio do monitoramento das LOAs concedidas pelo estado. Os projetos devem implementar programas e estratégias designados em colaboração com as LEAs que inscrevam estudantes migrantes, agências de serviços sociais e provedores de assistência à saúde. Especificamente, os projetos das LOAs atribuídas devem incluir o pessoal da LEA no planejamento e operação do MEP e divulgar informações sobre as necessidades educacionais das crianças migrantes para o pessoal designado da LEA, como enfermeiros escolares, conselheiros escolares e administradores de programas federais. Além disso, os projetos das LOAs atribuídas devem desenvolver acordos de articulação com programas instrucionais suplementares (por exemplo, Título I, Título III e Centros de Aprendizagem Comunitários do Século 21 (21st CCLCs), quando aplicável) para maximizar o acesso dos alunos migrantes aos serviços educacionais necessários. </w:t>
      </w:r>
    </w:p>
    <w:p w14:paraId="5A22BC73" w14:textId="77777777" w:rsidR="00D740EA" w:rsidRPr="00CC1CB4" w:rsidRDefault="00000000" w:rsidP="00856537">
      <w:pPr>
        <w:pStyle w:val="A30"/>
      </w:pPr>
      <w:bookmarkStart w:id="133" w:name="_Toc199403740"/>
      <w:r>
        <w:lastRenderedPageBreak/>
        <w:t>Abordando as necessidades de crianças migratórias na pré-escola</w:t>
      </w:r>
      <w:bookmarkEnd w:id="133"/>
      <w:r>
        <w:t xml:space="preserve"> </w:t>
      </w:r>
    </w:p>
    <w:p w14:paraId="01A47E65" w14:textId="77777777" w:rsidR="00D740EA" w:rsidRPr="00CC1CB4" w:rsidRDefault="00000000" w:rsidP="004D2055">
      <w:pPr>
        <w:rPr>
          <w:rFonts w:ascii="Segoe UI" w:hAnsi="Segoe UI" w:cs="Segoe UI"/>
          <w:sz w:val="18"/>
          <w:szCs w:val="18"/>
          <w:lang w:val="es-ES"/>
        </w:rPr>
      </w:pPr>
      <w:r>
        <w:rPr>
          <w:rStyle w:val="normaltextrun"/>
          <w:rFonts w:eastAsia="Times New Roman" w:cs="Arial"/>
          <w:lang w:val="pt-BR"/>
        </w:rPr>
        <w:t xml:space="preserve">O NJDOE aborda as necessidades exclusivas de crianças migratórias na pré-escola, conforme articulado em seu Plano de prestação de serviços do MEP e por meio de atividades implementadas por suas LOAs atribuídas. Para cumprir a meta do MEP de Nova Jersey de fechar lacunas em experiências de aprendizagem pré-escolar e desenvolvimento de linguagem para estudantes migrantes, cada projeto deve: </w:t>
      </w:r>
    </w:p>
    <w:p w14:paraId="1E918A69" w14:textId="77777777" w:rsidR="00D740EA" w:rsidRPr="00CC1CB4" w:rsidRDefault="00000000">
      <w:pPr>
        <w:pStyle w:val="a6"/>
        <w:numPr>
          <w:ilvl w:val="0"/>
          <w:numId w:val="188"/>
        </w:numPr>
        <w:spacing w:after="120"/>
        <w:contextualSpacing w:val="0"/>
        <w:rPr>
          <w:lang w:val="es-ES"/>
        </w:rPr>
      </w:pPr>
      <w:r>
        <w:rPr>
          <w:rStyle w:val="normaltextrun"/>
          <w:rFonts w:eastAsia="Times New Roman" w:cs="Arial"/>
          <w:lang w:val="pt-BR"/>
        </w:rPr>
        <w:t xml:space="preserve">estabelecer procedimentos para identificar e recrutar crianças migrantes elegíveis em idade pré-escolar que residam nos limites geográficos do projeto para matrícula na escola e oportunidades de instrução suplementares; </w:t>
      </w:r>
    </w:p>
    <w:p w14:paraId="5077ADF2" w14:textId="77777777" w:rsidR="00D740EA" w:rsidRPr="00CC1CB4" w:rsidRDefault="00000000">
      <w:pPr>
        <w:pStyle w:val="a6"/>
        <w:numPr>
          <w:ilvl w:val="0"/>
          <w:numId w:val="188"/>
        </w:numPr>
        <w:spacing w:after="120"/>
        <w:contextualSpacing w:val="0"/>
        <w:rPr>
          <w:lang w:val="es-ES"/>
        </w:rPr>
      </w:pPr>
      <w:r>
        <w:rPr>
          <w:rStyle w:val="normaltextrun"/>
          <w:rFonts w:eastAsia="Times New Roman" w:cs="Arial"/>
          <w:lang w:val="pt-BR"/>
        </w:rPr>
        <w:t xml:space="preserve">prestar serviços de instrução, saúde e outros serviços de apoio para crianças migrantes elegíveis na pré-escola no programa de instrução de verão; </w:t>
      </w:r>
    </w:p>
    <w:p w14:paraId="1A58ED0D" w14:textId="77777777" w:rsidR="00D740EA" w:rsidRPr="00CC1CB4" w:rsidRDefault="00000000">
      <w:pPr>
        <w:pStyle w:val="a6"/>
        <w:numPr>
          <w:ilvl w:val="0"/>
          <w:numId w:val="188"/>
        </w:numPr>
        <w:spacing w:after="120"/>
        <w:contextualSpacing w:val="0"/>
        <w:rPr>
          <w:lang w:val="es-ES"/>
        </w:rPr>
      </w:pPr>
      <w:r>
        <w:rPr>
          <w:rStyle w:val="normaltextrun"/>
          <w:rFonts w:eastAsia="Times New Roman" w:cs="Arial"/>
          <w:lang w:val="pt-BR"/>
        </w:rPr>
        <w:t xml:space="preserve">incluir crianças migrantes elegíveis na pré-escola no programa instrucional de verão para melhorar suas habilidades de prontidão escolar; </w:t>
      </w:r>
    </w:p>
    <w:p w14:paraId="608ADC7E" w14:textId="77777777" w:rsidR="00D740EA" w:rsidRPr="00CC1CB4" w:rsidRDefault="00000000">
      <w:pPr>
        <w:pStyle w:val="a6"/>
        <w:numPr>
          <w:ilvl w:val="0"/>
          <w:numId w:val="188"/>
        </w:numPr>
        <w:spacing w:after="120"/>
        <w:contextualSpacing w:val="0"/>
        <w:rPr>
          <w:lang w:val="es-ES"/>
        </w:rPr>
      </w:pPr>
      <w:r>
        <w:rPr>
          <w:rStyle w:val="normaltextrun"/>
          <w:rFonts w:eastAsia="Times New Roman" w:cs="Arial"/>
          <w:lang w:val="pt-BR"/>
        </w:rPr>
        <w:t xml:space="preserve">fornecer educação infantil com foco no desenvolvimento de línguas domésticas e/ou inglesas em escolas de verão migrantes; </w:t>
      </w:r>
    </w:p>
    <w:p w14:paraId="4A39C6A2" w14:textId="77777777" w:rsidR="00D740EA" w:rsidRPr="00CC1CB4" w:rsidRDefault="00000000">
      <w:pPr>
        <w:pStyle w:val="a6"/>
        <w:numPr>
          <w:ilvl w:val="0"/>
          <w:numId w:val="188"/>
        </w:numPr>
        <w:spacing w:after="120"/>
        <w:contextualSpacing w:val="0"/>
        <w:rPr>
          <w:lang w:val="es-ES"/>
        </w:rPr>
      </w:pPr>
      <w:r>
        <w:rPr>
          <w:rStyle w:val="normaltextrun"/>
          <w:rFonts w:eastAsia="Times New Roman" w:cs="Arial"/>
          <w:lang w:val="pt-BR"/>
        </w:rPr>
        <w:t xml:space="preserve">auxiliar os pais com a inscrição em programas de educação infantil; </w:t>
      </w:r>
    </w:p>
    <w:p w14:paraId="25860E2B" w14:textId="77777777" w:rsidR="00D740EA" w:rsidRPr="00CC1CB4" w:rsidRDefault="00000000">
      <w:pPr>
        <w:pStyle w:val="a6"/>
        <w:numPr>
          <w:ilvl w:val="0"/>
          <w:numId w:val="188"/>
        </w:numPr>
        <w:spacing w:after="120"/>
        <w:contextualSpacing w:val="0"/>
        <w:rPr>
          <w:lang w:val="es-ES"/>
        </w:rPr>
      </w:pPr>
      <w:r>
        <w:rPr>
          <w:rStyle w:val="normaltextrun"/>
          <w:rFonts w:eastAsia="Times New Roman" w:cs="Arial"/>
          <w:lang w:val="pt-BR"/>
        </w:rPr>
        <w:t xml:space="preserve">negociar acordos formais com provedores de educação infantil para reservar lugares para crianças migrantes. </w:t>
      </w:r>
    </w:p>
    <w:p w14:paraId="22DA4EE1" w14:textId="77777777" w:rsidR="00D740EA" w:rsidRPr="00CC1CB4" w:rsidRDefault="00000000" w:rsidP="004D2055">
      <w:pPr>
        <w:rPr>
          <w:rFonts w:ascii="Segoe UI" w:hAnsi="Segoe UI" w:cs="Segoe UI"/>
          <w:sz w:val="18"/>
          <w:szCs w:val="18"/>
          <w:lang w:val="es-ES"/>
        </w:rPr>
      </w:pPr>
      <w:r>
        <w:rPr>
          <w:rStyle w:val="normaltextrun"/>
          <w:rFonts w:eastAsia="Times New Roman" w:cs="Arial"/>
          <w:lang w:val="pt-BR"/>
        </w:rPr>
        <w:t xml:space="preserve">Além disso, o Plano de prestação de serviços do MEP do NJDOE descreve metas específicas, objetivos mensuráveis e estratégias para atender às necessidades exclusivas de crianças migratórias na pré-escola identificadas na mais recente avaliação abrangente de necessidades em todo o estado (consulte a Área n.o 2 acima para obter detalhes). </w:t>
      </w:r>
    </w:p>
    <w:p w14:paraId="2C10DD9D" w14:textId="77777777" w:rsidR="00D740EA" w:rsidRPr="00CC1CB4" w:rsidRDefault="00000000" w:rsidP="00856537">
      <w:pPr>
        <w:pStyle w:val="A30"/>
      </w:pPr>
      <w:bookmarkStart w:id="134" w:name="_Toc199403741"/>
      <w:r>
        <w:t>Abordando as necessidades de crianças migratórias que saíram da escola</w:t>
      </w:r>
      <w:bookmarkEnd w:id="134"/>
      <w:r>
        <w:t xml:space="preserve"> </w:t>
      </w:r>
    </w:p>
    <w:p w14:paraId="1E129BA4" w14:textId="77777777" w:rsidR="00D740EA" w:rsidRPr="00CC1CB4" w:rsidRDefault="00000000" w:rsidP="004D2055">
      <w:pPr>
        <w:rPr>
          <w:rFonts w:ascii="Segoe UI" w:hAnsi="Segoe UI" w:cs="Segoe UI"/>
          <w:sz w:val="18"/>
          <w:szCs w:val="18"/>
          <w:lang w:val="es-ES"/>
        </w:rPr>
      </w:pPr>
      <w:r>
        <w:rPr>
          <w:rStyle w:val="normaltextrun"/>
          <w:rFonts w:eastAsia="Times New Roman" w:cs="Arial"/>
          <w:lang w:val="pt-BR"/>
        </w:rPr>
        <w:t xml:space="preserve">Para atender às necessidades exclusivas de crianças migratórias que abandonaram a escola, os projetos das LOAs atribuídas de Nova Jersey implementam atividades para atender à meta estadual de aumentar o acesso à instrução para jovens fora da escola para melhorar suas habilidades básicas de vida. Especificamente, cada projeto deve fornecer informações e instruções para jovens fora da escola sobre serviços comunitários, elegibilidade para serviços e maneiras de acessar serviços. </w:t>
      </w:r>
    </w:p>
    <w:p w14:paraId="4AE9A09E" w14:textId="77777777" w:rsidR="00D740EA" w:rsidRPr="00CC1CB4" w:rsidRDefault="00000000" w:rsidP="004D2055">
      <w:pPr>
        <w:rPr>
          <w:rFonts w:ascii="Segoe UI" w:hAnsi="Segoe UI" w:cs="Segoe UI"/>
          <w:sz w:val="18"/>
          <w:szCs w:val="18"/>
          <w:lang w:val="es-ES"/>
        </w:rPr>
      </w:pPr>
      <w:r>
        <w:rPr>
          <w:rStyle w:val="normaltextrun"/>
          <w:rFonts w:eastAsia="Times New Roman" w:cs="Arial"/>
          <w:lang w:val="pt-BR"/>
        </w:rPr>
        <w:t xml:space="preserve">Além disso, o Plano de prestação de serviços do MEP do NJDOE descreve metas específicas, objetivos mensuráveis e estratégias para atender às necessidades exclusivas de crianças migratórias que deixaram a escola e que foram identificadas na mais recente avaliação abrangente de necessidades em todo o estado (consulte a Área 3 acima para obter detalhes). </w:t>
      </w:r>
    </w:p>
    <w:p w14:paraId="7FC3B685" w14:textId="77777777" w:rsidR="00D740EA" w:rsidRPr="00CC1CB4" w:rsidRDefault="00000000" w:rsidP="00856537">
      <w:pPr>
        <w:pStyle w:val="A30"/>
      </w:pPr>
      <w:bookmarkStart w:id="135" w:name="_Toc199403742"/>
      <w:r>
        <w:rPr>
          <w:rStyle w:val="normaltextrun"/>
        </w:rPr>
        <w:t>Avaliação do Título I, Parte C do Programa</w:t>
      </w:r>
      <w:bookmarkEnd w:id="135"/>
      <w:r>
        <w:rPr>
          <w:rStyle w:val="normaltextrun"/>
        </w:rPr>
        <w:t xml:space="preserve"> </w:t>
      </w:r>
    </w:p>
    <w:p w14:paraId="123E0674" w14:textId="77777777" w:rsidR="00D740EA" w:rsidRPr="00CC1CB4" w:rsidRDefault="00000000" w:rsidP="004D2055">
      <w:pPr>
        <w:rPr>
          <w:rFonts w:ascii="Segoe UI" w:hAnsi="Segoe UI" w:cs="Segoe UI"/>
          <w:sz w:val="18"/>
          <w:szCs w:val="18"/>
          <w:lang w:val="es-ES"/>
        </w:rPr>
      </w:pPr>
      <w:r>
        <w:rPr>
          <w:rStyle w:val="normaltextrun"/>
          <w:rFonts w:eastAsia="Times New Roman" w:cs="Arial"/>
          <w:lang w:val="pt-BR"/>
        </w:rPr>
        <w:t xml:space="preserve">A avaliação do MEP de Nova Jersey é concluída pelo NJDOE com a assistência de um avaliador externo que tem conhecimento sobre educação de migrantes, design de avaliação, requisitos federais de relatórios e diretrizes do Escritório de Educação de Migrantes, o contexto do estado e a operação do MEP de Nova </w:t>
      </w:r>
      <w:r>
        <w:rPr>
          <w:rStyle w:val="normaltextrun"/>
          <w:rFonts w:eastAsia="Times New Roman" w:cs="Arial"/>
          <w:lang w:val="pt-BR"/>
        </w:rPr>
        <w:lastRenderedPageBreak/>
        <w:t xml:space="preserve">Jersey. A avaliação coleta sistematicamente informações para melhorar o programa e ajudar o estado a tomar decisões sobre melhoria e sucesso do programa. </w:t>
      </w:r>
    </w:p>
    <w:p w14:paraId="708A469C" w14:textId="77777777" w:rsidR="00D740EA" w:rsidRPr="00CC1CB4" w:rsidRDefault="00000000" w:rsidP="004D2055">
      <w:pPr>
        <w:rPr>
          <w:rFonts w:ascii="Segoe UI" w:hAnsi="Segoe UI" w:cs="Segoe UI"/>
          <w:sz w:val="18"/>
          <w:szCs w:val="18"/>
          <w:lang w:val="es-ES"/>
        </w:rPr>
      </w:pPr>
      <w:r>
        <w:rPr>
          <w:rStyle w:val="normaltextrun"/>
          <w:rFonts w:eastAsia="Times New Roman" w:cs="Arial"/>
          <w:lang w:val="pt-BR"/>
        </w:rPr>
        <w:t xml:space="preserve">A avaliação relata dados de implementação e resultados para determinar até que ponto os MPOs para o MEP em ELA, matemática, prontidão para a escola, formação no ensino médio, realização de jovens fora da escola e serviços de apoio foram abordados e atendidos. </w:t>
      </w:r>
    </w:p>
    <w:p w14:paraId="03C3D0E7" w14:textId="77777777" w:rsidR="00D740EA" w:rsidRPr="00CC1CB4" w:rsidRDefault="00000000" w:rsidP="004D2055">
      <w:pPr>
        <w:rPr>
          <w:rFonts w:ascii="Segoe UI" w:hAnsi="Segoe UI" w:cs="Segoe UI"/>
          <w:sz w:val="18"/>
          <w:szCs w:val="18"/>
          <w:lang w:val="es-ES"/>
        </w:rPr>
      </w:pPr>
      <w:r>
        <w:rPr>
          <w:rStyle w:val="normaltextrun"/>
          <w:rFonts w:eastAsia="Times New Roman" w:cs="Arial"/>
          <w:lang w:val="pt-BR"/>
        </w:rPr>
        <w:t xml:space="preserve">Os dados sobre crianças e serviços migratórios são coletados pelo estado de cada uma de suas LOAs. As fontes de dados incluem pais migratórios, recrutadores, administradores de programas migrantes e outros funcionários, conforme apropriado. Além disso, o estado trabalha com o avaliador do MEP para desenvolver uma rubrica de Fidelidade de implementação de estratégia para classificar até que ponto a implementação local de estratégias se alinha com as descrições de estratégia no Plano de prestação de serviços. As LOAs usam o formulário para documentar métodos de implementação da estratégia e evidências mantidas localmente em relação à participação. Cada projeto conclui a Fidelidade da implementação da estratégia pelo menos uma vez por ano. </w:t>
      </w:r>
    </w:p>
    <w:p w14:paraId="0A31D5B5" w14:textId="77777777" w:rsidR="00D740EA" w:rsidRPr="00CC1CB4" w:rsidRDefault="00000000" w:rsidP="004D2055">
      <w:pPr>
        <w:rPr>
          <w:rFonts w:ascii="Segoe UI" w:hAnsi="Segoe UI" w:cs="Segoe UI"/>
          <w:sz w:val="18"/>
          <w:szCs w:val="18"/>
          <w:lang w:val="es-ES"/>
        </w:rPr>
      </w:pPr>
      <w:r>
        <w:rPr>
          <w:rStyle w:val="normaltextrun"/>
          <w:rFonts w:eastAsia="Times New Roman" w:cs="Arial"/>
          <w:lang w:val="pt-BR"/>
        </w:rPr>
        <w:t xml:space="preserve">As informações usadas para concluir a Fidelidade da implementação da estratégia incluem dados de pesquisas, grupos de foco, entrevistas estruturadas e revisões de registros (incluindo resultados de avaliação relatados por meio do sistema de coleta e relatório de dados do estado). Assim que os projetos anuais forem concluídos, os procedimentos de análise de dados incluem estatísticas descritivas baseadas nos dados demográficos migratórios de crianças de Nova Jersey, implementação do programa e resultados de alunos e programas. As médias e frequências são calculadas, os testes de significância estatística são então concluídos e as análises de tendências são conduzidas em respostas abertas das partes interessadas. </w:t>
      </w:r>
    </w:p>
    <w:p w14:paraId="34E0458A" w14:textId="77777777" w:rsidR="00D740EA" w:rsidRPr="00CC1CB4" w:rsidRDefault="00000000" w:rsidP="004D2055">
      <w:pPr>
        <w:rPr>
          <w:rFonts w:ascii="Segoe UI" w:hAnsi="Segoe UI" w:cs="Segoe UI"/>
          <w:sz w:val="18"/>
          <w:szCs w:val="18"/>
          <w:lang w:val="es-ES"/>
        </w:rPr>
      </w:pPr>
      <w:r>
        <w:rPr>
          <w:rStyle w:val="normaltextrun"/>
          <w:rFonts w:eastAsia="Times New Roman" w:cs="Arial"/>
          <w:lang w:val="pt-BR"/>
        </w:rPr>
        <w:t xml:space="preserve">Para cumprir as diretrizes federais, a avaliação anual dos resultados de desempenho do MEP de Nova Jersey também informa a tomada de decisão da agência educacional estadual (SEA). A avaliação inclui dados de resultados de desempenho sobre as metas de desempenho estaduais relacionadas às metas de desempenho 1 a 4, quaisquer metas de desempenho adicionais identificadas pelos indicadores da lei estadual, de desempenho e resultados do governo (Government Performance and Results Act, GPRA) do MEP e os MPOs do MEP; resultados de implementação; e implicações e recomendações para melhoria dos serviços com base nos resultados de implementação e dados de resultados de desempenho. </w:t>
      </w:r>
    </w:p>
    <w:p w14:paraId="1AD88F3C" w14:textId="77777777" w:rsidR="00D740EA" w:rsidRPr="00CC1CB4" w:rsidRDefault="00000000" w:rsidP="00856537">
      <w:pPr>
        <w:pStyle w:val="A30"/>
      </w:pPr>
      <w:bookmarkStart w:id="136" w:name="_Toc199403743"/>
      <w:r>
        <w:t>Sistema de identificação e recrutamento</w:t>
      </w:r>
      <w:bookmarkEnd w:id="136"/>
      <w:r>
        <w:t xml:space="preserve"> </w:t>
      </w:r>
    </w:p>
    <w:p w14:paraId="00FBAAF2" w14:textId="77777777" w:rsidR="00D740EA" w:rsidRPr="00CC1CB4" w:rsidRDefault="00000000" w:rsidP="004D2055">
      <w:pPr>
        <w:rPr>
          <w:rFonts w:ascii="Segoe UI" w:hAnsi="Segoe UI" w:cs="Segoe UI"/>
          <w:sz w:val="18"/>
          <w:szCs w:val="18"/>
          <w:lang w:val="es-ES"/>
        </w:rPr>
      </w:pPr>
      <w:r>
        <w:rPr>
          <w:rStyle w:val="normaltextrun"/>
          <w:rFonts w:eastAsia="Times New Roman" w:cs="Arial"/>
          <w:lang w:val="pt-BR"/>
        </w:rPr>
        <w:t xml:space="preserve">O Manual de ID&amp;R é um documento de trabalho, ou seja, atualizações e adições estão em andamento para atender às necessidades em constante mudança do MEP de NJ. O NJDOE continuará a analisar os dados e coletar informações das partes interessadas para futuras atualizações. Além disso, o coordenador estadual, em colaboração com os diretores da LOA, revisará a orientação de ID&amp;R anualmente para orientar no planejamento, implementação e execução de um Plano de prestação de serviços de ID&amp;R concebido e orientado. </w:t>
      </w:r>
    </w:p>
    <w:p w14:paraId="51D9B797" w14:textId="77777777" w:rsidR="00D740EA" w:rsidRPr="00CC1CB4" w:rsidRDefault="00000000" w:rsidP="004D2055">
      <w:pPr>
        <w:rPr>
          <w:rFonts w:ascii="Segoe UI" w:hAnsi="Segoe UI" w:cs="Segoe UI"/>
          <w:sz w:val="18"/>
          <w:szCs w:val="18"/>
          <w:lang w:val="es-ES"/>
        </w:rPr>
      </w:pPr>
      <w:r>
        <w:rPr>
          <w:rStyle w:val="normaltextrun"/>
          <w:rFonts w:eastAsia="Times New Roman" w:cs="Arial"/>
          <w:color w:val="000000"/>
          <w:lang w:val="pt-BR"/>
        </w:rPr>
        <w:t xml:space="preserve">Para a identificação e recrutamento adequados de crianças migratórias elegíveis, o NJDOE fornece orientação por escrito sobre a elegibilidade para cada LOA, que é revisada anualmente e reforçada durante o treinamento do MEP regional e estadual. O sistema de monitoramento do NJDOE inclui a realização de auditorias anuais de certificados de elegibilidade e listas de migrantes para análise de determinações de elegibilidade. </w:t>
      </w:r>
    </w:p>
    <w:p w14:paraId="2865061B" w14:textId="57C0D6E6" w:rsidR="00923C6E" w:rsidRPr="00CC1CB4" w:rsidRDefault="00000000">
      <w:pPr>
        <w:rPr>
          <w:rStyle w:val="eop"/>
          <w:rFonts w:ascii="Segoe UI" w:hAnsi="Segoe UI" w:cs="Segoe UI"/>
          <w:sz w:val="18"/>
          <w:szCs w:val="18"/>
          <w:lang w:val="es-ES"/>
        </w:rPr>
      </w:pPr>
      <w:r>
        <w:rPr>
          <w:rStyle w:val="normaltextrun"/>
          <w:rFonts w:eastAsia="Times New Roman" w:cs="Arial"/>
          <w:color w:val="365F91"/>
          <w:lang w:val="pt-BR"/>
        </w:rPr>
        <w:lastRenderedPageBreak/>
        <w:t xml:space="preserve">[finalizar resposta do NJDOE] </w:t>
      </w:r>
    </w:p>
    <w:p w14:paraId="46A80E7A" w14:textId="77777777" w:rsidR="00B76E44" w:rsidRPr="00CC1CB4" w:rsidRDefault="00000000" w:rsidP="002A69B7">
      <w:pPr>
        <w:pStyle w:val="BeginUSED"/>
        <w:rPr>
          <w:rStyle w:val="normaltextrun"/>
          <w:rFonts w:ascii="Cambria" w:hAnsi="Cambria"/>
          <w:i/>
          <w:color w:val="244061" w:themeColor="accent1" w:themeShade="80"/>
          <w:sz w:val="22"/>
          <w:szCs w:val="22"/>
          <w:lang w:val="es-ES"/>
        </w:rPr>
      </w:pPr>
      <w:r>
        <w:rPr>
          <w:rFonts w:eastAsia="Times New Roman"/>
          <w:color w:val="FFFFFF"/>
          <w:szCs w:val="4"/>
          <w:lang w:val="pt-BR"/>
        </w:rPr>
        <w:t>[iniciar o texto do USED]</w:t>
      </w:r>
    </w:p>
    <w:p w14:paraId="384041E7" w14:textId="77777777" w:rsidR="002A69B7" w:rsidRPr="00856537" w:rsidRDefault="00000000" w:rsidP="00856537">
      <w:pPr>
        <w:pStyle w:val="A20"/>
        <w:spacing w:before="0"/>
      </w:pPr>
      <w:bookmarkStart w:id="137" w:name="_Toc171333289"/>
      <w:bookmarkStart w:id="138" w:name="_Toc199403581"/>
      <w:bookmarkStart w:id="139" w:name="_Toc199403744"/>
      <w:r>
        <w:t>2. Promover a Coordenação de Serviços (ESEA seção 1304(b)(3))</w:t>
      </w:r>
      <w:bookmarkEnd w:id="137"/>
      <w:bookmarkEnd w:id="138"/>
      <w:bookmarkEnd w:id="139"/>
    </w:p>
    <w:p w14:paraId="142CFDC2" w14:textId="77777777" w:rsidR="00D740EA" w:rsidRPr="00CC1CB4" w:rsidRDefault="00000000" w:rsidP="002A69B7">
      <w:pPr>
        <w:pStyle w:val="blue"/>
        <w:spacing w:after="0"/>
        <w:ind w:left="0"/>
        <w:rPr>
          <w:lang w:val="es-ES"/>
        </w:rPr>
      </w:pPr>
      <w:r>
        <w:rPr>
          <w:rStyle w:val="normaltextrun"/>
          <w:rFonts w:ascii="Cambria" w:eastAsia="Cambria" w:hAnsi="Cambria"/>
          <w:lang w:val="pt-BR"/>
        </w:rPr>
        <w:t xml:space="preserve">Descrever como o estado usará os fundos do Título I, Parte C recebidos nos termos desta parte para promover a coordenação interestadual e intraestadual de serviços para crianças migratórias, incluindo como o estado fornecerá continuidade educacional por meio da transferência oportuna de registros escolares pertinentes, incluindo informações sobre saúde, quando as crianças se mudam de uma escola para outra, quer tal mudança ocorra ou não durante o ano letivo regular. </w:t>
      </w:r>
    </w:p>
    <w:p w14:paraId="1D0FAFDB" w14:textId="77777777" w:rsidR="006415C4" w:rsidRPr="00CC1CB4" w:rsidRDefault="00000000" w:rsidP="00B76E44">
      <w:pPr>
        <w:pStyle w:val="EndUSED"/>
        <w:rPr>
          <w:lang w:val="es-ES"/>
        </w:rPr>
      </w:pPr>
      <w:r>
        <w:rPr>
          <w:rFonts w:eastAsia="Times New Roman"/>
          <w:color w:val="FFFFFF"/>
          <w:szCs w:val="4"/>
          <w:lang w:val="pt-BR"/>
        </w:rPr>
        <w:t>[finalizar texto do USED]</w:t>
      </w:r>
    </w:p>
    <w:p w14:paraId="7DDA16C2" w14:textId="77777777" w:rsidR="00923C6E" w:rsidRPr="00CC1CB4" w:rsidRDefault="00000000" w:rsidP="004D2055">
      <w:pPr>
        <w:rPr>
          <w:rStyle w:val="normaltextrun"/>
          <w:rFonts w:ascii="Segoe UI" w:hAnsi="Segoe UI" w:cs="Segoe UI"/>
          <w:color w:val="365F91" w:themeColor="accent1" w:themeShade="BF"/>
          <w:sz w:val="18"/>
          <w:szCs w:val="18"/>
          <w:lang w:val="es-ES"/>
        </w:rPr>
      </w:pPr>
      <w:r>
        <w:rPr>
          <w:rStyle w:val="normaltextrun"/>
          <w:rFonts w:eastAsia="Times New Roman" w:cs="Arial"/>
          <w:color w:val="365F91"/>
          <w:lang w:val="pt-BR"/>
        </w:rPr>
        <w:t xml:space="preserve">[iniciar a resposta do NJDOE] </w:t>
      </w:r>
    </w:p>
    <w:p w14:paraId="32A80524" w14:textId="77777777" w:rsidR="00D740EA" w:rsidRPr="00CC1CB4" w:rsidRDefault="00000000" w:rsidP="00856537">
      <w:pPr>
        <w:pStyle w:val="A30"/>
      </w:pPr>
      <w:bookmarkStart w:id="140" w:name="_Toc199403745"/>
      <w:r>
        <w:rPr>
          <w:rStyle w:val="normaltextrun"/>
        </w:rPr>
        <w:t>Continuidade educacional</w:t>
      </w:r>
      <w:bookmarkEnd w:id="140"/>
      <w:r>
        <w:rPr>
          <w:rStyle w:val="normaltextrun"/>
        </w:rPr>
        <w:t xml:space="preserve"> </w:t>
      </w:r>
    </w:p>
    <w:p w14:paraId="72DA08DF" w14:textId="77777777" w:rsidR="00D740EA" w:rsidRPr="00CC1CB4" w:rsidRDefault="00000000" w:rsidP="004D2055">
      <w:pPr>
        <w:rPr>
          <w:rFonts w:ascii="Segoe UI" w:hAnsi="Segoe UI" w:cs="Segoe UI"/>
          <w:sz w:val="18"/>
          <w:szCs w:val="18"/>
          <w:lang w:val="es-ES"/>
        </w:rPr>
      </w:pPr>
      <w:r>
        <w:rPr>
          <w:rStyle w:val="normaltextrun"/>
          <w:rFonts w:eastAsia="Times New Roman" w:cs="Arial"/>
          <w:color w:val="000000"/>
          <w:lang w:val="pt-BR"/>
        </w:rPr>
        <w:t xml:space="preserve">O NJDOE promove a continuidade educacional, incluindo a transferência oportuna de registros escolares pertinentes e informações de saúde quando as crianças se mudam de uma escola para outra, independentemente de a mudança ocorrer durante o ano letivo regular ou o período de verão/intervalo por meio de seus projetos da LOA do MEP. O Manual de manutenção e relatórios de registros do NJDOE destaca uma abordagem escrita e sistemática para a manutenção de registros (coleta de dados), relatórios e troca de registros com base na adoção adequada de políticas e procedimentos que levam à análise interna eficaz, juntamente com a execução da transferência inter/intraestadual de registros de estudantes migrantes. Além disso, a equipe recebe treinamento/desenvolvimento profissional anual sobre o software que Nova Jersey usa para rastrear dados de alunos migrantes para upload no </w:t>
      </w:r>
      <w:r>
        <w:rPr>
          <w:rStyle w:val="normaltextrun"/>
          <w:rFonts w:eastAsia="Times New Roman" w:cs="Arial"/>
          <w:lang w:val="pt-BR"/>
        </w:rPr>
        <w:t>intercâmbio de informações de estudantes migrantes</w:t>
      </w:r>
      <w:r>
        <w:rPr>
          <w:rStyle w:val="normaltextrun"/>
          <w:rFonts w:eastAsia="Times New Roman" w:cs="Arial"/>
          <w:color w:val="000000"/>
          <w:lang w:val="pt-BR"/>
        </w:rPr>
        <w:t xml:space="preserve"> e assistência técnica, conforme necessário, para atualizar e manter seu conhecimento dos requisitos de manutenção de dados. </w:t>
      </w:r>
    </w:p>
    <w:p w14:paraId="31934833" w14:textId="77777777" w:rsidR="00D740EA" w:rsidRPr="00CC1CB4" w:rsidRDefault="00000000" w:rsidP="004D2055">
      <w:pPr>
        <w:rPr>
          <w:rFonts w:ascii="Segoe UI" w:hAnsi="Segoe UI" w:cs="Segoe UI"/>
          <w:sz w:val="18"/>
          <w:szCs w:val="18"/>
          <w:lang w:val="es-ES"/>
        </w:rPr>
      </w:pPr>
      <w:r>
        <w:rPr>
          <w:rStyle w:val="normaltextrun"/>
          <w:rFonts w:eastAsia="Times New Roman" w:cs="Arial"/>
          <w:color w:val="000000"/>
          <w:lang w:val="pt-BR"/>
        </w:rPr>
        <w:t xml:space="preserve">Através da análise dos relatórios parciais e finais apresentados por seus Projetos da LOA do MEP, o NJDOE monitora a transferência de registros de estudantes, mensalmente e outras informações sobre crianças migrantes em base interestadual e intraestadual e garante a participação total de cada Projeto do MEP no sistema de transferência de registros de estudantes migrantes. </w:t>
      </w:r>
    </w:p>
    <w:p w14:paraId="7A45A9A9" w14:textId="77777777" w:rsidR="00D740EA" w:rsidRPr="00CC1CB4" w:rsidRDefault="00000000" w:rsidP="00856537">
      <w:pPr>
        <w:pStyle w:val="A30"/>
      </w:pPr>
      <w:bookmarkStart w:id="141" w:name="_Toc199403746"/>
      <w:r>
        <w:t>Transferência intraestadual</w:t>
      </w:r>
      <w:bookmarkEnd w:id="141"/>
      <w:r>
        <w:t xml:space="preserve"> </w:t>
      </w:r>
    </w:p>
    <w:p w14:paraId="5D8AB021" w14:textId="77777777" w:rsidR="00D740EA" w:rsidRPr="00CC1CB4" w:rsidRDefault="00000000" w:rsidP="0023141A">
      <w:pPr>
        <w:rPr>
          <w:lang w:val="es-ES"/>
        </w:rPr>
      </w:pPr>
      <w:r>
        <w:rPr>
          <w:rFonts w:eastAsia="Times New Roman" w:cs="Arial"/>
          <w:lang w:val="pt-BR"/>
        </w:rPr>
        <w:t xml:space="preserve">O NJDOE e os MEPs regionais de suas LOAs promovem a coordenação interestadual e intraestadual de serviços para crianças migratórias, alocando fundos do Título I, Parte C para apoiar a participação no intercâmbio de informações de estudantes migrantes e comprando hardware/software para apoiar as necessidades tecnológicas correspondentes. O Manual de manutenção de registros e relatórios de estudantes do MEP do NJDOE fornece uma abordagem sistemática para a manutenção de registros e relatórios de informações de alunos migrantes. Além de fornecer uma visão geral das ferramentas de dados do MEP do NJDOE (por exemplo, intercâmbio de informações de estudantes migrantes), o manual também inclui o processo para a coleta, upload e entrada de dados oportunos de todos os elementos mínimos de dados. O procedimento de manutenção de registros do histórico do curso garante que qualquer informação nova ou alterada (por exemplo, quando um aluno muda de uma região para outra dentro de Nova Jersey) seja carregada no intercâmbio de informações de estudantes migrantes dentro do prazo regulatório exigido. </w:t>
      </w:r>
    </w:p>
    <w:p w14:paraId="2C93C605" w14:textId="1C0112EB" w:rsidR="00923C6E" w:rsidRPr="00CC1CB4" w:rsidRDefault="00000000" w:rsidP="002A69B7">
      <w:pPr>
        <w:rPr>
          <w:rStyle w:val="NJDOEResponse"/>
          <w:lang w:val="es-ES"/>
        </w:rPr>
      </w:pPr>
      <w:r>
        <w:rPr>
          <w:rStyle w:val="NJDOEResponse"/>
          <w:rFonts w:eastAsia="Times New Roman"/>
          <w:color w:val="365F91"/>
          <w:lang w:val="pt-BR"/>
        </w:rPr>
        <w:lastRenderedPageBreak/>
        <w:t xml:space="preserve">[finalizar resposta do NJDOE] </w:t>
      </w:r>
    </w:p>
    <w:p w14:paraId="3C20741A" w14:textId="77777777" w:rsidR="00D740EA" w:rsidRPr="00CC1CB4" w:rsidRDefault="00000000" w:rsidP="00B76E44">
      <w:pPr>
        <w:pStyle w:val="BeginUSED"/>
        <w:rPr>
          <w:rFonts w:ascii="Segoe UI" w:hAnsi="Segoe UI" w:cs="Segoe UI"/>
          <w:i/>
          <w:iCs/>
          <w:color w:val="0F4761"/>
          <w:sz w:val="18"/>
          <w:szCs w:val="18"/>
          <w:lang w:val="es-ES"/>
        </w:rPr>
      </w:pPr>
      <w:r>
        <w:rPr>
          <w:rFonts w:eastAsia="Times New Roman"/>
          <w:color w:val="FFFFFF"/>
          <w:szCs w:val="4"/>
          <w:lang w:val="pt-BR"/>
        </w:rPr>
        <w:t xml:space="preserve">[iniciar o texto do USED] </w:t>
      </w:r>
    </w:p>
    <w:p w14:paraId="4412CB75" w14:textId="77777777" w:rsidR="002A69B7" w:rsidRPr="00856537" w:rsidRDefault="00000000" w:rsidP="00856537">
      <w:pPr>
        <w:pStyle w:val="A20"/>
        <w:spacing w:before="0"/>
      </w:pPr>
      <w:bookmarkStart w:id="142" w:name="_Toc171333290"/>
      <w:bookmarkStart w:id="143" w:name="_Toc199403582"/>
      <w:bookmarkStart w:id="144" w:name="_Toc199403747"/>
      <w:r>
        <w:t>3. Uso de fundos (seção 1304(b)(4) da ESEA</w:t>
      </w:r>
      <w:bookmarkEnd w:id="142"/>
      <w:bookmarkEnd w:id="143"/>
      <w:bookmarkEnd w:id="144"/>
    </w:p>
    <w:p w14:paraId="20142252" w14:textId="77777777" w:rsidR="00D740EA" w:rsidRPr="00CC1CB4" w:rsidRDefault="00000000" w:rsidP="002A69B7">
      <w:pPr>
        <w:pStyle w:val="blue"/>
        <w:spacing w:after="0"/>
        <w:ind w:left="0"/>
        <w:rPr>
          <w:lang w:val="es-ES"/>
        </w:rPr>
      </w:pPr>
      <w:r>
        <w:rPr>
          <w:rFonts w:ascii="Cambria" w:eastAsia="Cambria" w:hAnsi="Cambria"/>
          <w:lang w:val="pt-BR"/>
        </w:rPr>
        <w:t xml:space="preserve">Descrever as prioridades do estado para o uso dos fundos do Título I, Parte C, e como tais prioridades se relacionam com a avaliação do estado das necessidades de serviços no estado. </w:t>
      </w:r>
    </w:p>
    <w:p w14:paraId="3F755CF6" w14:textId="77777777" w:rsidR="00D740EA" w:rsidRPr="00CC1CB4" w:rsidRDefault="00000000" w:rsidP="00B76E44">
      <w:pPr>
        <w:pStyle w:val="EndUSED"/>
        <w:rPr>
          <w:lang w:val="es-ES"/>
        </w:rPr>
      </w:pPr>
      <w:r>
        <w:rPr>
          <w:rFonts w:eastAsia="Times New Roman"/>
          <w:color w:val="FFFFFF"/>
          <w:szCs w:val="4"/>
          <w:lang w:val="pt-BR"/>
        </w:rPr>
        <w:t>[finalizar texto do USED]</w:t>
      </w:r>
    </w:p>
    <w:p w14:paraId="147C138D" w14:textId="77777777" w:rsidR="00D740EA" w:rsidRPr="00CC1CB4" w:rsidRDefault="00000000" w:rsidP="002A69B7">
      <w:pPr>
        <w:spacing w:before="120"/>
        <w:rPr>
          <w:rStyle w:val="NJDOEResponse"/>
          <w:lang w:val="es-ES"/>
        </w:rPr>
      </w:pPr>
      <w:r>
        <w:rPr>
          <w:rStyle w:val="NJDOEResponse"/>
          <w:rFonts w:eastAsia="Times New Roman"/>
          <w:color w:val="365F91"/>
          <w:lang w:val="pt-BR"/>
        </w:rPr>
        <w:t xml:space="preserve">[iniciar a resposta do NJDOE] </w:t>
      </w:r>
    </w:p>
    <w:p w14:paraId="7706B4F4" w14:textId="77777777" w:rsidR="00D740EA" w:rsidRPr="00CC1CB4" w:rsidRDefault="00000000" w:rsidP="00BF4D18">
      <w:pPr>
        <w:pStyle w:val="paragraph"/>
        <w:spacing w:before="0" w:beforeAutospacing="0" w:after="200" w:afterAutospacing="0" w:line="276" w:lineRule="auto"/>
        <w:textAlignment w:val="baseline"/>
        <w:rPr>
          <w:rFonts w:ascii="Segoe UI" w:hAnsi="Segoe UI" w:cs="Segoe UI"/>
          <w:sz w:val="16"/>
          <w:szCs w:val="16"/>
          <w:lang w:val="es-ES"/>
        </w:rPr>
      </w:pPr>
      <w:r>
        <w:rPr>
          <w:szCs w:val="22"/>
          <w:lang w:val="pt-BR"/>
        </w:rPr>
        <w:t xml:space="preserve">Com base na avaliação abrangente das necessidades de Nova Jersey e estratégias associadas para apoiar as necessidades dos alunos migratórios descritos acima, as prioridades de gastos se enquadram nas cinco categorias principais descritas abaixo. Essas prioridades de gastos são transmitidas anualmente para LOAs para garantir o alinhamento com as necessidades identificadas pelo NJDOE. Observe que Nova Jersey atualiza regularmente sua avaliação de necessidades como parte de seu processo de melhoria contínua e, como resultado, faz ajustes periódicos no uso dos fundos de acordo. Os detalhes mais recentes sobre as prioridades de gastos podem ser encontrados na mais recente avaliação abrangente de necessidades em todo o estado na página do </w:t>
      </w:r>
      <w:hyperlink r:id="rId41" w:history="1">
        <w:r w:rsidR="00D740EA">
          <w:rPr>
            <w:color w:val="0000FF"/>
            <w:szCs w:val="22"/>
            <w:u w:val="single"/>
            <w:lang w:val="pt-BR"/>
          </w:rPr>
          <w:t>Programa de educação para migrantes de Nova Jersey</w:t>
        </w:r>
      </w:hyperlink>
      <w:r>
        <w:rPr>
          <w:szCs w:val="22"/>
          <w:lang w:val="pt-BR"/>
        </w:rPr>
        <w:t>.</w:t>
      </w:r>
    </w:p>
    <w:p w14:paraId="5758DF56" w14:textId="77777777" w:rsidR="00D740EA" w:rsidRPr="00CC1CB4" w:rsidRDefault="00000000">
      <w:pPr>
        <w:pStyle w:val="a6"/>
        <w:numPr>
          <w:ilvl w:val="0"/>
          <w:numId w:val="189"/>
        </w:numPr>
        <w:spacing w:after="120"/>
        <w:contextualSpacing w:val="0"/>
        <w:rPr>
          <w:lang w:val="es-ES"/>
        </w:rPr>
      </w:pPr>
      <w:r>
        <w:rPr>
          <w:rStyle w:val="normaltextrun"/>
          <w:rFonts w:eastAsia="Times New Roman" w:cs="Arial"/>
          <w:lang w:val="pt-BR"/>
        </w:rPr>
        <w:t xml:space="preserve">Tutoria e instrução suplementar, incluindo o ano letivo e o verão; </w:t>
      </w:r>
    </w:p>
    <w:p w14:paraId="077CD943" w14:textId="77777777" w:rsidR="00D740EA" w:rsidRPr="00BF4D18" w:rsidRDefault="00000000">
      <w:pPr>
        <w:pStyle w:val="a6"/>
        <w:numPr>
          <w:ilvl w:val="0"/>
          <w:numId w:val="189"/>
        </w:numPr>
        <w:spacing w:after="120"/>
        <w:contextualSpacing w:val="0"/>
      </w:pPr>
      <w:r>
        <w:rPr>
          <w:rStyle w:val="normaltextrun"/>
          <w:rFonts w:eastAsia="Times New Roman" w:cs="Arial"/>
          <w:lang w:val="pt-BR"/>
        </w:rPr>
        <w:t xml:space="preserve">Materiais educacionais e tecnologia; </w:t>
      </w:r>
    </w:p>
    <w:p w14:paraId="5BA78BD9" w14:textId="77777777" w:rsidR="00D740EA" w:rsidRPr="00CC1CB4" w:rsidRDefault="00000000">
      <w:pPr>
        <w:pStyle w:val="a6"/>
        <w:numPr>
          <w:ilvl w:val="0"/>
          <w:numId w:val="189"/>
        </w:numPr>
        <w:spacing w:after="120"/>
        <w:contextualSpacing w:val="0"/>
        <w:rPr>
          <w:lang w:val="es-ES"/>
        </w:rPr>
      </w:pPr>
      <w:r>
        <w:rPr>
          <w:rStyle w:val="normaltextrun"/>
          <w:rFonts w:eastAsia="Times New Roman" w:cs="Arial"/>
          <w:lang w:val="pt-BR"/>
        </w:rPr>
        <w:t xml:space="preserve">Exames de saúde (visão, odontológico, médico, saúde mental); </w:t>
      </w:r>
    </w:p>
    <w:p w14:paraId="45ACD9A0" w14:textId="77777777" w:rsidR="00D740EA" w:rsidRPr="00CC1CB4" w:rsidRDefault="00000000">
      <w:pPr>
        <w:pStyle w:val="a6"/>
        <w:numPr>
          <w:ilvl w:val="0"/>
          <w:numId w:val="189"/>
        </w:numPr>
        <w:spacing w:after="120"/>
        <w:contextualSpacing w:val="0"/>
        <w:rPr>
          <w:lang w:val="es-ES"/>
        </w:rPr>
      </w:pPr>
      <w:r>
        <w:rPr>
          <w:rStyle w:val="normaltextrun"/>
          <w:rFonts w:eastAsia="Times New Roman" w:cs="Arial"/>
          <w:lang w:val="pt-BR"/>
        </w:rPr>
        <w:t xml:space="preserve">Atividades para aumentar o envolvimento dos pais; </w:t>
      </w:r>
    </w:p>
    <w:p w14:paraId="1325A825" w14:textId="77777777" w:rsidR="00D740EA" w:rsidRPr="00CC1CB4" w:rsidRDefault="00000000">
      <w:pPr>
        <w:pStyle w:val="a6"/>
        <w:numPr>
          <w:ilvl w:val="0"/>
          <w:numId w:val="189"/>
        </w:numPr>
        <w:spacing w:after="120"/>
        <w:contextualSpacing w:val="0"/>
        <w:rPr>
          <w:lang w:val="es-ES"/>
        </w:rPr>
      </w:pPr>
      <w:r>
        <w:rPr>
          <w:rStyle w:val="normaltextrun"/>
          <w:rFonts w:eastAsia="Times New Roman" w:cs="Arial"/>
          <w:lang w:val="pt-BR"/>
        </w:rPr>
        <w:t xml:space="preserve">Apoio à preparação para a faculdade e carreira. </w:t>
      </w:r>
    </w:p>
    <w:p w14:paraId="26B03ED4" w14:textId="77777777" w:rsidR="00D740EA" w:rsidRPr="00CC1CB4" w:rsidRDefault="00000000" w:rsidP="0093065D">
      <w:pPr>
        <w:pStyle w:val="paragraph"/>
        <w:spacing w:before="0" w:beforeAutospacing="0" w:after="200" w:afterAutospacing="0" w:line="276" w:lineRule="auto"/>
        <w:textAlignment w:val="baseline"/>
        <w:rPr>
          <w:rFonts w:ascii="Segoe UI" w:hAnsi="Segoe UI" w:cs="Segoe UI"/>
          <w:szCs w:val="22"/>
          <w:lang w:val="es-ES"/>
        </w:rPr>
      </w:pPr>
      <w:r>
        <w:rPr>
          <w:szCs w:val="22"/>
          <w:lang w:val="pt-BR"/>
        </w:rPr>
        <w:t>Além de fornecer às LOAs suas prioridades de gastos, o NJDOE trabalha com as LOAs para identificar e priorizar o apoio às necessidades não atendidas dos alunos que foram identificados como “prioridade de serviços” antes de servir outras crianças migrantes. As definições completas dos alunos que se qualificam podem ser encontradas na</w:t>
      </w:r>
      <w:r>
        <w:rPr>
          <w:color w:val="000000"/>
          <w:szCs w:val="22"/>
          <w:lang w:val="pt-BR"/>
        </w:rPr>
        <w:t xml:space="preserve"> avaliação abrangente de necessidades</w:t>
      </w:r>
      <w:r>
        <w:rPr>
          <w:szCs w:val="22"/>
          <w:lang w:val="pt-BR"/>
        </w:rPr>
        <w:t xml:space="preserve"> em todo o estado, incluindo alunos com educação formal interrompida e outras populações prioritárias. As LOAs devem criar uma Avaliação de necessidades individuais para cada aluno migrante atendido e, embora o NJDOE forneça orientação sobre prioridades, em última análise, as necessidades individuais de um aluno servem como a principal prioridade de gastos. </w:t>
      </w:r>
    </w:p>
    <w:p w14:paraId="52670502" w14:textId="77777777" w:rsidR="004402E0" w:rsidRPr="00CC1CB4" w:rsidRDefault="00000000" w:rsidP="0023141A">
      <w:pPr>
        <w:rPr>
          <w:rStyle w:val="NJDOEResponse"/>
          <w:lang w:val="es-ES"/>
        </w:rPr>
      </w:pPr>
      <w:r>
        <w:rPr>
          <w:rStyle w:val="NJDOEResponse"/>
          <w:rFonts w:eastAsia="Times New Roman"/>
          <w:color w:val="365F91"/>
          <w:lang w:val="pt-BR"/>
        </w:rPr>
        <w:t xml:space="preserve">[finalizar resposta do NJDOE] </w:t>
      </w:r>
      <w:r>
        <w:rPr>
          <w:rStyle w:val="NJDOEResponse"/>
          <w:rFonts w:eastAsia="Times New Roman"/>
          <w:color w:val="365F91"/>
          <w:lang w:val="pt-BR"/>
        </w:rPr>
        <w:br w:type="page"/>
      </w:r>
    </w:p>
    <w:p w14:paraId="55380E31" w14:textId="77777777" w:rsidR="00B76E44" w:rsidRPr="00CC1CB4" w:rsidRDefault="00000000" w:rsidP="00315B0A">
      <w:pPr>
        <w:pStyle w:val="BeginUSED"/>
        <w:rPr>
          <w:lang w:val="es-ES"/>
        </w:rPr>
      </w:pPr>
      <w:r>
        <w:rPr>
          <w:rFonts w:eastAsia="Times New Roman"/>
          <w:color w:val="FFFFFF"/>
          <w:szCs w:val="4"/>
          <w:lang w:val="pt-BR"/>
        </w:rPr>
        <w:lastRenderedPageBreak/>
        <w:t xml:space="preserve">[iniciar o texto do USED] </w:t>
      </w:r>
    </w:p>
    <w:p w14:paraId="6285604A" w14:textId="77777777" w:rsidR="004A54F6" w:rsidRPr="00CC1CB4" w:rsidRDefault="00000000" w:rsidP="0023141A">
      <w:pPr>
        <w:pStyle w:val="1"/>
        <w:spacing w:after="0"/>
        <w:rPr>
          <w:rFonts w:eastAsia="Cambria" w:cs="Cambria"/>
          <w:b w:val="0"/>
          <w:szCs w:val="32"/>
          <w:lang w:val="es-ES"/>
          <w14:ligatures w14:val="standardContextual"/>
        </w:rPr>
      </w:pPr>
      <w:bookmarkStart w:id="145" w:name="_Toc211004650"/>
      <w:r>
        <w:rPr>
          <w:rFonts w:eastAsia="Cambria"/>
          <w:szCs w:val="36"/>
          <w:lang w:val="pt-BR"/>
        </w:rPr>
        <w:t>C. Título I, Parte D: Programas de prevenção e intervenção para crianças e jovens negligenciados, inadimplentes ou em risco</w:t>
      </w:r>
      <w:bookmarkEnd w:id="145"/>
    </w:p>
    <w:p w14:paraId="31CBE5B4" w14:textId="77777777" w:rsidR="00C911DE" w:rsidRPr="00CC1CB4" w:rsidRDefault="00000000" w:rsidP="00315B0A">
      <w:pPr>
        <w:pStyle w:val="EndUSED"/>
        <w:rPr>
          <w:rFonts w:eastAsia="Aptos"/>
          <w:color w:val="183C5C"/>
          <w:lang w:val="es-ES"/>
          <w14:ligatures w14:val="standardContextual"/>
        </w:rPr>
      </w:pPr>
      <w:r>
        <w:rPr>
          <w:rFonts w:eastAsia="Times New Roman"/>
          <w:color w:val="FFFFFF"/>
          <w:szCs w:val="4"/>
          <w:lang w:val="pt-BR"/>
        </w:rPr>
        <w:t>[finalizar texto do USED]</w:t>
      </w:r>
    </w:p>
    <w:p w14:paraId="7637F6AA" w14:textId="77777777" w:rsidR="00C911DE" w:rsidRPr="00CC1CB4" w:rsidRDefault="00000000" w:rsidP="00232DE9">
      <w:pPr>
        <w:spacing w:before="240"/>
        <w:rPr>
          <w:rFonts w:eastAsia="Aptos" w:cs="Times New Roman"/>
          <w:color w:val="183C5C"/>
          <w:lang w:val="es-ES"/>
          <w14:ligatures w14:val="standardContextual"/>
        </w:rPr>
      </w:pPr>
      <w:r>
        <w:rPr>
          <w:rFonts w:eastAsia="Times New Roman" w:cs="Times New Roman"/>
          <w:color w:val="183C5C"/>
          <w:lang w:val="pt-BR"/>
        </w:rPr>
        <w:t>[iniciar a resposta do NJDOE]</w:t>
      </w:r>
    </w:p>
    <w:p w14:paraId="5BFED483" w14:textId="77777777" w:rsidR="004A54F6" w:rsidRPr="00CC1CB4" w:rsidRDefault="00000000" w:rsidP="00856537">
      <w:pPr>
        <w:pStyle w:val="A20"/>
      </w:pPr>
      <w:bookmarkStart w:id="146" w:name="_Toc171333292"/>
      <w:bookmarkStart w:id="147" w:name="_Toc199403749"/>
      <w:r>
        <w:t>Visão geral</w:t>
      </w:r>
      <w:bookmarkEnd w:id="146"/>
      <w:bookmarkEnd w:id="147"/>
    </w:p>
    <w:p w14:paraId="5A2B9010" w14:textId="77777777" w:rsidR="004A54F6" w:rsidRPr="00CC1CB4" w:rsidRDefault="00000000" w:rsidP="004A54F6">
      <w:pPr>
        <w:spacing w:after="120"/>
        <w:rPr>
          <w:rFonts w:eastAsia="Aptos" w:cs="Times New Roman"/>
          <w:lang w:val="es-ES"/>
          <w14:ligatures w14:val="standardContextual"/>
        </w:rPr>
      </w:pPr>
      <w:r>
        <w:rPr>
          <w:rFonts w:eastAsia="Times New Roman" w:cs="Times New Roman"/>
          <w:color w:val="000000"/>
          <w:lang w:val="pt-BR"/>
        </w:rPr>
        <w:t xml:space="preserve">O Título I, Parte D, tem duas subpartes, uma fornecendo financiamento em nível estadual e a outra fornecendo fundos para as LEAs para apoiar a juventude definida como negligenciada, inadimplente ou em risco. </w:t>
      </w:r>
      <w:r>
        <w:rPr>
          <w:rFonts w:eastAsia="Times New Roman" w:cs="Times New Roman"/>
          <w:lang w:val="pt-BR"/>
        </w:rPr>
        <w:t>Agências estaduais e as LEAs que conduzem programas de Título I, Parte D devem:</w:t>
      </w:r>
    </w:p>
    <w:p w14:paraId="544293EC" w14:textId="77777777" w:rsidR="004A54F6" w:rsidRPr="00CC1CB4" w:rsidRDefault="00000000">
      <w:pPr>
        <w:numPr>
          <w:ilvl w:val="0"/>
          <w:numId w:val="74"/>
        </w:numPr>
        <w:spacing w:after="120" w:line="259" w:lineRule="auto"/>
        <w:rPr>
          <w:rFonts w:eastAsia="Aptos" w:cs="Times New Roman"/>
          <w:lang w:val="es-ES"/>
          <w14:ligatures w14:val="standardContextual"/>
        </w:rPr>
      </w:pPr>
      <w:r>
        <w:rPr>
          <w:rFonts w:eastAsia="Times New Roman" w:cs="Times New Roman"/>
          <w:lang w:val="pt-BR"/>
        </w:rPr>
        <w:t>melhorar os serviços educacionais para crianças e jovens em instituições locais e estaduais para que os alunos possam atender aos padrões acadêmicos estaduais desafiadores que todos os alunos no estado devem atender;</w:t>
      </w:r>
    </w:p>
    <w:p w14:paraId="1931A3F9" w14:textId="77777777" w:rsidR="004A54F6" w:rsidRPr="00CC1CB4" w:rsidRDefault="00000000">
      <w:pPr>
        <w:numPr>
          <w:ilvl w:val="0"/>
          <w:numId w:val="74"/>
        </w:numPr>
        <w:spacing w:after="120" w:line="259" w:lineRule="auto"/>
        <w:rPr>
          <w:rFonts w:eastAsia="Aptos" w:cs="Times New Roman"/>
          <w:lang w:val="es-ES"/>
          <w14:ligatures w14:val="standardContextual"/>
        </w:rPr>
      </w:pPr>
      <w:r>
        <w:rPr>
          <w:rFonts w:eastAsia="Times New Roman" w:cs="Times New Roman"/>
          <w:lang w:val="pt-BR"/>
        </w:rPr>
        <w:t>fornecer aos filhos e jovens que retornam de instituições locais e estaduais e instalações correcionais os serviços necessários para fazer uma transição bem-sucedida de volta para a escola ou emprego;</w:t>
      </w:r>
    </w:p>
    <w:p w14:paraId="206C35C4" w14:textId="77777777" w:rsidR="004A54F6" w:rsidRPr="00CC1CB4" w:rsidRDefault="00000000">
      <w:pPr>
        <w:numPr>
          <w:ilvl w:val="0"/>
          <w:numId w:val="74"/>
        </w:numPr>
        <w:spacing w:after="120" w:line="240" w:lineRule="auto"/>
        <w:rPr>
          <w:rFonts w:eastAsia="Aptos" w:cs="Times New Roman"/>
          <w:bCs/>
          <w:color w:val="153D63"/>
          <w:sz w:val="24"/>
          <w:szCs w:val="24"/>
          <w:lang w:val="es-ES"/>
          <w14:ligatures w14:val="standardContextual"/>
        </w:rPr>
      </w:pPr>
      <w:r>
        <w:rPr>
          <w:rFonts w:eastAsia="Times New Roman" w:cs="Times New Roman"/>
          <w:lang w:val="pt-BR"/>
        </w:rPr>
        <w:t>impedir que jovens em situação de risco abandonem a escola e fornecer a eles, bem como a crianças e jovens que retornam de instituições correcionais ou de instituições negligenciadas e delinquentes, um sistema de apoio para garantir sua educação continuada e o envolvimento de suas famílias e comunidades.</w:t>
      </w:r>
    </w:p>
    <w:p w14:paraId="72575D6B" w14:textId="77777777" w:rsidR="00C911DE" w:rsidRPr="00CC1CB4" w:rsidRDefault="00000000" w:rsidP="004D2055">
      <w:pPr>
        <w:rPr>
          <w:rFonts w:ascii="Segoe UI" w:hAnsi="Segoe UI" w:cs="Segoe UI"/>
          <w:sz w:val="18"/>
          <w:szCs w:val="18"/>
          <w:lang w:val="es-ES"/>
        </w:rPr>
      </w:pPr>
      <w:r>
        <w:rPr>
          <w:rStyle w:val="normaltextrun"/>
          <w:rFonts w:eastAsia="Times New Roman" w:cs="Arial"/>
          <w:color w:val="183C5C"/>
          <w:lang w:val="pt-BR"/>
        </w:rPr>
        <w:t xml:space="preserve">[finalizar resposta do NJDOE] </w:t>
      </w:r>
    </w:p>
    <w:p w14:paraId="1CA7BB13" w14:textId="77777777" w:rsidR="00C911DE" w:rsidRPr="00CC1CB4" w:rsidRDefault="00000000" w:rsidP="00315B0A">
      <w:pPr>
        <w:pStyle w:val="BeginUSED"/>
        <w:rPr>
          <w:rFonts w:eastAsia="Aptos" w:cs="Times New Roman"/>
          <w:bCs/>
          <w:color w:val="153D63"/>
          <w:sz w:val="24"/>
          <w:szCs w:val="24"/>
          <w:lang w:val="es-ES"/>
          <w14:ligatures w14:val="standardContextual"/>
        </w:rPr>
      </w:pPr>
      <w:r>
        <w:rPr>
          <w:rFonts w:eastAsia="Times New Roman"/>
          <w:color w:val="FFFFFF"/>
          <w:szCs w:val="4"/>
          <w:lang w:val="pt-BR"/>
        </w:rPr>
        <w:t>[iniciar o texto do USED]</w:t>
      </w:r>
    </w:p>
    <w:p w14:paraId="69C07C46" w14:textId="77777777" w:rsidR="0023141A" w:rsidRPr="00856537" w:rsidRDefault="00000000" w:rsidP="00856537">
      <w:pPr>
        <w:pStyle w:val="A20"/>
        <w:spacing w:before="0"/>
      </w:pPr>
      <w:bookmarkStart w:id="148" w:name="_Toc171333293"/>
      <w:bookmarkStart w:id="149" w:name="_Toc199403750"/>
      <w:r>
        <w:t>1. Transições entre instalações correcionais e programas locais (Seção 1414(a)(1)(B) da ESEA)</w:t>
      </w:r>
      <w:bookmarkEnd w:id="148"/>
      <w:bookmarkEnd w:id="149"/>
    </w:p>
    <w:p w14:paraId="186C885C" w14:textId="77777777" w:rsidR="004A54F6" w:rsidRPr="00CC1CB4" w:rsidRDefault="00000000" w:rsidP="0023141A">
      <w:pPr>
        <w:pStyle w:val="blue"/>
        <w:spacing w:before="120" w:after="0"/>
        <w:ind w:left="0"/>
        <w:rPr>
          <w:lang w:val="es-ES"/>
        </w:rPr>
      </w:pPr>
      <w:r>
        <w:rPr>
          <w:rFonts w:ascii="Cambria" w:eastAsia="Cambria" w:hAnsi="Cambria"/>
          <w:lang w:val="pt-BR"/>
        </w:rPr>
        <w:t xml:space="preserve">Fornecer um plano para auxiliar na transição de crianças e jovens entre instalações correcionais e programas operados localmente. </w:t>
      </w:r>
    </w:p>
    <w:p w14:paraId="16B7FFBA" w14:textId="77777777" w:rsidR="00315B0A" w:rsidRPr="00CC1CB4" w:rsidRDefault="00000000" w:rsidP="00315B0A">
      <w:pPr>
        <w:pStyle w:val="EndUSED"/>
        <w:rPr>
          <w:lang w:val="es-ES"/>
        </w:rPr>
      </w:pPr>
      <w:r>
        <w:rPr>
          <w:rFonts w:eastAsia="Times New Roman"/>
          <w:color w:val="FFFFFF"/>
          <w:szCs w:val="4"/>
          <w:lang w:val="pt-BR"/>
        </w:rPr>
        <w:t xml:space="preserve">[finalizar texto do USED] </w:t>
      </w:r>
    </w:p>
    <w:p w14:paraId="2BDA2EEE" w14:textId="77777777" w:rsidR="004A54F6" w:rsidRPr="00CC1CB4" w:rsidRDefault="00000000" w:rsidP="0096141F">
      <w:pPr>
        <w:spacing w:before="240"/>
        <w:rPr>
          <w:rFonts w:eastAsia="Aptos" w:cs="Times New Roman"/>
          <w:color w:val="183C5C"/>
          <w:lang w:val="es-ES"/>
          <w14:ligatures w14:val="standardContextual"/>
        </w:rPr>
      </w:pPr>
      <w:r>
        <w:rPr>
          <w:rFonts w:eastAsia="Times New Roman" w:cs="Times New Roman"/>
          <w:color w:val="183C5C"/>
          <w:lang w:val="pt-BR"/>
        </w:rPr>
        <w:t>[iniciar a resposta do NJDOE]</w:t>
      </w:r>
    </w:p>
    <w:p w14:paraId="6C472851" w14:textId="77777777" w:rsidR="004A54F6" w:rsidRPr="00CC1CB4" w:rsidRDefault="00000000" w:rsidP="004A54F6">
      <w:pPr>
        <w:rPr>
          <w:rFonts w:eastAsia="Aptos" w:cs="Times New Roman"/>
          <w:lang w:val="es-ES"/>
          <w14:ligatures w14:val="standardContextual"/>
        </w:rPr>
      </w:pPr>
      <w:r>
        <w:rPr>
          <w:rFonts w:eastAsia="Times New Roman" w:cs="Times New Roman"/>
          <w:lang w:val="pt-BR"/>
        </w:rPr>
        <w:t xml:space="preserve">As respostas ao Título I, Parte D, estão incluídas no resumo abaixo da próxima seção (2. Objetivos e resultados do programa). </w:t>
      </w:r>
    </w:p>
    <w:p w14:paraId="00E28CB0" w14:textId="703F8148" w:rsidR="004A54F6" w:rsidRPr="00CC1CB4" w:rsidRDefault="00000000" w:rsidP="004A54F6">
      <w:pPr>
        <w:rPr>
          <w:rStyle w:val="NJDOEResponse"/>
          <w:lang w:val="es-ES"/>
        </w:rPr>
      </w:pPr>
      <w:bookmarkStart w:id="150" w:name="_Hlk167314918"/>
      <w:r>
        <w:rPr>
          <w:rStyle w:val="NJDOEResponse"/>
          <w:rFonts w:eastAsia="Times New Roman"/>
          <w:color w:val="365F91"/>
          <w:lang w:val="pt-BR"/>
        </w:rPr>
        <w:t>[finalizar resposta do NJDOE]</w:t>
      </w:r>
    </w:p>
    <w:bookmarkEnd w:id="150"/>
    <w:p w14:paraId="0E3BE6BA" w14:textId="77777777" w:rsidR="004A54F6" w:rsidRPr="00CC1CB4" w:rsidRDefault="00000000" w:rsidP="00CB0C0E">
      <w:pPr>
        <w:pStyle w:val="BeginUSED"/>
        <w:keepNext/>
        <w:rPr>
          <w:rFonts w:eastAsia="Aptos" w:cs="Times New Roman"/>
          <w:b/>
          <w:bCs/>
          <w:color w:val="000000"/>
          <w:sz w:val="24"/>
          <w:szCs w:val="24"/>
          <w:lang w:val="es-ES"/>
          <w14:ligatures w14:val="standardContextual"/>
        </w:rPr>
      </w:pPr>
      <w:r>
        <w:rPr>
          <w:rFonts w:eastAsia="Times New Roman"/>
          <w:color w:val="FFFFFF"/>
          <w:szCs w:val="4"/>
          <w:lang w:val="pt-BR"/>
        </w:rPr>
        <w:lastRenderedPageBreak/>
        <w:t xml:space="preserve">[iniciar o texto do USED] </w:t>
      </w:r>
    </w:p>
    <w:p w14:paraId="2B0F162F" w14:textId="77777777" w:rsidR="0023141A" w:rsidRPr="00CC1CB4" w:rsidRDefault="00000000" w:rsidP="00856537">
      <w:pPr>
        <w:pStyle w:val="A20"/>
        <w:spacing w:before="0"/>
        <w:rPr>
          <w:lang w:val="es-ES"/>
        </w:rPr>
      </w:pPr>
      <w:bookmarkStart w:id="151" w:name="_Toc171333294"/>
      <w:bookmarkStart w:id="152" w:name="_Toc199403751"/>
      <w:r>
        <w:t>2</w:t>
      </w:r>
      <w:r w:rsidRPr="00856537">
        <w:t>.</w:t>
      </w:r>
      <w:r>
        <w:t xml:space="preserve"> Objetivos e resultados do programa (Seção 1414(a)(2)(A) da ESEA)</w:t>
      </w:r>
      <w:bookmarkEnd w:id="151"/>
      <w:bookmarkEnd w:id="152"/>
    </w:p>
    <w:p w14:paraId="7CD2D948" w14:textId="77777777" w:rsidR="004A54F6" w:rsidRPr="00CC1CB4" w:rsidRDefault="00000000" w:rsidP="0023141A">
      <w:pPr>
        <w:pStyle w:val="blue"/>
        <w:spacing w:before="120" w:after="0"/>
        <w:ind w:left="0"/>
        <w:rPr>
          <w:lang w:val="es-ES"/>
        </w:rPr>
      </w:pPr>
      <w:r>
        <w:rPr>
          <w:rFonts w:ascii="Cambria" w:eastAsia="Cambria" w:hAnsi="Cambria"/>
          <w:lang w:val="pt-BR"/>
        </w:rPr>
        <w:t xml:space="preserve">Descrever os objetivos e resultados do programa estabelecidos pelo estado que serão usados para avaliar a eficácia do programa Título I, Parte D, na melhoria das habilidades acadêmicas, profissionais e técnicas das crianças no programa. </w:t>
      </w:r>
    </w:p>
    <w:p w14:paraId="3FE69D4C" w14:textId="77777777" w:rsidR="00315B0A" w:rsidRPr="00CC1CB4" w:rsidRDefault="00000000" w:rsidP="00315B0A">
      <w:pPr>
        <w:pStyle w:val="EndUSED"/>
        <w:rPr>
          <w:rFonts w:ascii="Cambria" w:eastAsia="Yu Gothic Light" w:hAnsi="Cambria"/>
          <w:iCs/>
          <w:color w:val="153D63"/>
          <w:u w:val="single"/>
          <w:lang w:val="es-ES"/>
          <w14:ligatures w14:val="standardContextual"/>
        </w:rPr>
      </w:pPr>
      <w:r>
        <w:rPr>
          <w:rFonts w:eastAsia="Times New Roman"/>
          <w:color w:val="FFFFFF"/>
          <w:szCs w:val="4"/>
          <w:lang w:val="pt-BR"/>
        </w:rPr>
        <w:t>[finalizar texto do USED]</w:t>
      </w:r>
    </w:p>
    <w:p w14:paraId="0D2D51B1" w14:textId="77777777" w:rsidR="004A54F6" w:rsidRPr="00CC1CB4" w:rsidRDefault="00000000" w:rsidP="00F062A3">
      <w:pPr>
        <w:spacing w:before="240"/>
        <w:rPr>
          <w:rFonts w:eastAsia="Aptos" w:cs="Times New Roman"/>
          <w:color w:val="183C5C"/>
          <w:lang w:val="es-ES"/>
          <w14:ligatures w14:val="standardContextual"/>
        </w:rPr>
      </w:pPr>
      <w:r>
        <w:rPr>
          <w:rFonts w:eastAsia="Times New Roman" w:cs="Times New Roman"/>
          <w:color w:val="183C5C"/>
          <w:lang w:val="pt-BR"/>
        </w:rPr>
        <w:t>[iniciar a resposta do NJDOE]</w:t>
      </w:r>
    </w:p>
    <w:p w14:paraId="1EA3A80D" w14:textId="77777777" w:rsidR="004A54F6" w:rsidRPr="00CC1CB4" w:rsidRDefault="00000000" w:rsidP="004A54F6">
      <w:pPr>
        <w:rPr>
          <w:rFonts w:eastAsia="Aptos" w:cs="Times New Roman"/>
          <w:lang w:val="es-ES"/>
          <w14:ligatures w14:val="standardContextual"/>
        </w:rPr>
      </w:pPr>
      <w:r>
        <w:rPr>
          <w:rFonts w:eastAsia="Times New Roman" w:cs="Times New Roman"/>
          <w:lang w:val="pt-BR"/>
        </w:rPr>
        <w:t>Nova Jersey recebe fundos de acordo com o Título I, Parte D, por meio de um subsídio de fórmula com base no número de crianças em instituições estatais e despesas educacionais por aluno. A alocação de cada estado é gerada pela contagem de crianças e jovens em instituições juvenis estaduais que fornecem pelo menos 20 horas de instrução de fundos não federais e instituições correcionais adultas que fornecem 15 horas de instrução por semana. Em seguida, Nova Jersey faz subsídios (Título I, Parte D, Subparte 1) para agências estaduais com base em sua parcela proporcional da contagem de matrículas ajustadas do estado de crianças e jovens negligenciados ou inadimplentes. De acordo com os programas de agências locais (Título I, Parte D, Subparte 2), o NJDOE concede subconcessões às LEAs com altos números ou porcentagens de crianças e jovens em instalações correcionais juvenis operadas localmente, incluindo instalações envolvidas em programas de dias comunitários.</w:t>
      </w:r>
    </w:p>
    <w:p w14:paraId="0772CFC5" w14:textId="77777777" w:rsidR="004A54F6" w:rsidRPr="00CC1CB4" w:rsidRDefault="00000000" w:rsidP="0023141A">
      <w:pPr>
        <w:spacing w:after="120"/>
        <w:rPr>
          <w:rFonts w:eastAsia="Aptos" w:cs="Times New Roman"/>
          <w:lang w:val="es-ES"/>
          <w14:ligatures w14:val="standardContextual"/>
        </w:rPr>
      </w:pPr>
      <w:r>
        <w:rPr>
          <w:rFonts w:eastAsia="Times New Roman" w:cs="Times New Roman"/>
          <w:lang w:val="pt-BR"/>
        </w:rPr>
        <w:t>Agências estaduais (Departamento de Correções, Departamento de Crianças e Famílias e a Comissão de Justiça Juvenil) e LEAs que conduzem programas de Título I, Parte D devem:</w:t>
      </w:r>
    </w:p>
    <w:p w14:paraId="5A997243" w14:textId="77777777" w:rsidR="004A54F6" w:rsidRPr="00CC1CB4" w:rsidRDefault="00000000">
      <w:pPr>
        <w:numPr>
          <w:ilvl w:val="0"/>
          <w:numId w:val="75"/>
        </w:numPr>
        <w:spacing w:after="120"/>
        <w:rPr>
          <w:rFonts w:eastAsia="Aptos" w:cs="Times New Roman"/>
          <w:lang w:val="es-ES"/>
          <w14:ligatures w14:val="standardContextual"/>
        </w:rPr>
      </w:pPr>
      <w:r>
        <w:rPr>
          <w:rFonts w:eastAsia="Times New Roman" w:cs="Times New Roman"/>
          <w:lang w:val="pt-BR"/>
        </w:rPr>
        <w:t>melhorar os serviços educacionais para crianças e jovens em instituições locais e estaduais para que os alunos possam atender aos padrões acadêmicos estaduais desafiadores que todos os alunos no estado devem atender;</w:t>
      </w:r>
    </w:p>
    <w:p w14:paraId="4BC148EF" w14:textId="77777777" w:rsidR="004A54F6" w:rsidRPr="00CC1CB4" w:rsidRDefault="00000000">
      <w:pPr>
        <w:numPr>
          <w:ilvl w:val="0"/>
          <w:numId w:val="75"/>
        </w:numPr>
        <w:spacing w:after="120"/>
        <w:rPr>
          <w:rFonts w:eastAsia="Aptos" w:cs="Times New Roman"/>
          <w:lang w:val="es-ES"/>
          <w14:ligatures w14:val="standardContextual"/>
        </w:rPr>
      </w:pPr>
      <w:r>
        <w:rPr>
          <w:rFonts w:eastAsia="Times New Roman" w:cs="Times New Roman"/>
          <w:lang w:val="pt-BR"/>
        </w:rPr>
        <w:t>fornecer aos filhos e jovens que retornam de instituições locais e estaduais os serviços necessários para fazer a transição de volta à escola ou emprego com sucesso;</w:t>
      </w:r>
    </w:p>
    <w:p w14:paraId="5117D56F" w14:textId="77777777" w:rsidR="006415C4" w:rsidRPr="00CC1CB4" w:rsidRDefault="00000000">
      <w:pPr>
        <w:numPr>
          <w:ilvl w:val="0"/>
          <w:numId w:val="75"/>
        </w:numPr>
        <w:spacing w:after="240"/>
        <w:rPr>
          <w:rFonts w:eastAsia="Aptos" w:cs="Times New Roman"/>
          <w:lang w:val="es-ES"/>
          <w14:ligatures w14:val="standardContextual"/>
        </w:rPr>
      </w:pPr>
      <w:r>
        <w:rPr>
          <w:rFonts w:eastAsia="Times New Roman" w:cs="Times New Roman"/>
          <w:lang w:val="pt-BR"/>
        </w:rPr>
        <w:t>impedir que jovens em situação de risco abandonem a escola e fornecer aos que abandonaram a escola e às crianças e jovens que retornam de instituições locais e estaduais um sistema de apoio para garantir sua educação continuada e o envolvimento de suas famílias e comunidades.</w:t>
      </w:r>
    </w:p>
    <w:p w14:paraId="1A63F0A6" w14:textId="77777777" w:rsidR="004A54F6" w:rsidRPr="00CC1CB4" w:rsidRDefault="00000000" w:rsidP="004A54F6">
      <w:pPr>
        <w:rPr>
          <w:rFonts w:eastAsia="Aptos" w:cs="Times New Roman"/>
          <w:lang w:val="es-ES"/>
          <w14:ligatures w14:val="standardContextual"/>
        </w:rPr>
      </w:pPr>
      <w:r>
        <w:rPr>
          <w:rFonts w:eastAsia="Times New Roman" w:cs="Times New Roman"/>
          <w:lang w:val="pt-BR"/>
        </w:rPr>
        <w:t xml:space="preserve">Através da aprovação e monitoramento da agência estadual necessária e dos planos do programa da LEA, bem como as regulamentações estaduais que garantem que a LEA de residência de cada aluno receba comunicação oportuna sobre o progresso do aluno, o NJDOE está posicionada para ajudar instituições e instalações a melhorar a qualidade dos serviços educacionais com base nas necessidades específicas de um aluno individual, proporcionando aos alunos elegíveis as mesmas oportunidades de sucesso acadêmico que seus colegas em escolas públicas tradicionais. Sob o Título I, Parte D, Subparte 1, os programas, projetos e atividades incluem instrução acadêmica em leitura, matemática, ELA e formação profissional e técnica. De acordo com o Título I, Parte D, Subparte 2, os fundos podem ser usados para apoiar programas de educação de alta qualidade que preparam crianças e jovens para concluir o ensino médio, entrar em programas de treinamento ou emprego, ou promover sua educação; implementar atividades que facilitem a transição de crianças e jovens de um programa correcional para uma instituição </w:t>
      </w:r>
      <w:r>
        <w:rPr>
          <w:rFonts w:eastAsia="Times New Roman" w:cs="Times New Roman"/>
          <w:lang w:val="pt-BR"/>
        </w:rPr>
        <w:lastRenderedPageBreak/>
        <w:t>para educação ou emprego adicional; e operar programas de prevenção de desistência em escolas locais. Também permitido sob o Título I, Parte D, Subparte 2 é a coordenação de serviços sociais e de saúde para crianças e jovens em risco; programas especiais que atendem às necessidades acadêmicas exclusivas de crianças e jovens em risco, incluindo educação profissional e técnica, educação especial, aconselhamento de carreira, educação de empreendedorismo baseada em currículo e assistência na obtenção de empréstimos ou subsídios para estudantes para educação pós-secundária; e programas que fornecem orientação e mediação por pares.</w:t>
      </w:r>
    </w:p>
    <w:p w14:paraId="0713C44F" w14:textId="77777777" w:rsidR="004A54F6" w:rsidRPr="00CC1CB4" w:rsidRDefault="00000000" w:rsidP="004A54F6">
      <w:pPr>
        <w:rPr>
          <w:rFonts w:eastAsia="Aptos" w:cs="Times New Roman"/>
          <w:lang w:val="es-ES"/>
          <w14:ligatures w14:val="standardContextual"/>
        </w:rPr>
      </w:pPr>
      <w:r>
        <w:rPr>
          <w:rFonts w:eastAsia="Times New Roman" w:cs="Times New Roman"/>
          <w:lang w:val="pt-BR"/>
        </w:rPr>
        <w:t>Nova Jersey fornece recursos e oportunidades de assistência técnica para apoiar agências estaduais e as LEAs no atendimento às necessidades de jovens negligenciados, inadimplentes e em situação de risco de forma contínua por meio de resposta direta a consultas e com o apoio do Centro de Assistência Técnica a Negligenciados e Delinquentes, que é apoiado pelo USED. O Centro de Assistência Técnica a Negligenciados e Delinquentes serve como um centro de recursos nacional para fornecer assistência direta a estados, escolas, comunidades e pais que buscam informações sobre a educação de crianças e jovens negligenciados, inadimplentes ou em risco. Outros recursos também são compartilhados com agências estaduais, conforme apropriado. Além disso, o NJDOE está preparado para ajudar as agências a melhorar as condições de aprendizagem por meio de iniciativas climáticas escolares (por exemplo, aprendizagem social e emocional, justiça restaurativa) e o Sistema de Apoio em Camadas de Nova Jersey (NJTSS).</w:t>
      </w:r>
    </w:p>
    <w:p w14:paraId="1C5EC06D" w14:textId="77777777" w:rsidR="004A54F6" w:rsidRPr="00CC1CB4" w:rsidRDefault="00000000" w:rsidP="004A54F6">
      <w:pPr>
        <w:rPr>
          <w:rFonts w:eastAsia="Aptos" w:cs="Times New Roman"/>
          <w:lang w:val="es-ES"/>
          <w14:ligatures w14:val="standardContextual"/>
        </w:rPr>
      </w:pPr>
      <w:bookmarkStart w:id="153" w:name="_Int_EGRQyfzx"/>
      <w:r>
        <w:rPr>
          <w:rFonts w:eastAsia="Times New Roman" w:cs="Times New Roman"/>
          <w:lang w:val="pt-BR"/>
        </w:rPr>
        <w:t>Auxiliar na transição de crianças e jovens de programas operados localmente para instalações correcionais, o NJDOE promulgou regras através do N.J.A.C. 6A:17-3, Programas educacionais para estudantes em instalações estaduais para “desenvolver um plano de programa individualizado, dentro de 30 dias corridos, para cada aluno de educação geral, em consulta com os pais do aluno, a LEA de residência, e uma equipe de profissionais com conhecimento da educação do aluno, comportamentais, emocional, social, e necessidades de saúde para identificar os serviços de apoio e instrução apropriados.” O plano do programa individualizado deve incluir informações sobre o domínio atual dos padrões acadêmicos do aluno, os requisitos ainda necessários para se formar na LEA de residência do aluno e os serviços necessários para facilitar a reentrada após a conclusão.</w:t>
      </w:r>
      <w:bookmarkEnd w:id="153"/>
      <w:r>
        <w:rPr>
          <w:rFonts w:eastAsia="Times New Roman" w:cs="Times New Roman"/>
          <w:lang w:val="pt-BR"/>
        </w:rPr>
        <w:t xml:space="preserve"> </w:t>
      </w:r>
    </w:p>
    <w:p w14:paraId="7A08D223" w14:textId="77777777" w:rsidR="004A54F6" w:rsidRPr="00CC1CB4" w:rsidRDefault="00000000" w:rsidP="004A54F6">
      <w:pPr>
        <w:rPr>
          <w:rFonts w:eastAsia="Aptos" w:cs="Times New Roman"/>
          <w:lang w:val="es-ES"/>
          <w14:ligatures w14:val="standardContextual"/>
        </w:rPr>
      </w:pPr>
      <w:r>
        <w:rPr>
          <w:rFonts w:eastAsia="Times New Roman" w:cs="Times New Roman"/>
          <w:lang w:val="pt-BR"/>
        </w:rPr>
        <w:t>Auxiliar na transição de crianças e jovens entre instalações correcionais e programas operados localmente e garantir a reinscrição oportuna e a transferência de créditos que os alunos ganham durante a colocação, o NJDOE tem regras promulgadas no N.J.A.C. 6A:17-3 que se aplicam a todos os programas educacionais fornecidos pelo Departamento de Correções, Departamento de Crianças e Famílias, e a Comissão de Justiça Juvenil para estudantes de educação geral com idades entre 5 e 20 anos e para estudantes com deficiências com idades entre 3 e 21 anos que não possuem diploma de ensino médio.</w:t>
      </w:r>
    </w:p>
    <w:p w14:paraId="3F727FED" w14:textId="77777777" w:rsidR="004A54F6" w:rsidRPr="00CC1CB4" w:rsidRDefault="00000000" w:rsidP="004A54F6">
      <w:pPr>
        <w:rPr>
          <w:rFonts w:eastAsia="Aptos" w:cs="Times New Roman"/>
          <w:lang w:val="es-ES"/>
          <w14:ligatures w14:val="standardContextual"/>
        </w:rPr>
      </w:pPr>
      <w:r>
        <w:rPr>
          <w:rFonts w:eastAsia="Times New Roman" w:cs="Times New Roman"/>
          <w:lang w:val="pt-BR"/>
        </w:rPr>
        <w:t xml:space="preserve">Para todos os alunos, cada agência estadual deve transferir registros educacionais e um relatório final de progresso para cada aluno que sai de uma instalação estadual para a LEA identificada na alta dentro de dez dias escolares da saída do aluno. </w:t>
      </w:r>
    </w:p>
    <w:p w14:paraId="26A280A4" w14:textId="77777777" w:rsidR="004A54F6" w:rsidRPr="00CC1CB4" w:rsidRDefault="00000000" w:rsidP="004A54F6">
      <w:pPr>
        <w:rPr>
          <w:rFonts w:eastAsia="Aptos" w:cs="Times New Roman"/>
          <w:lang w:val="es-ES"/>
          <w14:ligatures w14:val="standardContextual"/>
        </w:rPr>
      </w:pPr>
      <w:r>
        <w:rPr>
          <w:rFonts w:eastAsia="Times New Roman" w:cs="Times New Roman"/>
          <w:lang w:val="pt-BR"/>
        </w:rPr>
        <w:t xml:space="preserve">O NJDOE também promulgou regras no N.J.A.C. 6A:14-8, Programas Operados pelos Departamentos de Correções, Crianças e Famílias e Serviços Humanos, e a Comissão de Justiça Juvenil para estudantes com deficiências. Quando o aluno entra na instalação, este regulamento estadual exige que a agência estadual forneça um programa comparável ao programa de educação especial no IEP atual do aluno e, subsequentemente, implemente o IEP atual ou desenvolva um novo IEP. O N.J.A.C. 6A:14-8 também </w:t>
      </w:r>
      <w:r>
        <w:rPr>
          <w:rFonts w:eastAsia="Times New Roman" w:cs="Times New Roman"/>
          <w:lang w:val="pt-BR"/>
        </w:rPr>
        <w:lastRenderedPageBreak/>
        <w:t>exige a transferência de registros obrigatórios de alunos e a facilitação da entrada de um aluno na LEA de residência, conforme apropriado.</w:t>
      </w:r>
    </w:p>
    <w:p w14:paraId="432DC960" w14:textId="77777777" w:rsidR="004A54F6" w:rsidRPr="00CC1CB4" w:rsidRDefault="00000000" w:rsidP="004A54F6">
      <w:pPr>
        <w:rPr>
          <w:rFonts w:eastAsia="Aptos" w:cs="Times New Roman"/>
          <w:lang w:val="es-ES"/>
          <w14:ligatures w14:val="standardContextual"/>
        </w:rPr>
      </w:pPr>
      <w:r>
        <w:rPr>
          <w:rFonts w:eastAsia="Times New Roman" w:cs="Times New Roman"/>
          <w:lang w:val="pt-BR"/>
        </w:rPr>
        <w:t xml:space="preserve">O NJDOE desenvolveu orientação para as LEAs sobre as melhores práticas para os serviços e suporte necessários para ajudar os alunos a fazer a transição para instalações estaduais e fazer uma reinscrição oportuna e uma transição bem-sucedida de volta à escola. </w:t>
      </w:r>
    </w:p>
    <w:p w14:paraId="4E9351C0" w14:textId="77777777" w:rsidR="00B06659" w:rsidRPr="00CC1CB4" w:rsidRDefault="00000000" w:rsidP="00F86F30">
      <w:pPr>
        <w:pStyle w:val="aff0"/>
        <w:rPr>
          <w:lang w:val="es-ES"/>
        </w:rPr>
      </w:pPr>
      <w:r>
        <w:rPr>
          <w:rFonts w:eastAsia="Cambria"/>
          <w:lang w:val="pt-BR"/>
        </w:rPr>
        <w:t>Figura C.1: Objetivos, resultados e prazos do programa de Nova Jersey</w:t>
      </w:r>
    </w:p>
    <w:tbl>
      <w:tblPr>
        <w:tblStyle w:val="GridTable2-Accent11"/>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115" w:type="dxa"/>
          <w:right w:w="115" w:type="dxa"/>
        </w:tblCellMar>
        <w:tblLook w:val="0420" w:firstRow="1" w:lastRow="0" w:firstColumn="0" w:lastColumn="0" w:noHBand="0" w:noVBand="1"/>
      </w:tblPr>
      <w:tblGrid>
        <w:gridCol w:w="3610"/>
        <w:gridCol w:w="3609"/>
        <w:gridCol w:w="2226"/>
      </w:tblGrid>
      <w:tr w:rsidR="00C566B2" w14:paraId="4AD19F11" w14:textId="77777777" w:rsidTr="00C566B2">
        <w:trPr>
          <w:cnfStyle w:val="100000000000" w:firstRow="1" w:lastRow="0" w:firstColumn="0" w:lastColumn="0" w:oddVBand="0" w:evenVBand="0" w:oddHBand="0" w:evenHBand="0" w:firstRowFirstColumn="0" w:firstRowLastColumn="0" w:lastRowFirstColumn="0" w:lastRowLastColumn="0"/>
          <w:trHeight w:val="112"/>
          <w:tblHeader/>
          <w:jc w:val="center"/>
        </w:trPr>
        <w:tc>
          <w:tcPr>
            <w:tcW w:w="3610" w:type="dxa"/>
            <w:tcBorders>
              <w:bottom w:val="single" w:sz="4" w:space="0" w:color="0F243E" w:themeColor="text2" w:themeShade="80"/>
              <w:right w:val="single" w:sz="4" w:space="0" w:color="FFFFFF" w:themeColor="background1"/>
            </w:tcBorders>
            <w:shd w:val="clear" w:color="auto" w:fill="074F6A"/>
          </w:tcPr>
          <w:p w14:paraId="04B3FF7B" w14:textId="77777777" w:rsidR="00B06659" w:rsidRPr="007F3AF1" w:rsidRDefault="00000000" w:rsidP="00F70542">
            <w:pPr>
              <w:spacing w:line="259" w:lineRule="auto"/>
              <w:jc w:val="center"/>
              <w:rPr>
                <w:bCs w:val="0"/>
                <w:color w:val="FFFFFF"/>
                <w:sz w:val="22"/>
                <w:szCs w:val="22"/>
              </w:rPr>
            </w:pPr>
            <w:r>
              <w:rPr>
                <w:rFonts w:eastAsia="Times New Roman"/>
                <w:color w:val="FFFFFF"/>
                <w:sz w:val="22"/>
                <w:szCs w:val="22"/>
                <w:lang w:val="pt-BR"/>
              </w:rPr>
              <w:t>Objetivo</w:t>
            </w:r>
          </w:p>
        </w:tc>
        <w:tc>
          <w:tcPr>
            <w:tcW w:w="3609" w:type="dxa"/>
            <w:tcBorders>
              <w:left w:val="single" w:sz="4" w:space="0" w:color="FFFFFF" w:themeColor="background1"/>
              <w:bottom w:val="single" w:sz="4" w:space="0" w:color="0F243E" w:themeColor="text2" w:themeShade="80"/>
              <w:right w:val="single" w:sz="4" w:space="0" w:color="FFFFFF" w:themeColor="background1"/>
            </w:tcBorders>
            <w:shd w:val="clear" w:color="auto" w:fill="074F6A"/>
          </w:tcPr>
          <w:p w14:paraId="085CC52A" w14:textId="77777777" w:rsidR="00B06659" w:rsidRPr="007F3AF1" w:rsidRDefault="00000000" w:rsidP="00F70542">
            <w:pPr>
              <w:spacing w:line="259" w:lineRule="auto"/>
              <w:jc w:val="center"/>
              <w:rPr>
                <w:bCs w:val="0"/>
                <w:color w:val="FFFFFF"/>
                <w:sz w:val="22"/>
                <w:szCs w:val="22"/>
              </w:rPr>
            </w:pPr>
            <w:r>
              <w:rPr>
                <w:rFonts w:eastAsia="Times New Roman"/>
                <w:color w:val="FFFFFF"/>
                <w:sz w:val="22"/>
                <w:szCs w:val="22"/>
                <w:lang w:val="pt-BR"/>
              </w:rPr>
              <w:t>Resultado</w:t>
            </w:r>
          </w:p>
        </w:tc>
        <w:tc>
          <w:tcPr>
            <w:tcW w:w="2226" w:type="dxa"/>
            <w:tcBorders>
              <w:left w:val="single" w:sz="4" w:space="0" w:color="FFFFFF" w:themeColor="background1"/>
              <w:bottom w:val="single" w:sz="4" w:space="0" w:color="0F243E" w:themeColor="text2" w:themeShade="80"/>
            </w:tcBorders>
            <w:shd w:val="clear" w:color="auto" w:fill="074F6A"/>
          </w:tcPr>
          <w:p w14:paraId="6A048790" w14:textId="77777777" w:rsidR="00B06659" w:rsidRPr="007F3AF1" w:rsidRDefault="00000000" w:rsidP="00F70542">
            <w:pPr>
              <w:spacing w:line="259" w:lineRule="auto"/>
              <w:jc w:val="center"/>
              <w:rPr>
                <w:bCs w:val="0"/>
                <w:color w:val="FFFFFF"/>
                <w:sz w:val="22"/>
                <w:szCs w:val="22"/>
              </w:rPr>
            </w:pPr>
            <w:r>
              <w:rPr>
                <w:rFonts w:eastAsia="Times New Roman"/>
                <w:color w:val="FFFFFF"/>
                <w:sz w:val="22"/>
                <w:szCs w:val="22"/>
                <w:lang w:val="pt-BR"/>
              </w:rPr>
              <w:t>Prazo</w:t>
            </w:r>
          </w:p>
        </w:tc>
      </w:tr>
      <w:tr w:rsidR="00C566B2" w14:paraId="7760993F" w14:textId="77777777" w:rsidTr="00C566B2">
        <w:trPr>
          <w:cnfStyle w:val="100000000000" w:firstRow="1" w:lastRow="0" w:firstColumn="0" w:lastColumn="0" w:oddVBand="0" w:evenVBand="0" w:oddHBand="0" w:evenHBand="0" w:firstRowFirstColumn="0" w:firstRowLastColumn="0" w:lastRowFirstColumn="0" w:lastRowLastColumn="0"/>
          <w:trHeight w:val="985"/>
          <w:tblHeader/>
          <w:jc w:val="center"/>
        </w:trPr>
        <w:tc>
          <w:tcPr>
            <w:tcW w:w="3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66D01D66" w14:textId="77777777" w:rsidR="00B06659" w:rsidRPr="00CC1CB4" w:rsidRDefault="00000000" w:rsidP="00F70542">
            <w:pPr>
              <w:spacing w:line="259" w:lineRule="auto"/>
              <w:rPr>
                <w:sz w:val="22"/>
                <w:szCs w:val="22"/>
                <w:lang w:val="es-ES"/>
              </w:rPr>
            </w:pPr>
            <w:r>
              <w:rPr>
                <w:rFonts w:eastAsia="Times New Roman"/>
                <w:b w:val="0"/>
                <w:bCs w:val="0"/>
                <w:sz w:val="22"/>
                <w:szCs w:val="22"/>
                <w:lang w:val="pt-BR"/>
              </w:rPr>
              <w:t>Garantir que agências estaduais e LEAs estabeleçam metas de desempenho.</w:t>
            </w:r>
          </w:p>
        </w:tc>
        <w:tc>
          <w:tcPr>
            <w:tcW w:w="360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5904C42B" w14:textId="77777777" w:rsidR="00B06659" w:rsidRPr="00CC1CB4" w:rsidRDefault="00000000" w:rsidP="00F70542">
            <w:pPr>
              <w:spacing w:line="259" w:lineRule="auto"/>
              <w:rPr>
                <w:sz w:val="22"/>
                <w:szCs w:val="22"/>
                <w:lang w:val="es-ES"/>
              </w:rPr>
            </w:pPr>
            <w:r>
              <w:rPr>
                <w:rFonts w:eastAsia="Times New Roman"/>
                <w:b w:val="0"/>
                <w:bCs w:val="0"/>
                <w:sz w:val="22"/>
                <w:szCs w:val="22"/>
                <w:lang w:val="pt-BR"/>
              </w:rPr>
              <w:t>Medição para monitorar o progresso de todos os alunos em atender aos padrões acadêmicos desafiadores do estado e metas de desempenho de responsabilidade.</w:t>
            </w:r>
          </w:p>
        </w:tc>
        <w:tc>
          <w:tcPr>
            <w:tcW w:w="222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26E697F7" w14:textId="77777777" w:rsidR="00B06659" w:rsidRPr="007F3AF1" w:rsidRDefault="00000000" w:rsidP="00F70542">
            <w:pPr>
              <w:spacing w:line="259" w:lineRule="auto"/>
              <w:rPr>
                <w:sz w:val="22"/>
                <w:szCs w:val="22"/>
              </w:rPr>
            </w:pPr>
            <w:r>
              <w:rPr>
                <w:rFonts w:eastAsia="Times New Roman"/>
                <w:b w:val="0"/>
                <w:bCs w:val="0"/>
                <w:sz w:val="22"/>
                <w:szCs w:val="22"/>
                <w:lang w:val="pt-BR"/>
              </w:rPr>
              <w:t xml:space="preserve">Anualmente </w:t>
            </w:r>
          </w:p>
        </w:tc>
      </w:tr>
      <w:tr w:rsidR="00C566B2" w14:paraId="392E13CE" w14:textId="77777777" w:rsidTr="00C566B2">
        <w:trPr>
          <w:cnfStyle w:val="100000000000" w:firstRow="1" w:lastRow="0" w:firstColumn="0" w:lastColumn="0" w:oddVBand="0" w:evenVBand="0" w:oddHBand="0" w:evenHBand="0" w:firstRowFirstColumn="0" w:firstRowLastColumn="0" w:lastRowFirstColumn="0" w:lastRowLastColumn="0"/>
          <w:trHeight w:val="706"/>
          <w:tblHeader/>
          <w:jc w:val="center"/>
        </w:trPr>
        <w:tc>
          <w:tcPr>
            <w:tcW w:w="3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uto"/>
          </w:tcPr>
          <w:p w14:paraId="4FE400C5" w14:textId="77777777" w:rsidR="00B06659" w:rsidRPr="00CC1CB4" w:rsidRDefault="00000000" w:rsidP="00F70542">
            <w:pPr>
              <w:spacing w:line="259" w:lineRule="auto"/>
              <w:rPr>
                <w:sz w:val="22"/>
                <w:szCs w:val="22"/>
                <w:lang w:val="es-ES"/>
              </w:rPr>
            </w:pPr>
            <w:r>
              <w:rPr>
                <w:rFonts w:eastAsia="Times New Roman"/>
                <w:b w:val="0"/>
                <w:bCs w:val="0"/>
                <w:sz w:val="22"/>
                <w:szCs w:val="22"/>
                <w:lang w:val="pt-BR"/>
              </w:rPr>
              <w:t>Garantir discussões contínuas e colaborativas com agências estaduais e LEAs para determinar suas necessidades.</w:t>
            </w:r>
          </w:p>
        </w:tc>
        <w:tc>
          <w:tcPr>
            <w:tcW w:w="360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uto"/>
          </w:tcPr>
          <w:p w14:paraId="78FE5B35" w14:textId="77777777" w:rsidR="00B06659" w:rsidRPr="00CC1CB4" w:rsidRDefault="00000000" w:rsidP="00F70542">
            <w:pPr>
              <w:spacing w:line="259" w:lineRule="auto"/>
              <w:rPr>
                <w:sz w:val="22"/>
                <w:szCs w:val="22"/>
                <w:lang w:val="es-ES"/>
              </w:rPr>
            </w:pPr>
            <w:r>
              <w:rPr>
                <w:rFonts w:eastAsia="Times New Roman"/>
                <w:b w:val="0"/>
                <w:bCs w:val="0"/>
                <w:sz w:val="22"/>
                <w:szCs w:val="22"/>
                <w:lang w:val="pt-BR"/>
              </w:rPr>
              <w:t>Fornecer desenvolvimento profissional, assistência técnica e/ou recursos adequados.</w:t>
            </w:r>
          </w:p>
        </w:tc>
        <w:tc>
          <w:tcPr>
            <w:tcW w:w="222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uto"/>
          </w:tcPr>
          <w:p w14:paraId="50FDF1B2" w14:textId="77777777" w:rsidR="00B06659" w:rsidRPr="007F3AF1" w:rsidRDefault="00000000" w:rsidP="00F70542">
            <w:pPr>
              <w:spacing w:line="259" w:lineRule="auto"/>
              <w:rPr>
                <w:sz w:val="22"/>
                <w:szCs w:val="22"/>
              </w:rPr>
            </w:pPr>
            <w:r>
              <w:rPr>
                <w:rFonts w:eastAsia="Times New Roman"/>
                <w:b w:val="0"/>
                <w:bCs w:val="0"/>
                <w:sz w:val="22"/>
                <w:szCs w:val="22"/>
                <w:lang w:val="pt-BR"/>
              </w:rPr>
              <w:t>Trimestralmente</w:t>
            </w:r>
          </w:p>
        </w:tc>
      </w:tr>
      <w:tr w:rsidR="00C566B2" w:rsidRPr="00C04CDD" w14:paraId="3BEE7F7E" w14:textId="77777777" w:rsidTr="00C566B2">
        <w:trPr>
          <w:cnfStyle w:val="100000000000" w:firstRow="1" w:lastRow="0" w:firstColumn="0" w:lastColumn="0" w:oddVBand="0" w:evenVBand="0" w:oddHBand="0" w:evenHBand="0" w:firstRowFirstColumn="0" w:firstRowLastColumn="0" w:lastRowFirstColumn="0" w:lastRowLastColumn="0"/>
          <w:trHeight w:val="243"/>
          <w:tblHeader/>
          <w:jc w:val="center"/>
        </w:trPr>
        <w:tc>
          <w:tcPr>
            <w:tcW w:w="3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37BA8D05" w14:textId="77777777" w:rsidR="00B06659" w:rsidRPr="00CC1CB4" w:rsidRDefault="00000000" w:rsidP="00F70542">
            <w:pPr>
              <w:spacing w:line="259" w:lineRule="auto"/>
              <w:rPr>
                <w:sz w:val="22"/>
                <w:szCs w:val="22"/>
                <w:lang w:val="es-ES"/>
              </w:rPr>
            </w:pPr>
            <w:r>
              <w:rPr>
                <w:rFonts w:eastAsia="Times New Roman"/>
                <w:b w:val="0"/>
                <w:bCs w:val="0"/>
                <w:sz w:val="22"/>
                <w:szCs w:val="22"/>
                <w:lang w:val="pt-BR"/>
              </w:rPr>
              <w:t>Garantir que as agências estaduais e LEAs aumentem o número de alunos com diplomas do ensino médio que fazem a transição para ensino superior, treinamento profissional ou emprego dentro de 90 dias da saída.</w:t>
            </w:r>
          </w:p>
        </w:tc>
        <w:tc>
          <w:tcPr>
            <w:tcW w:w="360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0AC0C1BA" w14:textId="77777777" w:rsidR="00B06659" w:rsidRPr="00CC1CB4" w:rsidRDefault="00000000" w:rsidP="00F70542">
            <w:pPr>
              <w:spacing w:line="259" w:lineRule="auto"/>
              <w:rPr>
                <w:sz w:val="22"/>
                <w:szCs w:val="22"/>
                <w:lang w:val="es-ES"/>
              </w:rPr>
            </w:pPr>
            <w:r>
              <w:rPr>
                <w:rFonts w:eastAsia="Times New Roman"/>
                <w:b w:val="0"/>
                <w:bCs w:val="0"/>
                <w:sz w:val="22"/>
                <w:szCs w:val="22"/>
                <w:lang w:val="pt-BR"/>
              </w:rPr>
              <w:t>Aumentar a porcentagem de alunos com diploma do ensino médio ou equivalente que fizeram a transição com sucesso para ensino superior, treinamento profissional ou emprego.</w:t>
            </w:r>
          </w:p>
        </w:tc>
        <w:tc>
          <w:tcPr>
            <w:tcW w:w="222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1FD4A5EF" w14:textId="77777777" w:rsidR="00B06659" w:rsidRPr="00CC1CB4" w:rsidRDefault="00000000" w:rsidP="00F70542">
            <w:pPr>
              <w:spacing w:line="259" w:lineRule="auto"/>
              <w:rPr>
                <w:sz w:val="22"/>
                <w:szCs w:val="22"/>
                <w:lang w:val="es-ES"/>
              </w:rPr>
            </w:pPr>
            <w:r>
              <w:rPr>
                <w:rFonts w:eastAsia="Times New Roman"/>
                <w:b w:val="0"/>
                <w:bCs w:val="0"/>
                <w:sz w:val="22"/>
                <w:szCs w:val="22"/>
                <w:lang w:val="pt-BR"/>
              </w:rPr>
              <w:t>Avaliar não menos de uma vez a cada 3 anos (ESSA, Seção 1431).</w:t>
            </w:r>
          </w:p>
        </w:tc>
      </w:tr>
      <w:tr w:rsidR="00C566B2" w:rsidRPr="00C04CDD" w14:paraId="0CC677BF" w14:textId="77777777" w:rsidTr="00C566B2">
        <w:trPr>
          <w:cnfStyle w:val="100000000000" w:firstRow="1" w:lastRow="0" w:firstColumn="0" w:lastColumn="0" w:oddVBand="0" w:evenVBand="0" w:oddHBand="0" w:evenHBand="0" w:firstRowFirstColumn="0" w:firstRowLastColumn="0" w:lastRowFirstColumn="0" w:lastRowLastColumn="0"/>
          <w:trHeight w:val="243"/>
          <w:tblHeader/>
          <w:jc w:val="center"/>
        </w:trPr>
        <w:tc>
          <w:tcPr>
            <w:tcW w:w="3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uto"/>
          </w:tcPr>
          <w:p w14:paraId="479DCB0E" w14:textId="77777777" w:rsidR="00B06659" w:rsidRPr="00CC1CB4" w:rsidRDefault="00000000" w:rsidP="00F70542">
            <w:pPr>
              <w:spacing w:line="259" w:lineRule="auto"/>
              <w:rPr>
                <w:sz w:val="22"/>
                <w:szCs w:val="22"/>
                <w:lang w:val="es-ES"/>
              </w:rPr>
            </w:pPr>
            <w:r>
              <w:rPr>
                <w:rFonts w:eastAsia="Times New Roman"/>
                <w:b w:val="0"/>
                <w:bCs w:val="0"/>
                <w:sz w:val="22"/>
                <w:szCs w:val="22"/>
                <w:lang w:val="pt-BR"/>
              </w:rPr>
              <w:t>Garantir que agências estaduais e LEAs aumentem o número de alunos que obtêm um diploma do ensino médio antes da saída.</w:t>
            </w:r>
          </w:p>
        </w:tc>
        <w:tc>
          <w:tcPr>
            <w:tcW w:w="360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uto"/>
          </w:tcPr>
          <w:p w14:paraId="0B83C077" w14:textId="77777777" w:rsidR="00B06659" w:rsidRPr="00CC1CB4" w:rsidRDefault="00000000" w:rsidP="00F70542">
            <w:pPr>
              <w:spacing w:line="259" w:lineRule="auto"/>
              <w:rPr>
                <w:sz w:val="22"/>
                <w:szCs w:val="22"/>
                <w:lang w:val="es-ES"/>
              </w:rPr>
            </w:pPr>
            <w:r>
              <w:rPr>
                <w:rFonts w:eastAsia="Times New Roman"/>
                <w:b w:val="0"/>
                <w:bCs w:val="0"/>
                <w:sz w:val="22"/>
                <w:szCs w:val="22"/>
                <w:lang w:val="pt-BR"/>
              </w:rPr>
              <w:t>Aumentar a porcentagem de alunos que obtêm um diploma do ensino médio, ou equivalente, antes de sair.</w:t>
            </w:r>
          </w:p>
        </w:tc>
        <w:tc>
          <w:tcPr>
            <w:tcW w:w="222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uto"/>
          </w:tcPr>
          <w:p w14:paraId="587B49AE" w14:textId="77777777" w:rsidR="00B06659" w:rsidRPr="00CC1CB4" w:rsidRDefault="00000000" w:rsidP="00F70542">
            <w:pPr>
              <w:spacing w:line="259" w:lineRule="auto"/>
              <w:rPr>
                <w:sz w:val="22"/>
                <w:szCs w:val="22"/>
                <w:lang w:val="es-ES"/>
              </w:rPr>
            </w:pPr>
            <w:r>
              <w:rPr>
                <w:rFonts w:eastAsia="Times New Roman"/>
                <w:b w:val="0"/>
                <w:bCs w:val="0"/>
                <w:sz w:val="22"/>
                <w:szCs w:val="22"/>
                <w:lang w:val="pt-BR"/>
              </w:rPr>
              <w:t>Avaliar não menos de uma vez a cada 3 anos (ESSA, Seção 1431).</w:t>
            </w:r>
          </w:p>
        </w:tc>
      </w:tr>
      <w:tr w:rsidR="00C566B2" w:rsidRPr="00C04CDD" w14:paraId="5E1A965A" w14:textId="77777777" w:rsidTr="00C566B2">
        <w:trPr>
          <w:cnfStyle w:val="100000000000" w:firstRow="1" w:lastRow="0" w:firstColumn="0" w:lastColumn="0" w:oddVBand="0" w:evenVBand="0" w:oddHBand="0" w:evenHBand="0" w:firstRowFirstColumn="0" w:firstRowLastColumn="0" w:lastRowFirstColumn="0" w:lastRowLastColumn="0"/>
          <w:trHeight w:val="1210"/>
          <w:tblHeader/>
          <w:jc w:val="center"/>
        </w:trPr>
        <w:tc>
          <w:tcPr>
            <w:tcW w:w="3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34ECA491" w14:textId="77777777" w:rsidR="00B06659" w:rsidRPr="00CC1CB4" w:rsidRDefault="00000000" w:rsidP="00F70542">
            <w:pPr>
              <w:spacing w:line="259" w:lineRule="auto"/>
              <w:rPr>
                <w:sz w:val="22"/>
                <w:szCs w:val="22"/>
                <w:lang w:val="es-ES"/>
              </w:rPr>
            </w:pPr>
            <w:r>
              <w:rPr>
                <w:rFonts w:eastAsia="Times New Roman"/>
                <w:b w:val="0"/>
                <w:bCs w:val="0"/>
                <w:sz w:val="22"/>
                <w:szCs w:val="22"/>
                <w:lang w:val="pt-BR"/>
              </w:rPr>
              <w:t>Garantir que agências estaduais e LEAs aumentem o número de alunos em transição para ensino superior, treinamento profissional ou emprego.</w:t>
            </w:r>
          </w:p>
        </w:tc>
        <w:tc>
          <w:tcPr>
            <w:tcW w:w="360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757221C5" w14:textId="77777777" w:rsidR="00B06659" w:rsidRPr="00CC1CB4" w:rsidRDefault="00000000" w:rsidP="00F70542">
            <w:pPr>
              <w:spacing w:line="259" w:lineRule="auto"/>
              <w:rPr>
                <w:sz w:val="22"/>
                <w:szCs w:val="22"/>
                <w:lang w:val="es-ES"/>
              </w:rPr>
            </w:pPr>
            <w:r>
              <w:rPr>
                <w:rFonts w:eastAsia="Times New Roman"/>
                <w:b w:val="0"/>
                <w:bCs w:val="0"/>
                <w:sz w:val="22"/>
                <w:szCs w:val="22"/>
                <w:lang w:val="pt-BR"/>
              </w:rPr>
              <w:t>Aumentar a porcentagem de alunos em transição para ensino superior, treinamento profissional ou emprego.</w:t>
            </w:r>
          </w:p>
        </w:tc>
        <w:tc>
          <w:tcPr>
            <w:tcW w:w="222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36866D44" w14:textId="77777777" w:rsidR="00B06659" w:rsidRPr="00CC1CB4" w:rsidRDefault="00000000" w:rsidP="007F3AF1">
            <w:pPr>
              <w:spacing w:after="200" w:line="276" w:lineRule="auto"/>
              <w:rPr>
                <w:rFonts w:eastAsia="Times New Roman"/>
                <w:sz w:val="22"/>
                <w:szCs w:val="22"/>
                <w:lang w:val="es-ES"/>
              </w:rPr>
            </w:pPr>
            <w:r>
              <w:rPr>
                <w:rFonts w:eastAsia="Times New Roman"/>
                <w:b w:val="0"/>
                <w:bCs w:val="0"/>
                <w:sz w:val="22"/>
                <w:szCs w:val="22"/>
                <w:lang w:val="pt-BR"/>
              </w:rPr>
              <w:t>Avaliar não menos de uma vez a cada 3 anos (ESSA, Seção 1431).</w:t>
            </w:r>
          </w:p>
        </w:tc>
      </w:tr>
    </w:tbl>
    <w:p w14:paraId="3D06F3EE" w14:textId="77777777" w:rsidR="001F473B" w:rsidRPr="00CC1CB4" w:rsidRDefault="00000000" w:rsidP="007C617D">
      <w:pPr>
        <w:spacing w:before="240"/>
        <w:rPr>
          <w:rFonts w:eastAsia="Aptos" w:cs="Times New Roman"/>
          <w:color w:val="365F91" w:themeColor="accent1" w:themeShade="BF"/>
          <w:lang w:val="es-ES"/>
        </w:rPr>
      </w:pPr>
      <w:r>
        <w:rPr>
          <w:rStyle w:val="NJDOEResponse"/>
          <w:rFonts w:eastAsia="Times New Roman"/>
          <w:color w:val="365F91"/>
          <w:lang w:val="pt-BR"/>
        </w:rPr>
        <w:t>[finalizar resposta do NJDOE]</w:t>
      </w:r>
      <w:r>
        <w:rPr>
          <w:rStyle w:val="NJDOEResponse"/>
          <w:rFonts w:eastAsia="Times New Roman"/>
          <w:color w:val="365F91"/>
          <w:lang w:val="pt-BR"/>
        </w:rPr>
        <w:br w:type="page"/>
      </w:r>
    </w:p>
    <w:p w14:paraId="4EC8C741" w14:textId="77777777" w:rsidR="00304D49" w:rsidRPr="00CC1CB4" w:rsidRDefault="00000000" w:rsidP="00315B0A">
      <w:pPr>
        <w:pStyle w:val="BeginUSED"/>
        <w:rPr>
          <w:rFonts w:eastAsia="Aptos" w:cs="Times New Roman"/>
          <w:b/>
          <w:color w:val="074F6A"/>
          <w:lang w:val="es-ES"/>
          <w14:ligatures w14:val="standardContextual"/>
        </w:rPr>
      </w:pPr>
      <w:r>
        <w:rPr>
          <w:rFonts w:eastAsia="Times New Roman"/>
          <w:color w:val="FFFFFF"/>
          <w:szCs w:val="4"/>
          <w:lang w:val="pt-BR"/>
        </w:rPr>
        <w:lastRenderedPageBreak/>
        <w:t xml:space="preserve">[iniciar o texto do USED] </w:t>
      </w:r>
    </w:p>
    <w:p w14:paraId="0790E1A2" w14:textId="77777777" w:rsidR="00175E1C" w:rsidRPr="00CC1CB4" w:rsidRDefault="00000000" w:rsidP="00F062A3">
      <w:pPr>
        <w:pStyle w:val="1"/>
        <w:rPr>
          <w:lang w:val="es-ES"/>
        </w:rPr>
      </w:pPr>
      <w:bookmarkStart w:id="154" w:name="_Toc211004651"/>
      <w:r>
        <w:rPr>
          <w:rFonts w:eastAsia="Cambria"/>
          <w:szCs w:val="36"/>
          <w:lang w:val="pt-BR"/>
        </w:rPr>
        <w:t>D. Título II, Parte A: Apoio à instrução eficaz</w:t>
      </w:r>
      <w:bookmarkEnd w:id="154"/>
    </w:p>
    <w:p w14:paraId="5C2CAF3C" w14:textId="77777777" w:rsidR="00315B0A" w:rsidRPr="00CC1CB4" w:rsidRDefault="00000000" w:rsidP="00315B0A">
      <w:pPr>
        <w:pStyle w:val="EndUSED"/>
        <w:rPr>
          <w:lang w:val="es-ES"/>
        </w:rPr>
      </w:pPr>
      <w:r>
        <w:rPr>
          <w:rFonts w:eastAsia="Times New Roman"/>
          <w:color w:val="FFFFFF"/>
          <w:szCs w:val="4"/>
          <w:lang w:val="pt-BR"/>
        </w:rPr>
        <w:t xml:space="preserve">[finalizar texto do USED] </w:t>
      </w:r>
    </w:p>
    <w:p w14:paraId="394B7128" w14:textId="77777777" w:rsidR="005C1F4C" w:rsidRPr="00CC1CB4" w:rsidRDefault="00000000" w:rsidP="004D2055">
      <w:pPr>
        <w:rPr>
          <w:rStyle w:val="normaltextrun"/>
          <w:rFonts w:eastAsia="Aptos" w:cs="Times New Roman"/>
          <w:color w:val="1F497D" w:themeColor="text2"/>
          <w:lang w:val="es-ES"/>
          <w14:ligatures w14:val="standardContextual"/>
        </w:rPr>
      </w:pPr>
      <w:r>
        <w:rPr>
          <w:rFonts w:eastAsia="Times New Roman" w:cs="Arial"/>
          <w:color w:val="1F497D"/>
          <w:lang w:val="pt-BR"/>
        </w:rPr>
        <w:t>[iniciar a resposta do NJDOE]</w:t>
      </w:r>
    </w:p>
    <w:p w14:paraId="1E40D5A3" w14:textId="77777777" w:rsidR="005C1F4C" w:rsidRPr="00CC1CB4" w:rsidRDefault="00000000" w:rsidP="00856537">
      <w:pPr>
        <w:pStyle w:val="A20"/>
      </w:pPr>
      <w:bookmarkStart w:id="155" w:name="_Toc171333296"/>
      <w:bookmarkStart w:id="156" w:name="_Toc199403753"/>
      <w:r>
        <w:t>Introdução</w:t>
      </w:r>
      <w:bookmarkEnd w:id="155"/>
      <w:bookmarkEnd w:id="156"/>
      <w:r>
        <w:t xml:space="preserve"> </w:t>
      </w:r>
    </w:p>
    <w:p w14:paraId="38509A58" w14:textId="77777777" w:rsidR="005C1F4C" w:rsidRPr="00CC1CB4" w:rsidRDefault="00000000" w:rsidP="004D2055">
      <w:pPr>
        <w:rPr>
          <w:rStyle w:val="eop"/>
          <w:lang w:val="es-ES"/>
        </w:rPr>
      </w:pPr>
      <w:r>
        <w:rPr>
          <w:rStyle w:val="normaltextrun"/>
          <w:rFonts w:eastAsia="Times New Roman" w:cs="Arial"/>
          <w:lang w:val="pt-BR"/>
        </w:rPr>
        <w:t xml:space="preserve">A função do NJDOE é fornecer apoio e oportunidades de aprendizagem profissional gratuitas para todos os educadores para ajudá-los a apoiar todos os alunos, particularmente aqueles com necessidades de aprendizagem diversas. Esta seção descreve como o NJDOE trabalhará para aprimorar as principais iniciativas relacionadas à diversificação da força de trabalho do educador e à promoção das habilidades do educador em matemática elementar e alfabetização inicial. No entanto, as atividades e os sistemas não são exaustivos. </w:t>
      </w:r>
    </w:p>
    <w:p w14:paraId="073DEA6E" w14:textId="77777777" w:rsidR="005819A2" w:rsidRPr="00CC1CB4" w:rsidRDefault="00000000" w:rsidP="005819A2">
      <w:pPr>
        <w:spacing w:before="240"/>
        <w:rPr>
          <w:rFonts w:eastAsia="Aptos" w:cs="Times New Roman"/>
          <w:color w:val="1F497D" w:themeColor="text2"/>
          <w:lang w:val="es-ES"/>
          <w14:ligatures w14:val="standardContextual"/>
        </w:rPr>
      </w:pPr>
      <w:r>
        <w:rPr>
          <w:rFonts w:eastAsia="Times New Roman" w:cs="Times New Roman"/>
          <w:color w:val="1F497D"/>
          <w:lang w:val="pt-BR"/>
        </w:rPr>
        <w:t>[finalizar resposta do NJDOE]</w:t>
      </w:r>
    </w:p>
    <w:p w14:paraId="6D5723DF" w14:textId="77777777" w:rsidR="005C1F4C" w:rsidRPr="00CC1CB4" w:rsidRDefault="00000000" w:rsidP="00315B0A">
      <w:pPr>
        <w:pStyle w:val="BeginUSED"/>
        <w:rPr>
          <w:rFonts w:asciiTheme="majorHAnsi" w:hAnsiTheme="majorHAnsi" w:cs="Times New Roman"/>
          <w:b/>
          <w:bCs/>
          <w:u w:val="single"/>
          <w:lang w:val="es-ES"/>
        </w:rPr>
      </w:pPr>
      <w:r>
        <w:rPr>
          <w:rFonts w:eastAsia="Times New Roman"/>
          <w:color w:val="FFFFFF"/>
          <w:szCs w:val="4"/>
          <w:lang w:val="pt-BR"/>
        </w:rPr>
        <w:t xml:space="preserve">[iniciar o texto do USED] </w:t>
      </w:r>
    </w:p>
    <w:p w14:paraId="43081EC4" w14:textId="77777777" w:rsidR="007C617D" w:rsidRPr="00856537" w:rsidRDefault="00000000" w:rsidP="00856537">
      <w:pPr>
        <w:pStyle w:val="A20"/>
        <w:spacing w:before="0"/>
      </w:pPr>
      <w:bookmarkStart w:id="157" w:name="_Toc171333297"/>
      <w:bookmarkStart w:id="158" w:name="_Toc199403754"/>
      <w:r>
        <w:t>1. Uso de Fundos (seção 2101(d)(2)(A) e (D) da ESEA)</w:t>
      </w:r>
      <w:bookmarkEnd w:id="157"/>
      <w:bookmarkEnd w:id="158"/>
    </w:p>
    <w:p w14:paraId="29912FAE" w14:textId="77777777" w:rsidR="00304D49" w:rsidRPr="00CC1CB4" w:rsidRDefault="00000000" w:rsidP="007C617D">
      <w:pPr>
        <w:pStyle w:val="blue"/>
        <w:spacing w:before="120" w:after="120"/>
        <w:ind w:left="0"/>
        <w:rPr>
          <w:lang w:val="es-ES"/>
        </w:rPr>
      </w:pPr>
      <w:r>
        <w:rPr>
          <w:rFonts w:ascii="Cambria" w:eastAsia="Cambria" w:hAnsi="Cambria"/>
          <w:lang w:val="pt-BR"/>
        </w:rPr>
        <w:t>Descrever como a agência educacional estadual usará o Título II, Parte A, fundos recebidos sob o Título II, Parte A para atividades em nível estadual descritas na seção 2101(c), incluindo como as atividades devem melhorar a realização dos alunos.</w:t>
      </w:r>
    </w:p>
    <w:p w14:paraId="41DEDDF5" w14:textId="77777777" w:rsidR="008625D7" w:rsidRPr="00CC1CB4" w:rsidRDefault="00000000" w:rsidP="00315B0A">
      <w:pPr>
        <w:pStyle w:val="EndUSED"/>
        <w:rPr>
          <w:lang w:val="es-ES"/>
        </w:rPr>
      </w:pPr>
      <w:r>
        <w:rPr>
          <w:rFonts w:eastAsia="Times New Roman"/>
          <w:color w:val="FFFFFF"/>
          <w:szCs w:val="4"/>
          <w:lang w:val="pt-BR"/>
        </w:rPr>
        <w:t>[finalizar texto do USED]</w:t>
      </w:r>
    </w:p>
    <w:p w14:paraId="1DF5DF3D" w14:textId="77777777" w:rsidR="00175E1C" w:rsidRPr="00CC1CB4" w:rsidRDefault="00000000" w:rsidP="00F062A3">
      <w:pPr>
        <w:spacing w:before="240"/>
        <w:rPr>
          <w:rFonts w:eastAsia="Aptos" w:cs="Times New Roman"/>
          <w:color w:val="17365D" w:themeColor="text2" w:themeShade="BF"/>
          <w:lang w:val="es-ES"/>
          <w14:ligatures w14:val="standardContextual"/>
        </w:rPr>
      </w:pPr>
      <w:r>
        <w:rPr>
          <w:rFonts w:eastAsia="Times New Roman" w:cs="Times New Roman"/>
          <w:color w:val="17365D"/>
          <w:lang w:val="pt-BR"/>
        </w:rPr>
        <w:t>[iniciar a resposta do NJDOE]</w:t>
      </w:r>
    </w:p>
    <w:p w14:paraId="7C81FBD3" w14:textId="77777777" w:rsidR="008625D7" w:rsidRPr="00CC1CB4" w:rsidRDefault="00000000" w:rsidP="004D2055">
      <w:pPr>
        <w:rPr>
          <w:rFonts w:ascii="Segoe UI" w:hAnsi="Segoe UI" w:cs="Segoe UI"/>
          <w:sz w:val="18"/>
          <w:szCs w:val="18"/>
          <w:lang w:val="es-ES"/>
        </w:rPr>
      </w:pPr>
      <w:r>
        <w:rPr>
          <w:rStyle w:val="normaltextrun"/>
          <w:rFonts w:eastAsia="Times New Roman" w:cs="Arial"/>
          <w:lang w:val="pt-BR"/>
        </w:rPr>
        <w:t xml:space="preserve">Título II, Os fundos da Parte A podem contribuir para uma melhor realização acadêmica, qualidade do professor, e resultados dos alunos de várias maneiras. Primeiro, esses fundos permitirão que o NJDOE continue a promover programas de preparação de educadores de ensino superior para fornecer séries de aprendizagem profissional, garantir que os professores de pré-serviço tenham uma compreensão completa dos Padrões de Aprendizagem para Estudantes de Nova Jersey (NJSLS). Além disso, tais fundos apoiarão as iniciativas de “Diversificar a força de trabalho do educador” de Nova Jersey descritas na seção D2 abaixo. </w:t>
      </w:r>
    </w:p>
    <w:p w14:paraId="21A6D799" w14:textId="77777777" w:rsidR="008625D7" w:rsidRPr="00CC1CB4" w:rsidRDefault="00000000" w:rsidP="004D2055">
      <w:pPr>
        <w:rPr>
          <w:rFonts w:ascii="Segoe UI" w:hAnsi="Segoe UI" w:cs="Segoe UI"/>
          <w:sz w:val="18"/>
          <w:szCs w:val="18"/>
          <w:lang w:val="es-ES"/>
        </w:rPr>
      </w:pPr>
      <w:r>
        <w:rPr>
          <w:rStyle w:val="normaltextrun"/>
          <w:rFonts w:eastAsia="Times New Roman" w:cs="Arial"/>
          <w:lang w:val="pt-BR"/>
        </w:rPr>
        <w:t xml:space="preserve">Em segundo lugar, os fundos para apoiar a aprendizagem profissional para professores pré-trabalho e em serviço permitirão que o NJDOE crie oportunidades específicas para ajudar os educadores na implementação do NJSLS em todas as nove áreas de conteúdo. O NJDOE tem focado principalmente fundos em fornecer instrução de alta qualidade e liderança instrucional em áreas de STEM, incluindo ciência, tecnologia, engenharia e matemática. Para instrução científica, o projeto OpenSciEd envolve as equipes da LEA de líderes e educadores instrucionais para testar e revisar materiais instrucionais baseados na ciência do NJSLS de código aberto. O programa apresenta aprendizado profissional contínuo e métodos que os líderes instrucionais usam para apoiar os educadores da LEA na criação das condições necessárias para implementar as unidades instrucionais com fidelidade. </w:t>
      </w:r>
    </w:p>
    <w:p w14:paraId="18A9CB7F" w14:textId="77777777" w:rsidR="008625D7" w:rsidRPr="00CC1CB4" w:rsidRDefault="00000000" w:rsidP="004D2055">
      <w:pPr>
        <w:rPr>
          <w:rStyle w:val="eop"/>
          <w:lang w:val="es-ES"/>
        </w:rPr>
      </w:pPr>
      <w:r>
        <w:rPr>
          <w:rStyle w:val="normaltextrun"/>
          <w:rFonts w:eastAsia="Times New Roman" w:cs="Arial"/>
          <w:lang w:val="pt-BR"/>
        </w:rPr>
        <w:lastRenderedPageBreak/>
        <w:t xml:space="preserve">O projeto de alfabetização de dados baseado em matemática está focado no desenvolvimento de recursos para alfabetização de dados alinhados à NJSLS-Mathematics. A orientação e os recursos desenvolvidos por meio do projeto são essenciais para informar o desenvolvimento profissional sobre uma variedade de tópicos, incluindo o uso de ferramentas tecnológicas que apoiam a alfabetização de dados, esclarecimento das expectativas de desempenho do NJSLS, introdução de apoios pedagógicos eficazes para educadores e líderes, bem como o fornecimento de tarefas de amostra alinhadas aos padrões para os alunos. </w:t>
      </w:r>
    </w:p>
    <w:p w14:paraId="44F0827B" w14:textId="77777777" w:rsidR="008625D7" w:rsidRPr="00CC1CB4" w:rsidRDefault="00000000" w:rsidP="004D2055">
      <w:pPr>
        <w:rPr>
          <w:rFonts w:ascii="Segoe UI" w:hAnsi="Segoe UI" w:cs="Segoe UI"/>
          <w:sz w:val="18"/>
          <w:szCs w:val="18"/>
          <w:lang w:val="es-ES"/>
        </w:rPr>
      </w:pPr>
      <w:r>
        <w:rPr>
          <w:rStyle w:val="normaltextrun"/>
          <w:rFonts w:eastAsia="Times New Roman" w:cs="Arial"/>
          <w:color w:val="000000"/>
          <w:lang w:val="pt-BR"/>
        </w:rPr>
        <w:t xml:space="preserve">Para dar suporte às LEAs na implementação bem-sucedida dos Padrões de Aprendizagem Precoce do Nascimento aos </w:t>
      </w:r>
      <w:r>
        <w:rPr>
          <w:rStyle w:val="normaltextrun"/>
          <w:rFonts w:eastAsia="Times New Roman" w:cs="Arial"/>
          <w:lang w:val="pt-BR"/>
        </w:rPr>
        <w:t>3</w:t>
      </w:r>
      <w:r>
        <w:rPr>
          <w:rStyle w:val="normaltextrun"/>
          <w:rFonts w:eastAsia="Times New Roman" w:cs="Arial"/>
          <w:color w:val="000000"/>
          <w:lang w:val="pt-BR"/>
        </w:rPr>
        <w:t xml:space="preserve"> Anos de Nova Jersey (Padrões B-3</w:t>
      </w:r>
      <w:r>
        <w:rPr>
          <w:rStyle w:val="normaltextrun"/>
          <w:rFonts w:eastAsia="Times New Roman" w:cs="Arial"/>
          <w:lang w:val="pt-BR"/>
        </w:rPr>
        <w:t xml:space="preserve">) e Padrões Pré-escolares, e do </w:t>
      </w:r>
      <w:r>
        <w:rPr>
          <w:rStyle w:val="normaltextrun"/>
          <w:rFonts w:eastAsia="Times New Roman" w:cs="Arial"/>
          <w:color w:val="000000"/>
          <w:lang w:val="pt-BR"/>
        </w:rPr>
        <w:t xml:space="preserve">NJSLS do jardim de infância até o 3º ano, bem como nas melhores práticas, a Divisão de Serviços para a Primeira Infância do NJDOE fornece ampla assistência técnica e </w:t>
      </w:r>
      <w:r>
        <w:rPr>
          <w:rStyle w:val="normaltextrun"/>
          <w:rFonts w:eastAsia="Times New Roman" w:cs="Arial"/>
          <w:lang w:val="pt-BR"/>
        </w:rPr>
        <w:t>desenvolvimento profissional para administradores de pré-escola de nível LEA com programas pré-escolares financiados pelo estado</w:t>
      </w:r>
      <w:r>
        <w:rPr>
          <w:rStyle w:val="normaltextrun"/>
          <w:rFonts w:eastAsia="Times New Roman" w:cs="Arial"/>
          <w:color w:val="000000"/>
          <w:lang w:val="pt-BR"/>
        </w:rPr>
        <w:t xml:space="preserve">, que são convidados a participar de sessões regionais de aprendizagem profissional ao longo do ano letivo. </w:t>
      </w:r>
      <w:r>
        <w:rPr>
          <w:rStyle w:val="normaltextrun"/>
          <w:rFonts w:eastAsia="Times New Roman" w:cs="Arial"/>
          <w:lang w:val="pt-BR"/>
        </w:rPr>
        <w:t>Treinadores instrucionais de programas pré-escolares financiados pelo estado</w:t>
      </w:r>
      <w:r>
        <w:rPr>
          <w:rStyle w:val="normaltextrun"/>
          <w:rFonts w:eastAsia="Times New Roman" w:cs="Arial"/>
          <w:color w:val="000000"/>
          <w:lang w:val="pt-BR"/>
        </w:rPr>
        <w:t xml:space="preserve"> </w:t>
      </w:r>
      <w:r>
        <w:rPr>
          <w:rStyle w:val="normaltextrun"/>
          <w:rFonts w:eastAsia="Times New Roman" w:cs="Arial"/>
          <w:lang w:val="pt-BR"/>
        </w:rPr>
        <w:t>recebem treinamento em dois grupos: um voltado para treinadores iniciantes e outro voltado para treinadores veteranos. O treinamento é diferenciado de acordo com os níveis de experiência dos orientadores, com a expectativa de que as informações sejam então repassadas prontamente aos professores em salas de aula pré-escolares operadas pela LEA e por provedores privados (incluindo programas Head Start). Da mesma forma, o jardim de infância até professores, treinadores instrucionais e administradores do 3º ano recebem sessões de desenvolvimento profissional focadas em melhores práticas baseadas em pesquisa e apropriadas para o desenvolvimento do Escritório de Educação K-3. A Divisão de Serviços para a Primeira Infância trabalha com outras agências estaduais, instituições de ensino superior e organizações profissionais como parceiros para treinar provedores de serviços de primeira infância na implementação dos Padrões B-3, Padrões pré-escolares e códigos e estatutos administrativos.</w:t>
      </w:r>
      <w:r>
        <w:rPr>
          <w:rStyle w:val="normaltextrun"/>
          <w:rFonts w:eastAsia="Times New Roman" w:cs="Arial"/>
          <w:color w:val="000000"/>
          <w:lang w:val="pt-BR"/>
        </w:rPr>
        <w:t xml:space="preserve"> </w:t>
      </w:r>
    </w:p>
    <w:p w14:paraId="59CA7D20" w14:textId="77777777" w:rsidR="008625D7" w:rsidRPr="00CC1CB4" w:rsidRDefault="00000000" w:rsidP="004D2055">
      <w:pPr>
        <w:rPr>
          <w:rStyle w:val="eop"/>
          <w:lang w:val="es-ES"/>
        </w:rPr>
      </w:pPr>
      <w:r>
        <w:rPr>
          <w:rStyle w:val="normaltextrun"/>
          <w:rFonts w:eastAsia="Times New Roman" w:cs="Arial"/>
          <w:lang w:val="pt-BR"/>
        </w:rPr>
        <w:t xml:space="preserve">Por fim, o NJDOE continuará sua série de aprendizagem profissional para educadores e administradores. O desenvolvimento profissional contínuo nessas áreas afetará a realização dos alunos: abordar o NJSLS em cada área de assunto, apoiar a liderança da LEA na implementação do NJSLS e fornecer treinamento para as LEAs na identificação e apoio a alunos talentosos e talentosos. Usando o Título II, os fundos da Parte A permitirão que o NJDOE continue criando recursos para o campo que aprimoram a instrução no NJSLS.  </w:t>
      </w:r>
    </w:p>
    <w:p w14:paraId="482F29AA" w14:textId="77777777" w:rsidR="007B268D" w:rsidRPr="00CC1CB4" w:rsidRDefault="00000000" w:rsidP="00265381">
      <w:pPr>
        <w:pStyle w:val="paragraph"/>
        <w:spacing w:before="0" w:beforeAutospacing="0" w:after="200" w:afterAutospacing="0" w:line="276" w:lineRule="auto"/>
        <w:textAlignment w:val="baseline"/>
        <w:rPr>
          <w:rStyle w:val="eop"/>
          <w:szCs w:val="22"/>
          <w:lang w:val="es-ES"/>
        </w:rPr>
      </w:pPr>
      <w:r>
        <w:rPr>
          <w:rStyle w:val="NJDOEResponse"/>
          <w:rFonts w:eastAsia="Times New Roman"/>
          <w:color w:val="365F91"/>
          <w:szCs w:val="22"/>
          <w:lang w:val="pt-BR"/>
        </w:rPr>
        <w:t>[finalizar resposta do NJDOE]</w:t>
      </w:r>
    </w:p>
    <w:p w14:paraId="545E2DF5" w14:textId="77777777" w:rsidR="002830F2" w:rsidRPr="00CC1CB4" w:rsidRDefault="00000000" w:rsidP="00FE32FA">
      <w:pPr>
        <w:pStyle w:val="BeginUSED"/>
        <w:rPr>
          <w:rFonts w:ascii="Segoe UI" w:hAnsi="Segoe UI" w:cs="Segoe UI"/>
          <w:sz w:val="18"/>
          <w:szCs w:val="18"/>
          <w:lang w:val="es-ES"/>
        </w:rPr>
      </w:pPr>
      <w:r>
        <w:rPr>
          <w:rFonts w:eastAsia="Times New Roman"/>
          <w:color w:val="FFFFFF"/>
          <w:szCs w:val="4"/>
          <w:lang w:val="pt-BR"/>
        </w:rPr>
        <w:t xml:space="preserve">[iniciar o texto do USED] </w:t>
      </w:r>
    </w:p>
    <w:p w14:paraId="3C15E99E" w14:textId="77777777" w:rsidR="003107E4" w:rsidRPr="00856537" w:rsidRDefault="00000000" w:rsidP="00856537">
      <w:pPr>
        <w:pStyle w:val="A20"/>
        <w:spacing w:before="0"/>
      </w:pPr>
      <w:bookmarkStart w:id="159" w:name="_Toc171333298"/>
      <w:bookmarkStart w:id="160" w:name="_Toc199403755"/>
      <w:r>
        <w:t>2. Uso de fundos para melhorar o acesso equitativo a professores em escolas do Título I, Parte A (seção 2101(d)(2)(E) da ESEA)</w:t>
      </w:r>
      <w:bookmarkEnd w:id="159"/>
      <w:bookmarkEnd w:id="160"/>
    </w:p>
    <w:p w14:paraId="2FB03588" w14:textId="77777777" w:rsidR="002830F2" w:rsidRPr="00CC1CB4" w:rsidRDefault="00000000" w:rsidP="003107E4">
      <w:pPr>
        <w:spacing w:after="0"/>
        <w:rPr>
          <w:rFonts w:asciiTheme="majorHAnsi" w:eastAsia="Calibri" w:hAnsiTheme="majorHAnsi" w:cs="Calibri"/>
          <w:color w:val="244061" w:themeColor="accent1" w:themeShade="80"/>
          <w:sz w:val="24"/>
          <w:szCs w:val="24"/>
          <w:lang w:val="es-ES"/>
        </w:rPr>
      </w:pPr>
      <w:r>
        <w:rPr>
          <w:rFonts w:ascii="Cambria" w:eastAsia="Cambria" w:hAnsi="Cambria" w:cs="Times New Roman"/>
          <w:color w:val="244061"/>
          <w:lang w:val="pt-BR"/>
        </w:rPr>
        <w:t xml:space="preserve">Se um SEA planeja usar fundos do Título II, Parte A para melhorar o acesso equitativo a professores eficazes, de acordo com a seção 1111(g)(1)(B da ESEA), descreva como esses fundos serão usados para esses fins. </w:t>
      </w:r>
    </w:p>
    <w:p w14:paraId="160261CC" w14:textId="77777777" w:rsidR="00FE32FA" w:rsidRPr="00CC1CB4" w:rsidRDefault="00000000" w:rsidP="00FE32FA">
      <w:pPr>
        <w:pStyle w:val="EndUSED"/>
        <w:rPr>
          <w:lang w:val="es-ES"/>
        </w:rPr>
      </w:pPr>
      <w:r>
        <w:rPr>
          <w:rFonts w:eastAsia="Times New Roman"/>
          <w:color w:val="FFFFFF"/>
          <w:szCs w:val="4"/>
          <w:lang w:val="pt-BR"/>
        </w:rPr>
        <w:t xml:space="preserve">[finalizar texto do USED] </w:t>
      </w:r>
    </w:p>
    <w:p w14:paraId="746E9C35" w14:textId="77777777" w:rsidR="00175E1C" w:rsidRPr="00CC1CB4" w:rsidRDefault="00000000" w:rsidP="00234391">
      <w:pPr>
        <w:spacing w:before="240"/>
        <w:rPr>
          <w:rFonts w:eastAsia="Aptos" w:cs="Times New Roman"/>
          <w:color w:val="365F91" w:themeColor="accent1" w:themeShade="BF"/>
          <w:lang w:val="es-ES"/>
          <w14:ligatures w14:val="standardContextual"/>
        </w:rPr>
      </w:pPr>
      <w:r>
        <w:rPr>
          <w:rFonts w:eastAsia="Times New Roman" w:cs="Times New Roman"/>
          <w:color w:val="365F91"/>
          <w:lang w:val="pt-BR"/>
        </w:rPr>
        <w:t>[iniciar a resposta do NJDOE]</w:t>
      </w:r>
    </w:p>
    <w:p w14:paraId="526B99EF" w14:textId="77777777" w:rsidR="00477EB8" w:rsidRPr="001F7F0F" w:rsidRDefault="00000000" w:rsidP="00265381">
      <w:pPr>
        <w:rPr>
          <w:rFonts w:eastAsia="Times New Roman" w:cs="Times New Roman"/>
          <w:color w:val="000000" w:themeColor="text1"/>
        </w:rPr>
      </w:pPr>
      <w:r>
        <w:rPr>
          <w:rFonts w:eastAsia="Times New Roman" w:cs="Times New Roman"/>
          <w:lang w:val="pt-BR"/>
        </w:rPr>
        <w:lastRenderedPageBreak/>
        <w:t xml:space="preserve">O NJDOE tem o compromisso de </w:t>
      </w:r>
      <w:r>
        <w:rPr>
          <w:rFonts w:eastAsia="Times New Roman" w:cs="Times New Roman"/>
          <w:color w:val="000000"/>
          <w:lang w:val="pt-BR"/>
        </w:rPr>
        <w:t xml:space="preserve">aumentar o acesso dos alunos a </w:t>
      </w:r>
      <w:r>
        <w:rPr>
          <w:rFonts w:eastAsia="Times New Roman" w:cs="Times New Roman"/>
          <w:color w:val="212529"/>
          <w:lang w:val="pt-BR"/>
        </w:rPr>
        <w:t>educadores de alta qualidade de diversas origens, aumentar a conscientização e promover mensagens positivas sobre a profissão de ensino e fornecer recursos mais eficazes e eficientes para aqueles que contratam e mantêm educadores prospectivos e atuais.</w:t>
      </w:r>
      <w:r>
        <w:rPr>
          <w:rFonts w:eastAsia="Times New Roman" w:cs="Times New Roman"/>
          <w:lang w:val="pt-BR"/>
        </w:rPr>
        <w:t xml:space="preserve"> </w:t>
      </w:r>
      <w:r>
        <w:rPr>
          <w:rFonts w:eastAsia="Times New Roman" w:cs="Times New Roman"/>
          <w:color w:val="000000"/>
          <w:lang w:val="pt-BR"/>
        </w:rPr>
        <w:t xml:space="preserve">As iniciativas de diversificação da força de trabalho do professor no NJDOE fornecem a todos os alunos de Nova Jersey acesso a uma força de trabalho do professor que reflete a diversidade étnico-racial da população do Estado. O NJDOE faz parceria com provedores de programas de preparação educacional, faculdades municipais, LEAs, associações profissionais e organizações enraizadas na comunidade para compartilhar e implementar estratégias promissoras de recrutamento, preparação e retenção e integrar práticas culturalmente responsivas nesses esforços. Para apoiar isso, o NJDOE tem várias iniciativas, incluindo: </w:t>
      </w:r>
    </w:p>
    <w:p w14:paraId="04FD4942" w14:textId="77777777" w:rsidR="00477EB8" w:rsidRPr="00CC1CB4" w:rsidRDefault="00000000">
      <w:pPr>
        <w:pStyle w:val="a6"/>
        <w:numPr>
          <w:ilvl w:val="0"/>
          <w:numId w:val="76"/>
        </w:numPr>
        <w:spacing w:after="120"/>
        <w:contextualSpacing w:val="0"/>
        <w:rPr>
          <w:rFonts w:eastAsia="Times New Roman" w:cs="Times New Roman"/>
          <w:color w:val="000000" w:themeColor="text1"/>
          <w:lang w:val="es-ES"/>
        </w:rPr>
      </w:pPr>
      <w:r>
        <w:rPr>
          <w:rFonts w:eastAsia="Times New Roman" w:cs="Times New Roman"/>
          <w:color w:val="000000"/>
          <w:lang w:val="pt-BR"/>
        </w:rPr>
        <w:t xml:space="preserve">O subsídio para o desenvolvimento de professores minoritários fornece financiamento para organizações elegíveis que recrutam, treinam e colocam novos professores, com ênfase especial em professores minoritários. O objetivo do subsídio de Qualidade e Retenção de Professores Minoritários é fornecer financiamento a uma organização elegível para estabelecer um programa sustentável de orientação instrucional. </w:t>
      </w:r>
    </w:p>
    <w:p w14:paraId="03F01DE1" w14:textId="77777777" w:rsidR="00477EB8" w:rsidRPr="00CC1CB4" w:rsidRDefault="00000000">
      <w:pPr>
        <w:pStyle w:val="a6"/>
        <w:numPr>
          <w:ilvl w:val="0"/>
          <w:numId w:val="76"/>
        </w:numPr>
        <w:spacing w:after="120"/>
        <w:contextualSpacing w:val="0"/>
        <w:rPr>
          <w:rFonts w:eastAsia="Times New Roman" w:cs="Times New Roman"/>
          <w:color w:val="000000" w:themeColor="text1"/>
          <w:lang w:val="es-ES"/>
        </w:rPr>
      </w:pPr>
      <w:r>
        <w:rPr>
          <w:rFonts w:eastAsia="Times New Roman" w:cs="Times New Roman"/>
          <w:color w:val="000000"/>
          <w:lang w:val="pt-BR"/>
        </w:rPr>
        <w:t xml:space="preserve">O programa de diversidade da força de trabalho dos ensinos fundamental e médio foi desenvolvido para apoiar homens negros que desejam entrar na profissão de ensino por meio de um programa de certificação alternativo. </w:t>
      </w:r>
    </w:p>
    <w:p w14:paraId="2DB6FD5B" w14:textId="77777777" w:rsidR="00477EB8" w:rsidRPr="00CC1CB4" w:rsidRDefault="00000000">
      <w:pPr>
        <w:pStyle w:val="a6"/>
        <w:numPr>
          <w:ilvl w:val="0"/>
          <w:numId w:val="76"/>
        </w:numPr>
        <w:spacing w:after="120"/>
        <w:contextualSpacing w:val="0"/>
        <w:rPr>
          <w:rFonts w:eastAsia="Times New Roman" w:cs="Times New Roman"/>
          <w:color w:val="000000" w:themeColor="text1"/>
          <w:lang w:val="es-ES"/>
        </w:rPr>
      </w:pPr>
      <w:r>
        <w:rPr>
          <w:rFonts w:eastAsia="Times New Roman" w:cs="Times New Roman"/>
          <w:color w:val="000000"/>
          <w:lang w:val="pt-BR"/>
        </w:rPr>
        <w:t xml:space="preserve">O comitê diversificado de professores prontos para o aluno se reúne mensalmente e está comprometido em aumentar a diversidade étnico-racial da força de trabalho do professor e garantir que todos os educadores se envolvam em práticas culturalmente responsivas. O comitê inclui representação do NJDOE, programas de preparação de educadores, organizações educacionais e administração em nível escolar e LEA. </w:t>
      </w:r>
    </w:p>
    <w:p w14:paraId="602263DF" w14:textId="77777777" w:rsidR="005B4278" w:rsidRPr="00CC1CB4" w:rsidRDefault="00000000">
      <w:pPr>
        <w:pStyle w:val="a6"/>
        <w:numPr>
          <w:ilvl w:val="0"/>
          <w:numId w:val="76"/>
        </w:numPr>
        <w:rPr>
          <w:rFonts w:eastAsia="Times New Roman" w:cs="Times New Roman"/>
          <w:color w:val="000000" w:themeColor="text1"/>
          <w:lang w:val="es-ES"/>
        </w:rPr>
      </w:pPr>
      <w:r>
        <w:rPr>
          <w:rFonts w:eastAsia="Times New Roman" w:cs="Times New Roman"/>
          <w:color w:val="000000"/>
          <w:lang w:val="pt-BR"/>
        </w:rPr>
        <w:t>Desde 2018, o NJDOE faz parceria com a New Jersey Association for Colleges of Teacher Education em convocações anuais criadas para aumentar a conscientização sobre a diversidade dos professores e oferecer soluções para diversificar a força de trabalho do educador.</w:t>
      </w:r>
    </w:p>
    <w:p w14:paraId="225E5DB8" w14:textId="77777777" w:rsidR="005B4278" w:rsidRPr="00CC1CB4" w:rsidRDefault="00000000" w:rsidP="005B4278">
      <w:pPr>
        <w:rPr>
          <w:rStyle w:val="NJDOEResponse"/>
          <w:lang w:val="es-ES"/>
        </w:rPr>
      </w:pPr>
      <w:r>
        <w:rPr>
          <w:rStyle w:val="NJDOEResponse"/>
          <w:rFonts w:eastAsia="Times New Roman"/>
          <w:color w:val="365F91"/>
          <w:lang w:val="pt-BR"/>
        </w:rPr>
        <w:t>[finalizar resposta do NJDOE]</w:t>
      </w:r>
    </w:p>
    <w:p w14:paraId="193E316A" w14:textId="77777777" w:rsidR="00A63DF1" w:rsidRPr="00CC1CB4" w:rsidRDefault="00000000" w:rsidP="00234391">
      <w:pPr>
        <w:pStyle w:val="BeginUSED"/>
        <w:rPr>
          <w:rFonts w:eastAsia="Times New Roman" w:cs="Times New Roman"/>
          <w:color w:val="000000" w:themeColor="text1"/>
          <w:lang w:val="es-ES"/>
        </w:rPr>
      </w:pPr>
      <w:r>
        <w:rPr>
          <w:rFonts w:eastAsia="Times New Roman" w:cs="Times New Roman"/>
          <w:color w:val="000000"/>
          <w:szCs w:val="4"/>
          <w:lang w:val="pt-BR"/>
        </w:rPr>
        <w:t xml:space="preserve"> </w:t>
      </w:r>
      <w:r>
        <w:rPr>
          <w:rFonts w:eastAsia="Times New Roman"/>
          <w:color w:val="FFFFFF"/>
          <w:szCs w:val="4"/>
          <w:lang w:val="pt-BR"/>
        </w:rPr>
        <w:t>[iniciar o texto do USED]</w:t>
      </w:r>
    </w:p>
    <w:p w14:paraId="01FA739F" w14:textId="77777777" w:rsidR="009E7475" w:rsidRPr="00CC1CB4" w:rsidRDefault="00000000" w:rsidP="00856537">
      <w:pPr>
        <w:pStyle w:val="A20"/>
        <w:spacing w:before="0"/>
        <w:rPr>
          <w:lang w:val="es-ES"/>
        </w:rPr>
      </w:pPr>
      <w:bookmarkStart w:id="161" w:name="_Toc171333299"/>
      <w:bookmarkStart w:id="162" w:name="_Toc199403756"/>
      <w:r>
        <w:t>3. Sistema de Certificação e Licenciamento (Seção 2101(d)(2)(B) da ESEA)</w:t>
      </w:r>
      <w:bookmarkEnd w:id="161"/>
      <w:bookmarkEnd w:id="162"/>
    </w:p>
    <w:p w14:paraId="00325283" w14:textId="77777777" w:rsidR="00824D66" w:rsidRPr="00CC1CB4" w:rsidRDefault="00000000" w:rsidP="009E7475">
      <w:pPr>
        <w:spacing w:after="0" w:line="240" w:lineRule="auto"/>
        <w:rPr>
          <w:rFonts w:asciiTheme="majorHAnsi" w:eastAsia="Times New Roman" w:hAnsiTheme="majorHAnsi" w:cs="Times New Roman"/>
          <w:color w:val="244061" w:themeColor="accent1" w:themeShade="80"/>
          <w:sz w:val="24"/>
          <w:szCs w:val="24"/>
          <w:lang w:val="es-ES"/>
        </w:rPr>
      </w:pPr>
      <w:r>
        <w:rPr>
          <w:rFonts w:ascii="Cambria" w:eastAsia="Cambria" w:hAnsi="Cambria" w:cs="Times New Roman"/>
          <w:color w:val="244061"/>
          <w:lang w:val="pt-BR"/>
        </w:rPr>
        <w:t>Descrever o sistema de certificação e licenciamento do estado de professores, diretores ou outros líderes escolares.</w:t>
      </w:r>
    </w:p>
    <w:p w14:paraId="25942477" w14:textId="77777777" w:rsidR="00FE32FA" w:rsidRPr="00CC1CB4" w:rsidRDefault="00000000" w:rsidP="00FE32FA">
      <w:pPr>
        <w:pStyle w:val="EndUSED"/>
        <w:rPr>
          <w:lang w:val="es-ES"/>
        </w:rPr>
      </w:pPr>
      <w:r>
        <w:rPr>
          <w:rFonts w:eastAsia="Times New Roman"/>
          <w:color w:val="FFFFFF"/>
          <w:szCs w:val="4"/>
          <w:lang w:val="pt-BR"/>
        </w:rPr>
        <w:t xml:space="preserve">[finalizar texto do USED] </w:t>
      </w:r>
    </w:p>
    <w:p w14:paraId="3F47AE89" w14:textId="77777777" w:rsidR="00175E1C" w:rsidRPr="00CC1CB4" w:rsidRDefault="00000000" w:rsidP="00234391">
      <w:pPr>
        <w:spacing w:before="240"/>
        <w:rPr>
          <w:rStyle w:val="NJDOEResponse"/>
          <w:lang w:val="es-ES"/>
        </w:rPr>
      </w:pPr>
      <w:r>
        <w:rPr>
          <w:rStyle w:val="NJDOEResponse"/>
          <w:rFonts w:eastAsia="Times New Roman"/>
          <w:color w:val="365F91"/>
          <w:lang w:val="pt-BR"/>
        </w:rPr>
        <w:t>[iniciar a resposta do NJDOE]</w:t>
      </w:r>
    </w:p>
    <w:p w14:paraId="3BFF8806" w14:textId="77777777" w:rsidR="00824D66" w:rsidRPr="00CC1CB4" w:rsidRDefault="00000000" w:rsidP="00265381">
      <w:pPr>
        <w:rPr>
          <w:rFonts w:eastAsia="Times New Roman" w:cs="Times New Roman"/>
          <w:lang w:val="es-ES"/>
        </w:rPr>
      </w:pPr>
      <w:r>
        <w:rPr>
          <w:rFonts w:eastAsia="Times New Roman" w:cs="Times New Roman"/>
          <w:lang w:val="pt-BR"/>
        </w:rPr>
        <w:t xml:space="preserve">O NJDOE tem o compromisso de garantir que todos os alunos sejam atendidos por educadores eficazes e devidamente certificados. Para apoiar a realização dessa meta, o NJDOE utiliza o sistema New Jersey Certification (NJEdCert), um aplicativo totalmente automatizado para educadores acessarem aplicativos e certificações atuais. Conforme sinalizado no Plano estadual da ESSA de 2017, o sistema de informações </w:t>
      </w:r>
      <w:r>
        <w:rPr>
          <w:rFonts w:eastAsia="Times New Roman" w:cs="Times New Roman"/>
          <w:lang w:val="pt-BR"/>
        </w:rPr>
        <w:lastRenderedPageBreak/>
        <w:t>de certificação de professores anterior era antiquado e complicado de usar. O novo sistema NJEdCert representou um esforço plurianual projetado para processar rapidamente as solicitações de certificação para garantir que professores eficazes e devidamente certificados entrassem rapidamente na sala de aula. Por exemplo, os programas de preparação de educadores podem indicar candidatos que concluíram um programa de preparação de educadores aprovado pelo NJDOE, o que agiliza o processo de certificação desses candidatos.</w:t>
      </w:r>
    </w:p>
    <w:p w14:paraId="5512283E" w14:textId="77777777" w:rsidR="00CD35C9" w:rsidRPr="00CC1CB4" w:rsidRDefault="00000000" w:rsidP="00265381">
      <w:pPr>
        <w:rPr>
          <w:rFonts w:eastAsia="Times New Roman" w:cs="Times New Roman"/>
          <w:lang w:val="es-ES"/>
        </w:rPr>
      </w:pPr>
      <w:r>
        <w:rPr>
          <w:rFonts w:eastAsia="Times New Roman" w:cs="Times New Roman"/>
          <w:lang w:val="pt-BR"/>
        </w:rPr>
        <w:t xml:space="preserve">As LEAs também podem acessar arquivos de candidatos por meio do NJEdCert para determinar o status da certificação do candidato. Desde 1º de julho de 2023, aproximadamente 51.000 solicitações foram processadas por meio deste sistema, em parte devido ao feriado da taxa de certificação, que estava em vigor de julho de 2023 a junho de 2024. </w:t>
      </w:r>
    </w:p>
    <w:p w14:paraId="349EB91A" w14:textId="77777777" w:rsidR="007D3945" w:rsidRPr="00CC1CB4" w:rsidRDefault="00000000" w:rsidP="00CE6E0F">
      <w:pPr>
        <w:rPr>
          <w:rStyle w:val="NJDOEResponse"/>
          <w:lang w:val="es-ES"/>
        </w:rPr>
      </w:pPr>
      <w:r>
        <w:rPr>
          <w:rStyle w:val="NJDOEResponse"/>
          <w:rFonts w:eastAsia="Times New Roman"/>
          <w:color w:val="365F91"/>
          <w:lang w:val="pt-BR"/>
        </w:rPr>
        <w:t>[finalizar resposta do NJDOE]</w:t>
      </w:r>
    </w:p>
    <w:p w14:paraId="714383E2" w14:textId="77777777" w:rsidR="00824D66" w:rsidRPr="00CC1CB4" w:rsidRDefault="00000000" w:rsidP="00FE32FA">
      <w:pPr>
        <w:pStyle w:val="BeginUSED"/>
        <w:rPr>
          <w:rFonts w:eastAsia="Times New Roman" w:cs="Times New Roman"/>
          <w:szCs w:val="4"/>
          <w:lang w:val="es-ES"/>
        </w:rPr>
      </w:pPr>
      <w:r>
        <w:rPr>
          <w:rFonts w:eastAsia="Times New Roman"/>
          <w:color w:val="FFFFFF"/>
          <w:szCs w:val="4"/>
          <w:lang w:val="pt-BR"/>
        </w:rPr>
        <w:t xml:space="preserve">[iniciar o texto do USED] </w:t>
      </w:r>
    </w:p>
    <w:p w14:paraId="46277681" w14:textId="77777777" w:rsidR="00F1476B" w:rsidRPr="00856537" w:rsidRDefault="00000000" w:rsidP="00856537">
      <w:pPr>
        <w:pStyle w:val="A20"/>
        <w:spacing w:before="0"/>
      </w:pPr>
      <w:bookmarkStart w:id="163" w:name="_Toc171333300"/>
      <w:bookmarkStart w:id="164" w:name="_Toc199403757"/>
      <w:r>
        <w:t>4. Melhorando as habilidades dos educadores (Seção 2101(d)(2)(J) da ESEA)</w:t>
      </w:r>
      <w:bookmarkEnd w:id="163"/>
      <w:bookmarkEnd w:id="164"/>
    </w:p>
    <w:p w14:paraId="72FA0103" w14:textId="77777777" w:rsidR="00350239" w:rsidRPr="00CC1CB4" w:rsidRDefault="00000000" w:rsidP="00F1476B">
      <w:pPr>
        <w:spacing w:line="240" w:lineRule="auto"/>
        <w:rPr>
          <w:rFonts w:asciiTheme="majorHAnsi" w:hAnsiTheme="majorHAnsi" w:cs="Times New Roman"/>
          <w:color w:val="244061" w:themeColor="accent1" w:themeShade="80"/>
          <w:lang w:val="es-ES"/>
        </w:rPr>
      </w:pPr>
      <w:r>
        <w:rPr>
          <w:rFonts w:ascii="Cambria" w:eastAsia="Cambria" w:hAnsi="Cambria" w:cs="Times New Roman"/>
          <w:color w:val="244061"/>
          <w:lang w:val="pt-BR"/>
        </w:rPr>
        <w:t>Descrever como o SEA melhorará as habilidades de professores, diretores ou outros líderes escolares para permitir que eles identifiquem alunos com necessidades específicas de aprendizagem, particularmente crianças com deficiências, alunos de inglês, alunos que são talentosos, e alunos com baixos níveis de alfabetização, e fornecer instruções com base nas necessidades desses alunos.</w:t>
      </w:r>
    </w:p>
    <w:p w14:paraId="7C05BB3C" w14:textId="77777777" w:rsidR="00FE32FA" w:rsidRPr="00CC1CB4" w:rsidRDefault="00000000" w:rsidP="00FE32FA">
      <w:pPr>
        <w:pStyle w:val="EndUSED"/>
        <w:rPr>
          <w:lang w:val="es-ES"/>
        </w:rPr>
      </w:pPr>
      <w:r>
        <w:rPr>
          <w:rFonts w:eastAsia="Times New Roman"/>
          <w:color w:val="FFFFFF"/>
          <w:szCs w:val="4"/>
          <w:lang w:val="pt-BR"/>
        </w:rPr>
        <w:t xml:space="preserve">[finalizar texto do USED] </w:t>
      </w:r>
    </w:p>
    <w:p w14:paraId="02ECE36A" w14:textId="77777777" w:rsidR="00350239" w:rsidRPr="00CC1CB4" w:rsidRDefault="00000000" w:rsidP="00F32A9C">
      <w:pPr>
        <w:spacing w:before="240"/>
        <w:rPr>
          <w:rStyle w:val="NJDOEResponse"/>
          <w:lang w:val="es-ES"/>
        </w:rPr>
      </w:pPr>
      <w:r>
        <w:rPr>
          <w:rStyle w:val="NJDOEResponse"/>
          <w:rFonts w:eastAsia="Times New Roman"/>
          <w:color w:val="365F91"/>
          <w:lang w:val="pt-BR"/>
        </w:rPr>
        <w:t>[iniciar a resposta do NJDOE]</w:t>
      </w:r>
    </w:p>
    <w:p w14:paraId="54DCFB4D" w14:textId="77777777" w:rsidR="006415C4" w:rsidRPr="00CC1CB4" w:rsidRDefault="00000000" w:rsidP="00350239">
      <w:pPr>
        <w:spacing w:after="0"/>
        <w:jc w:val="both"/>
        <w:rPr>
          <w:rFonts w:eastAsia="Times New Roman" w:cs="Times New Roman"/>
          <w:lang w:val="es-ES"/>
        </w:rPr>
      </w:pPr>
      <w:r>
        <w:rPr>
          <w:rFonts w:eastAsia="Times New Roman" w:cs="Times New Roman"/>
          <w:lang w:val="pt-BR"/>
        </w:rPr>
        <w:t xml:space="preserve">O NJDOE continua focado em ajudar educadores antes do serviço e em serviço a melhorar continuamente suas habilidades, particularmente ao apoiar alunos com necessidades de aprendizagem diversas. </w:t>
      </w:r>
    </w:p>
    <w:p w14:paraId="3CA18FBE" w14:textId="77777777" w:rsidR="00350239" w:rsidRPr="00CC1CB4" w:rsidRDefault="00000000" w:rsidP="00856537">
      <w:pPr>
        <w:pStyle w:val="A30"/>
      </w:pPr>
      <w:bookmarkStart w:id="165" w:name="_Toc199403758"/>
      <w:r>
        <w:t>Exemplo de atualizações regulatórias desde 2024</w:t>
      </w:r>
      <w:bookmarkEnd w:id="165"/>
    </w:p>
    <w:p w14:paraId="1D14438B" w14:textId="77777777" w:rsidR="00350239" w:rsidRPr="00CC1CB4" w:rsidRDefault="00000000" w:rsidP="00350239">
      <w:pPr>
        <w:jc w:val="both"/>
        <w:rPr>
          <w:rFonts w:eastAsia="Times New Roman" w:cs="Times New Roman"/>
          <w:lang w:val="es-ES"/>
        </w:rPr>
      </w:pPr>
      <w:r>
        <w:rPr>
          <w:rFonts w:eastAsia="Times New Roman" w:cs="Times New Roman"/>
          <w:lang w:val="pt-BR"/>
        </w:rPr>
        <w:t xml:space="preserve">O Conselho Estadual de Educação de Nova Jersey adotou certificação revisada, mentoria, preparação de educadores e regulamentos de educação bilíngue. Essas mudanças foram projetadas para garantir que os programas de preparação e as LEAs estejam fornecendo aos educadores a preparação e o apoio necessários para ensinar diversos alunos. </w:t>
      </w:r>
    </w:p>
    <w:p w14:paraId="2D6FE4F8" w14:textId="77777777" w:rsidR="00350239" w:rsidRPr="00CC1CB4" w:rsidRDefault="00000000" w:rsidP="00350239">
      <w:pPr>
        <w:jc w:val="both"/>
        <w:rPr>
          <w:rFonts w:eastAsia="Times New Roman" w:cs="Times New Roman"/>
          <w:lang w:val="es-ES"/>
        </w:rPr>
      </w:pPr>
      <w:r>
        <w:rPr>
          <w:rFonts w:eastAsia="Times New Roman" w:cs="Times New Roman"/>
          <w:lang w:val="pt-BR"/>
        </w:rPr>
        <w:t>As mudanças regulatórias relacionadas à preparação de professores incluíram uma grande ênfase em garantir que os programas de preparação de professores instruíssem seus professores de pré-serviço em cursos de pedagogia e/ou experiências clínicas para todos os candidatos à pré-escola por meio de endosso do terceiro ano. Exemplos de mudanças que o Conselho Estadual de Educação adotou em maio de 2023 estão listados abaixo.</w:t>
      </w:r>
    </w:p>
    <w:p w14:paraId="38AFBDC9" w14:textId="77777777" w:rsidR="00350239" w:rsidRPr="00CC1CB4" w:rsidRDefault="00000000" w:rsidP="00350239">
      <w:pPr>
        <w:jc w:val="both"/>
        <w:rPr>
          <w:rFonts w:eastAsia="Times New Roman" w:cs="Times New Roman"/>
          <w:lang w:val="es-ES"/>
        </w:rPr>
      </w:pPr>
      <w:r>
        <w:rPr>
          <w:rFonts w:eastAsia="Times New Roman" w:cs="Times New Roman"/>
          <w:lang w:val="pt-BR"/>
        </w:rPr>
        <w:t xml:space="preserve">Os programas de preparação devem, para certas áreas de conteúdo ou nível de nota: </w:t>
      </w:r>
    </w:p>
    <w:p w14:paraId="49108AA1" w14:textId="77777777" w:rsidR="00350239" w:rsidRPr="00CC1CB4" w:rsidRDefault="00000000">
      <w:pPr>
        <w:pStyle w:val="a6"/>
        <w:numPr>
          <w:ilvl w:val="0"/>
          <w:numId w:val="77"/>
        </w:numPr>
        <w:spacing w:after="120"/>
        <w:contextualSpacing w:val="0"/>
        <w:rPr>
          <w:rFonts w:eastAsia="Times New Roman" w:cs="Times New Roman"/>
          <w:lang w:val="es-ES"/>
        </w:rPr>
      </w:pPr>
      <w:r>
        <w:rPr>
          <w:rFonts w:eastAsia="Times New Roman" w:cs="Times New Roman"/>
          <w:lang w:val="pt-BR"/>
        </w:rPr>
        <w:lastRenderedPageBreak/>
        <w:t>Exigir que os candidatos tenham de seis a nove créditos que se concentrem no desenvolvimento do conhecimento de conteúdo pedagógico para ensinar matemática a alunos de pré-escola e ensino fundamental;</w:t>
      </w:r>
    </w:p>
    <w:p w14:paraId="1AA32EB0" w14:textId="77777777" w:rsidR="009A0E1A" w:rsidRPr="00CC1CB4" w:rsidRDefault="00000000">
      <w:pPr>
        <w:pStyle w:val="a6"/>
        <w:numPr>
          <w:ilvl w:val="0"/>
          <w:numId w:val="77"/>
        </w:numPr>
        <w:spacing w:after="120"/>
        <w:contextualSpacing w:val="0"/>
        <w:rPr>
          <w:rFonts w:eastAsia="Times New Roman" w:cs="Times New Roman"/>
          <w:lang w:val="es-ES"/>
        </w:rPr>
      </w:pPr>
      <w:r>
        <w:rPr>
          <w:rFonts w:eastAsia="Times New Roman" w:cs="Times New Roman"/>
          <w:lang w:val="pt-BR"/>
        </w:rPr>
        <w:t>Exigir que os candidatos completem de 12 a 15 créditos que se concentrem no desenvolvimento do conhecimento de conteúdo pedagógico para ensino de leitura e alfabetização para alunos do ensino pré-escolar e fundamental e que incluam o desenvolvimento do conhecimento de conteúdo pedagógico e estrutura conceitual para ensino de habilidades de alfabetização precoce ou habilidades de leitura fundamentais, incluindo, entre outros:</w:t>
      </w:r>
    </w:p>
    <w:p w14:paraId="0142D482" w14:textId="77777777" w:rsidR="009A0E1A" w:rsidRDefault="00000000">
      <w:pPr>
        <w:pStyle w:val="a6"/>
        <w:numPr>
          <w:ilvl w:val="1"/>
          <w:numId w:val="77"/>
        </w:numPr>
        <w:spacing w:after="120"/>
        <w:contextualSpacing w:val="0"/>
        <w:rPr>
          <w:rFonts w:eastAsia="Times New Roman" w:cs="Times New Roman"/>
        </w:rPr>
      </w:pPr>
      <w:r>
        <w:rPr>
          <w:rFonts w:eastAsia="Times New Roman" w:cs="Times New Roman"/>
          <w:lang w:val="pt-BR"/>
        </w:rPr>
        <w:t xml:space="preserve">fonética; </w:t>
      </w:r>
    </w:p>
    <w:p w14:paraId="7BDF2609" w14:textId="77777777" w:rsidR="009A0E1A" w:rsidRDefault="00000000">
      <w:pPr>
        <w:pStyle w:val="a6"/>
        <w:numPr>
          <w:ilvl w:val="1"/>
          <w:numId w:val="77"/>
        </w:numPr>
        <w:spacing w:after="120"/>
        <w:contextualSpacing w:val="0"/>
        <w:rPr>
          <w:rFonts w:eastAsia="Times New Roman" w:cs="Times New Roman"/>
        </w:rPr>
      </w:pPr>
      <w:r>
        <w:rPr>
          <w:rFonts w:eastAsia="Times New Roman" w:cs="Times New Roman"/>
          <w:lang w:val="pt-BR"/>
        </w:rPr>
        <w:t xml:space="preserve">consciência fonêmica; </w:t>
      </w:r>
    </w:p>
    <w:p w14:paraId="3AC32AEC" w14:textId="77777777" w:rsidR="009A0E1A" w:rsidRDefault="00000000">
      <w:pPr>
        <w:pStyle w:val="a6"/>
        <w:numPr>
          <w:ilvl w:val="1"/>
          <w:numId w:val="77"/>
        </w:numPr>
        <w:spacing w:after="120"/>
        <w:contextualSpacing w:val="0"/>
        <w:rPr>
          <w:rFonts w:eastAsia="Times New Roman" w:cs="Times New Roman"/>
        </w:rPr>
      </w:pPr>
      <w:r>
        <w:rPr>
          <w:rFonts w:eastAsia="Times New Roman" w:cs="Times New Roman"/>
          <w:lang w:val="pt-BR"/>
        </w:rPr>
        <w:t>vocabulário;</w:t>
      </w:r>
    </w:p>
    <w:p w14:paraId="6C52644B" w14:textId="77777777" w:rsidR="009A0E1A" w:rsidRDefault="00000000">
      <w:pPr>
        <w:pStyle w:val="a6"/>
        <w:numPr>
          <w:ilvl w:val="1"/>
          <w:numId w:val="77"/>
        </w:numPr>
        <w:spacing w:after="120"/>
        <w:contextualSpacing w:val="0"/>
        <w:rPr>
          <w:rFonts w:eastAsia="Times New Roman" w:cs="Times New Roman"/>
        </w:rPr>
      </w:pPr>
      <w:r>
        <w:rPr>
          <w:rFonts w:eastAsia="Times New Roman" w:cs="Times New Roman"/>
          <w:lang w:val="pt-BR"/>
        </w:rPr>
        <w:t xml:space="preserve"> compreensão da leitura; </w:t>
      </w:r>
    </w:p>
    <w:p w14:paraId="2FDE72CE" w14:textId="77777777" w:rsidR="009A0E1A" w:rsidRDefault="00000000">
      <w:pPr>
        <w:pStyle w:val="a6"/>
        <w:numPr>
          <w:ilvl w:val="1"/>
          <w:numId w:val="77"/>
        </w:numPr>
        <w:spacing w:after="120"/>
        <w:contextualSpacing w:val="0"/>
        <w:rPr>
          <w:rFonts w:eastAsia="Times New Roman" w:cs="Times New Roman"/>
        </w:rPr>
      </w:pPr>
      <w:r>
        <w:rPr>
          <w:rFonts w:eastAsia="Times New Roman" w:cs="Times New Roman"/>
          <w:lang w:val="pt-BR"/>
        </w:rPr>
        <w:t xml:space="preserve">fluência; </w:t>
      </w:r>
    </w:p>
    <w:p w14:paraId="03E70F7F" w14:textId="77777777" w:rsidR="009A0E1A" w:rsidRDefault="00000000">
      <w:pPr>
        <w:pStyle w:val="a6"/>
        <w:numPr>
          <w:ilvl w:val="1"/>
          <w:numId w:val="77"/>
        </w:numPr>
        <w:spacing w:after="120"/>
        <w:contextualSpacing w:val="0"/>
        <w:rPr>
          <w:rFonts w:eastAsia="Times New Roman" w:cs="Times New Roman"/>
        </w:rPr>
      </w:pPr>
      <w:r>
        <w:rPr>
          <w:rFonts w:eastAsia="Times New Roman" w:cs="Times New Roman"/>
          <w:lang w:val="pt-BR"/>
        </w:rPr>
        <w:t>conceitos de impressão.</w:t>
      </w:r>
    </w:p>
    <w:p w14:paraId="524A39A0" w14:textId="77777777" w:rsidR="009A0E1A" w:rsidRPr="00CC1CB4" w:rsidRDefault="00000000">
      <w:pPr>
        <w:pStyle w:val="a6"/>
        <w:numPr>
          <w:ilvl w:val="0"/>
          <w:numId w:val="77"/>
        </w:numPr>
        <w:spacing w:after="120"/>
        <w:contextualSpacing w:val="0"/>
        <w:rPr>
          <w:rFonts w:eastAsia="Times New Roman" w:cs="Times New Roman"/>
          <w:lang w:val="es-ES"/>
        </w:rPr>
      </w:pPr>
      <w:r>
        <w:rPr>
          <w:rFonts w:eastAsia="Times New Roman" w:cs="Times New Roman"/>
          <w:lang w:val="pt-BR"/>
        </w:rPr>
        <w:t>Incluir em seus currículos de preparação de professores, estratégias para:</w:t>
      </w:r>
    </w:p>
    <w:p w14:paraId="04919BB3" w14:textId="77777777" w:rsidR="009A0E1A" w:rsidRPr="00CC1CB4" w:rsidRDefault="00000000">
      <w:pPr>
        <w:pStyle w:val="a6"/>
        <w:numPr>
          <w:ilvl w:val="1"/>
          <w:numId w:val="77"/>
        </w:numPr>
        <w:spacing w:after="120"/>
        <w:contextualSpacing w:val="0"/>
        <w:rPr>
          <w:rFonts w:eastAsia="Times New Roman" w:cs="Times New Roman"/>
          <w:lang w:val="es-ES"/>
        </w:rPr>
      </w:pPr>
      <w:r>
        <w:rPr>
          <w:rFonts w:eastAsia="Times New Roman" w:cs="Times New Roman"/>
          <w:lang w:val="pt-BR"/>
        </w:rPr>
        <w:t xml:space="preserve">ensinar a leitura e compreensão, escrever, falar e ouvir alunos da pré-escola e do ensino fundamental; </w:t>
      </w:r>
    </w:p>
    <w:p w14:paraId="610EDD12" w14:textId="77777777" w:rsidR="009A0E1A" w:rsidRPr="00CC1CB4" w:rsidRDefault="00000000">
      <w:pPr>
        <w:pStyle w:val="a6"/>
        <w:numPr>
          <w:ilvl w:val="1"/>
          <w:numId w:val="77"/>
        </w:numPr>
        <w:spacing w:after="120"/>
        <w:contextualSpacing w:val="0"/>
        <w:rPr>
          <w:rFonts w:eastAsia="Times New Roman" w:cs="Times New Roman"/>
          <w:lang w:val="es-ES"/>
        </w:rPr>
      </w:pPr>
      <w:r>
        <w:rPr>
          <w:rFonts w:eastAsia="Times New Roman" w:cs="Times New Roman"/>
          <w:lang w:val="pt-BR"/>
        </w:rPr>
        <w:t xml:space="preserve">literatura infantil multicultural, multilíngue e diversificada; </w:t>
      </w:r>
    </w:p>
    <w:p w14:paraId="1243DA7A" w14:textId="77777777" w:rsidR="009A0E1A" w:rsidRPr="00CC1CB4" w:rsidRDefault="00000000">
      <w:pPr>
        <w:pStyle w:val="a6"/>
        <w:numPr>
          <w:ilvl w:val="1"/>
          <w:numId w:val="77"/>
        </w:numPr>
        <w:spacing w:after="120"/>
        <w:contextualSpacing w:val="0"/>
        <w:rPr>
          <w:rFonts w:eastAsia="Times New Roman" w:cs="Times New Roman"/>
          <w:lang w:val="es-ES"/>
        </w:rPr>
      </w:pPr>
      <w:r>
        <w:rPr>
          <w:rFonts w:eastAsia="Times New Roman" w:cs="Times New Roman"/>
          <w:lang w:val="pt-BR"/>
        </w:rPr>
        <w:t xml:space="preserve">avaliação e planejamento de instruções corretivas para abordar problemas de leitura para leitores precoces e emergentes; </w:t>
      </w:r>
    </w:p>
    <w:p w14:paraId="5021331E" w14:textId="77777777" w:rsidR="00350239" w:rsidRPr="00CC1CB4" w:rsidRDefault="00000000">
      <w:pPr>
        <w:pStyle w:val="a6"/>
        <w:numPr>
          <w:ilvl w:val="1"/>
          <w:numId w:val="77"/>
        </w:numPr>
        <w:spacing w:after="120"/>
        <w:contextualSpacing w:val="0"/>
        <w:rPr>
          <w:rFonts w:eastAsia="Times New Roman" w:cs="Times New Roman"/>
          <w:lang w:val="es-ES"/>
        </w:rPr>
      </w:pPr>
      <w:r>
        <w:rPr>
          <w:rFonts w:eastAsia="Times New Roman" w:cs="Times New Roman"/>
          <w:lang w:val="pt-BR"/>
        </w:rPr>
        <w:t>avaliação e triagem de dificuldades iniciais de leitura; e bases do desenvolvimento da fala-linguagem, incluindo triagem e apoio de alunos com distúrbios da fala/linguagem, articulação e comunicação.</w:t>
      </w:r>
    </w:p>
    <w:p w14:paraId="24B2D39A" w14:textId="77777777" w:rsidR="00350239" w:rsidRPr="00CC1CB4" w:rsidRDefault="00000000" w:rsidP="009A0E1A">
      <w:pPr>
        <w:rPr>
          <w:rFonts w:eastAsia="Times New Roman" w:cs="Times New Roman"/>
          <w:lang w:val="es-ES"/>
        </w:rPr>
      </w:pPr>
      <w:r>
        <w:rPr>
          <w:rFonts w:eastAsia="Times New Roman" w:cs="Times New Roman"/>
          <w:lang w:val="pt-BR"/>
        </w:rPr>
        <w:t xml:space="preserve">Além disso, no processo regulatório de maio de 2023, o Conselho Estadual de Educação adotou uma nova certificação focada em apoiar a alfabetização precoce na pré-escola até o 3º ano. O endosso do especialista em alfabetização inicial requer uma compreensão profunda do apoio fundamental necessário para atender alunos na pré-escola até o 3º ano. A introdução de um novo endosso de serviços educacionais específico para atender às necessidades de desenvolvimento de alfabetização de jovens leitores está alinhada com as metas do NJDOE para criar oportunidades para todos os alunos lerem no nível do ano ou acima até o 3º ano. O detentor de um endosso de especialista em alfabetização inicial pode servir como intervencionista de educação geral primária para qualquer aluno na pré-escola até o terceiro ano com uma dificuldade de leitura ou alfabetização que seja o resultado de dislexia ou disgrafia e estratégias avançadas de alfabetização para apoiar alunos com habilidades variadas e alunos multilíngues. </w:t>
      </w:r>
    </w:p>
    <w:p w14:paraId="7B6C7C48" w14:textId="77777777" w:rsidR="00350239" w:rsidRPr="00CC1CB4" w:rsidRDefault="00000000" w:rsidP="009A0E1A">
      <w:pPr>
        <w:rPr>
          <w:rFonts w:eastAsia="Times New Roman" w:cs="Times New Roman"/>
          <w:lang w:val="es-ES"/>
        </w:rPr>
      </w:pPr>
      <w:r>
        <w:rPr>
          <w:rFonts w:eastAsia="Times New Roman" w:cs="Times New Roman"/>
          <w:lang w:val="pt-BR"/>
        </w:rPr>
        <w:t xml:space="preserve">Os programas de preparação de educadores devem incluir instruções focadas na pedagogia de educação especial para certificação educacional inicial. Os programas que treinam educadores especificamente para o professor de alunos com certificado de deficiência devem incluir cursos sobre transtorno do espectro </w:t>
      </w:r>
      <w:r>
        <w:rPr>
          <w:rFonts w:eastAsia="Times New Roman" w:cs="Times New Roman"/>
          <w:lang w:val="pt-BR"/>
        </w:rPr>
        <w:lastRenderedPageBreak/>
        <w:t xml:space="preserve">autista. Além disso, cada programa de instrução inicial deve incluir treinamento sobre pedagogias culturalmente responsivas/de sustentação e treinamento sobre apoio a alunos multilíngues. </w:t>
      </w:r>
    </w:p>
    <w:p w14:paraId="0BE8BEFC" w14:textId="77777777" w:rsidR="00350239" w:rsidRPr="00CC1CB4" w:rsidRDefault="00000000" w:rsidP="00856537">
      <w:pPr>
        <w:pStyle w:val="A30"/>
      </w:pPr>
      <w:bookmarkStart w:id="166" w:name="_Toc199403759"/>
      <w:r>
        <w:t>Suportes instrucionais adicionais para diversos alunos</w:t>
      </w:r>
      <w:bookmarkEnd w:id="166"/>
    </w:p>
    <w:p w14:paraId="7AF38184" w14:textId="77777777" w:rsidR="00350239" w:rsidRPr="00CC1CB4" w:rsidRDefault="00000000" w:rsidP="004D2055">
      <w:pPr>
        <w:rPr>
          <w:rStyle w:val="normaltextrun"/>
          <w:rFonts w:ascii="Segoe UI" w:hAnsi="Segoe UI" w:cs="Segoe UI"/>
          <w:lang w:val="es-ES"/>
        </w:rPr>
      </w:pPr>
      <w:r>
        <w:rPr>
          <w:rStyle w:val="normaltextrun"/>
          <w:rFonts w:eastAsia="Times New Roman" w:cs="Arial"/>
          <w:lang w:val="pt-BR"/>
        </w:rPr>
        <w:t xml:space="preserve">Para aprimorar as habilidades dos educadores à medida que apoiam diversos alunos, o NJDOE fornece desenvolvimento profissional regular e sustentado para professores, provedores de serviços educacionais, diretores e outros líderes escolares. Funcionários de vários escritórios do NJDOE fornecem regularmente experiências de aprendizagem profissional em vários tópicos. Essas oportunidades incluem sessões regulares realizadas por coordenadores de conteúdo para direcionar ofertas de treinamento e aprendizagem profissional com foco em populações específicas. Além disso, a equipe e os parceiros do NJDOE conduzem regularmente sessões sobre instrução diferenciada, tecnologias de assistência, instrução estruturada, opções de aceleração e intervenções de alfabetização que podem afetar crianças com deficiências e/ou alunos multilíngues, identificação de alunos que são talentosos e talentosos e apoio para alunos com baixos níveis de alfabetização. </w:t>
      </w:r>
    </w:p>
    <w:p w14:paraId="6ABC9917" w14:textId="77777777" w:rsidR="00350239" w:rsidRPr="00CC1CB4" w:rsidRDefault="00000000" w:rsidP="004D2055">
      <w:pPr>
        <w:rPr>
          <w:lang w:val="es-ES"/>
        </w:rPr>
      </w:pPr>
      <w:r>
        <w:rPr>
          <w:rStyle w:val="normaltextrun"/>
          <w:rFonts w:eastAsia="Times New Roman" w:cs="Arial"/>
          <w:lang w:val="pt-BR"/>
        </w:rPr>
        <w:t>Oportunidades adicionais de aprendizagem profissional incluem apoio na análise e exploração</w:t>
      </w:r>
      <w:r>
        <w:rPr>
          <w:rStyle w:val="normaltextrun"/>
          <w:rFonts w:ascii="Aptos" w:eastAsia="Aptos" w:hAnsi="Aptos" w:cs="Segoe UI"/>
          <w:lang w:val="pt-BR"/>
        </w:rPr>
        <w:t xml:space="preserve"> </w:t>
      </w:r>
      <w:r>
        <w:rPr>
          <w:rStyle w:val="normaltextrun"/>
          <w:rFonts w:eastAsia="Times New Roman" w:cs="Arial"/>
          <w:lang w:val="pt-BR"/>
        </w:rPr>
        <w:t xml:space="preserve">do NJSLS em todas as áreas de conteúdo e pedagogia específica de conteúdo. O NJDOE também investirá no desenvolvimento de documentos e materiais de orientação voltados para educadores e profissionais para apoiar a implementação do NJSLS. </w:t>
      </w:r>
    </w:p>
    <w:p w14:paraId="6049F62C" w14:textId="77777777" w:rsidR="009712AA" w:rsidRPr="00CC1CB4" w:rsidRDefault="00000000">
      <w:pPr>
        <w:rPr>
          <w:rStyle w:val="normaltextrun"/>
          <w:lang w:val="es-ES"/>
        </w:rPr>
      </w:pPr>
      <w:r>
        <w:rPr>
          <w:rStyle w:val="normaltextrun"/>
          <w:rFonts w:eastAsia="Times New Roman" w:cs="Arial"/>
          <w:lang w:val="pt-BR"/>
        </w:rPr>
        <w:t xml:space="preserve">Exemplos de suporte de aprendizagem profissional adicional para alunos com necessidades específicas de aprendizagem incluem: </w:t>
      </w:r>
    </w:p>
    <w:p w14:paraId="166A1885" w14:textId="77777777" w:rsidR="001C17B8" w:rsidRPr="00CC1CB4" w:rsidRDefault="00000000" w:rsidP="001C17B8">
      <w:pPr>
        <w:pStyle w:val="4"/>
        <w:rPr>
          <w:lang w:val="es-ES"/>
        </w:rPr>
      </w:pPr>
      <w:bookmarkStart w:id="167" w:name="_Toc199403760"/>
      <w:r>
        <w:rPr>
          <w:rFonts w:ascii="Cambria" w:eastAsia="Cambria" w:hAnsi="Cambria" w:cs="Arial"/>
          <w:szCs w:val="24"/>
          <w:lang w:val="pt-BR"/>
        </w:rPr>
        <w:t>Alunos com necessidades especiais</w:t>
      </w:r>
      <w:bookmarkEnd w:id="167"/>
    </w:p>
    <w:p w14:paraId="7F3B6A59" w14:textId="77777777" w:rsidR="00350239" w:rsidRPr="00CC1CB4" w:rsidRDefault="00000000" w:rsidP="004D2055">
      <w:pPr>
        <w:rPr>
          <w:rStyle w:val="normaltextrun"/>
          <w:lang w:val="es-ES"/>
        </w:rPr>
      </w:pPr>
      <w:r>
        <w:rPr>
          <w:rFonts w:eastAsia="Times New Roman" w:cs="Arial"/>
          <w:color w:val="000000"/>
          <w:lang w:val="pt-BR"/>
        </w:rPr>
        <w:t xml:space="preserve">O Escritório de Educação Especial fornece desenvolvimento profissional, assistência técnica, orientação e recursos para educadores, famílias e outras partes interessadas em todo o estado para melhorar os resultados para alunos com deficiências de 3 a 21 anos de idade. O escritório supervisiona quatro Centros de Recursos de Aprendizagem estrategicamente localizados em todo o estado para fornecer às famílias de alunos com deficiências e profissionais educacionais informações, materiais, assistência técnica e consultoria sobre políticas, leis e regulamentos, e melhores práticas em educação especial. O escritório está envolvido em parcerias com universidades e organizações estaduais que oferecem oportunidades de aprendizagem profissional com base na escola, com foco nas práticas que promovem a autodefesa, preparação para o ensino superior e emprego competitivo, e inclusão de alunos com deficiências em todos os ambientes escolares e comunitários. </w:t>
      </w:r>
    </w:p>
    <w:p w14:paraId="256BD5D7" w14:textId="77777777" w:rsidR="001C17B8" w:rsidRPr="00CC1CB4" w:rsidRDefault="00000000" w:rsidP="001C17B8">
      <w:pPr>
        <w:pStyle w:val="4"/>
        <w:rPr>
          <w:rStyle w:val="normaltextrun"/>
          <w:b w:val="0"/>
          <w:bCs w:val="0"/>
          <w:color w:val="365F91" w:themeColor="accent1" w:themeShade="BF"/>
          <w:lang w:val="es-ES"/>
        </w:rPr>
      </w:pPr>
      <w:bookmarkStart w:id="168" w:name="_Toc199403761"/>
      <w:r>
        <w:rPr>
          <w:rStyle w:val="normaltextrun"/>
          <w:rFonts w:ascii="Cambria" w:eastAsia="Cambria" w:hAnsi="Cambria" w:cs="Arial"/>
          <w:color w:val="365F91"/>
          <w:szCs w:val="24"/>
          <w:lang w:val="pt-BR"/>
        </w:rPr>
        <w:t>Presenteado e talentoso</w:t>
      </w:r>
      <w:bookmarkEnd w:id="168"/>
    </w:p>
    <w:p w14:paraId="34F7562C" w14:textId="77777777" w:rsidR="00350239" w:rsidRPr="00CC1CB4" w:rsidRDefault="00000000" w:rsidP="004D2055">
      <w:pPr>
        <w:rPr>
          <w:lang w:val="es-ES"/>
        </w:rPr>
      </w:pPr>
      <w:r>
        <w:rPr>
          <w:rStyle w:val="eop"/>
          <w:rFonts w:eastAsia="Times New Roman" w:cs="Arial"/>
          <w:lang w:val="pt-BR"/>
        </w:rPr>
        <w:t xml:space="preserve">Além disso, a Divisão de Serviços de Ensino e Aprendizagem, Escritório de Padrões, realiza uma extensa revisão dos Relatórios de Serviços Presenteados e Talentos. Com base nas análises de dados desses relatórios, o Escritório de Padrões responde adequadamente para apoiar as LEAs na implementação da Lei de Fortalecimento da Educação sobre Doações e Talentos. Em colaboração com o Comitê Consultivo de Fortalecimento da Educação sobre Doações e Talentos, o NJDOE fornece recursos e assistência técnica na identificação de alunos do jardim de infância até o ensino médio para serviços talentosos e talentosos. O Escritório de Padrões oferece aprendizagem profissional sobre educação talentosa para educadores e administradores, que inclui uma visão geral da educação talentosa, uma exploração de </w:t>
      </w:r>
      <w:r>
        <w:rPr>
          <w:rStyle w:val="eop"/>
          <w:rFonts w:eastAsia="Times New Roman" w:cs="Arial"/>
          <w:lang w:val="pt-BR"/>
        </w:rPr>
        <w:lastRenderedPageBreak/>
        <w:t>estratégias e abordagens para garantir acesso equitativo a programas e orientação para programas de alta qualidade.</w:t>
      </w:r>
    </w:p>
    <w:p w14:paraId="0FB1B140" w14:textId="77777777" w:rsidR="001C17B8" w:rsidRPr="00CC1CB4" w:rsidRDefault="00000000" w:rsidP="001C17B8">
      <w:pPr>
        <w:pStyle w:val="4"/>
        <w:rPr>
          <w:lang w:val="es-ES"/>
        </w:rPr>
      </w:pPr>
      <w:bookmarkStart w:id="169" w:name="_Toc199403762"/>
      <w:r>
        <w:rPr>
          <w:rFonts w:ascii="Cambria" w:eastAsia="Cambria" w:hAnsi="Cambria" w:cs="Arial"/>
          <w:szCs w:val="24"/>
          <w:lang w:val="pt-BR"/>
        </w:rPr>
        <w:t>Alunos multilíngues</w:t>
      </w:r>
      <w:bookmarkEnd w:id="169"/>
    </w:p>
    <w:p w14:paraId="2EE9A0DE" w14:textId="77777777" w:rsidR="00350239" w:rsidRPr="00CC1CB4" w:rsidRDefault="00000000" w:rsidP="00350239">
      <w:pPr>
        <w:pStyle w:val="paragraph"/>
        <w:spacing w:before="0" w:beforeAutospacing="0" w:after="200" w:afterAutospacing="0" w:line="276" w:lineRule="auto"/>
        <w:rPr>
          <w:szCs w:val="22"/>
          <w:lang w:val="es-ES"/>
        </w:rPr>
      </w:pPr>
      <w:r>
        <w:rPr>
          <w:color w:val="242424"/>
          <w:szCs w:val="22"/>
          <w:lang w:val="pt-BR"/>
        </w:rPr>
        <w:t xml:space="preserve">Em colaboração com o Mid-Atlantic Equity Assistance Consortium e WestEd, o </w:t>
      </w:r>
      <w:r>
        <w:rPr>
          <w:szCs w:val="22"/>
          <w:lang w:val="pt-BR"/>
        </w:rPr>
        <w:t>NJDOE</w:t>
      </w:r>
      <w:r>
        <w:rPr>
          <w:color w:val="242424"/>
          <w:szCs w:val="22"/>
          <w:lang w:val="pt-BR"/>
        </w:rPr>
        <w:t xml:space="preserve"> organizou uma série de seis webinars para as equipes da LEA de professores e administradores sobre o tópico “Alunos multilíngues com deficiência”. Exemplos de </w:t>
      </w:r>
      <w:r>
        <w:rPr>
          <w:szCs w:val="22"/>
          <w:lang w:val="pt-BR"/>
        </w:rPr>
        <w:t xml:space="preserve">sessões incluem </w:t>
      </w:r>
      <w:r>
        <w:rPr>
          <w:color w:val="242424"/>
          <w:szCs w:val="22"/>
          <w:lang w:val="pt-BR"/>
        </w:rPr>
        <w:t>“Distinguir entre aquisição de idiomas e deficiência de aprendizagem”, “Implementar práticas baseadas em evidências: Universal Design for Learning” e “Avaliação educacional especial responsiva culturalmente”.</w:t>
      </w:r>
    </w:p>
    <w:p w14:paraId="53CD3C77" w14:textId="77777777" w:rsidR="001C17B8" w:rsidRPr="00CC1CB4" w:rsidRDefault="00000000" w:rsidP="001C17B8">
      <w:pPr>
        <w:pStyle w:val="4"/>
        <w:rPr>
          <w:lang w:val="es-ES"/>
        </w:rPr>
      </w:pPr>
      <w:bookmarkStart w:id="170" w:name="_Toc199403763"/>
      <w:r>
        <w:rPr>
          <w:rFonts w:ascii="Cambria" w:eastAsia="Cambria" w:hAnsi="Cambria" w:cs="Arial"/>
          <w:szCs w:val="24"/>
          <w:lang w:val="pt-BR"/>
        </w:rPr>
        <w:t>Alfabetização</w:t>
      </w:r>
      <w:bookmarkEnd w:id="170"/>
    </w:p>
    <w:p w14:paraId="03957694" w14:textId="77777777" w:rsidR="001E468A" w:rsidRPr="00CC1CB4" w:rsidRDefault="00000000" w:rsidP="001C17B8">
      <w:pPr>
        <w:rPr>
          <w:rFonts w:eastAsia="Times New Roman" w:cs="Times New Roman"/>
          <w:lang w:val="es-ES"/>
        </w:rPr>
      </w:pPr>
      <w:r>
        <w:rPr>
          <w:rFonts w:eastAsia="Times New Roman" w:cs="Times New Roman"/>
          <w:lang w:val="pt-BR"/>
        </w:rPr>
        <w:t>Em serviço a todos os alunos, particularmente aqueles que não leem e escrevem no nível do ano, o NJDOE desenvolveu e implementou duas iniciativas de aprendizagem profissional em todo o estado, projetadas para apoiar e reforçar a instrução de alfabetização baseada em evidências no jardim de infância até o 6º ano. Essas iniciativas baseadas em evidências estão estreitamente alinhadas com o conhecimento e as habilidades apresentadas nas revisões do NJSLS para ELA, adotadas no início de outubro de 2023 pelo Conselho Estadual de Educação de Nova Jersey, e respondem aos dados derivados das Avaliações de Aprendizagem do Estudante de Nova Jersey. A iniciativa de desenvolvimento profissional integrado de aceleração de leitura (Reading Acceleration Professionally Integrated Development, RAPID) oferece aos educadores aprendizado profissional gratuito e ferramentas para apoiar a alfabetização fundamental para alunos do jardim de infância até o 3º ano. A Iniciativa RAPID Plus gratuita oferece aos educadores aprendizado profissional gratuito e ferramentas para apoiar o desenvolvimento de leitores nos anos superiores (4º ao 6º ano). Os líderes e administradores escolares têm uma série separada que se concentra em projetar e apoiar a instrução de alfabetização de alta qualidade nas escolas. As séries RAPID e RAPID Plus serão disponibilizadas às LEAs em perpetuidade, publicando módulos de treinamento assíncronos no site do NJDOE.</w:t>
      </w:r>
    </w:p>
    <w:p w14:paraId="17F2BAF9" w14:textId="77777777" w:rsidR="001E468A" w:rsidRPr="00CC1CB4" w:rsidRDefault="00000000">
      <w:pPr>
        <w:rPr>
          <w:rFonts w:eastAsia="Aptos" w:cs="Times New Roman"/>
          <w:color w:val="365F91" w:themeColor="accent1" w:themeShade="BF"/>
          <w:sz w:val="20"/>
          <w:szCs w:val="72"/>
          <w:lang w:val="es-ES"/>
          <w14:ligatures w14:val="standardContextual"/>
        </w:rPr>
      </w:pPr>
      <w:r>
        <w:rPr>
          <w:rFonts w:eastAsia="Times New Roman" w:cs="Times New Roman"/>
          <w:color w:val="365F91"/>
          <w:sz w:val="20"/>
          <w:szCs w:val="20"/>
          <w:lang w:val="pt-BR"/>
        </w:rPr>
        <w:t xml:space="preserve"> [finalizar resposta do NJDOE]</w:t>
      </w:r>
    </w:p>
    <w:p w14:paraId="55FBA691" w14:textId="77777777" w:rsidR="009D5CA4" w:rsidRPr="00CC1CB4" w:rsidRDefault="00000000" w:rsidP="001E468A">
      <w:pPr>
        <w:pStyle w:val="BeginUSED"/>
        <w:rPr>
          <w:rFonts w:eastAsia="Times New Roman" w:cs="Times New Roman"/>
          <w:lang w:val="es-ES"/>
        </w:rPr>
      </w:pPr>
      <w:r>
        <w:rPr>
          <w:rFonts w:eastAsia="Times New Roman" w:cs="Times New Roman"/>
          <w:color w:val="FFFFFF"/>
          <w:szCs w:val="4"/>
          <w:lang w:val="pt-BR"/>
        </w:rPr>
        <w:t>[iniciar o texto do USED]</w:t>
      </w:r>
    </w:p>
    <w:p w14:paraId="3231E6C9" w14:textId="77777777" w:rsidR="00E03CB8" w:rsidRPr="00856537" w:rsidRDefault="00000000" w:rsidP="00856537">
      <w:pPr>
        <w:pStyle w:val="A20"/>
        <w:spacing w:before="0"/>
      </w:pPr>
      <w:bookmarkStart w:id="171" w:name="_Toc171333301"/>
      <w:bookmarkStart w:id="172" w:name="_Toc199403764"/>
      <w:r>
        <w:t>5</w:t>
      </w:r>
      <w:r w:rsidRPr="00856537">
        <w:t>.</w:t>
      </w:r>
      <w:r>
        <w:t xml:space="preserve"> Dados e consulta (Seção 2101(d)(2)(K) da ESEA)</w:t>
      </w:r>
      <w:bookmarkEnd w:id="171"/>
      <w:bookmarkEnd w:id="172"/>
    </w:p>
    <w:p w14:paraId="3F6F8C41" w14:textId="77777777" w:rsidR="000C26C8" w:rsidRPr="00CC1CB4" w:rsidRDefault="00000000" w:rsidP="00E03CB8">
      <w:pPr>
        <w:spacing w:line="240" w:lineRule="auto"/>
        <w:rPr>
          <w:rFonts w:asciiTheme="majorHAnsi" w:hAnsiTheme="majorHAnsi" w:cs="Times New Roman"/>
          <w:color w:val="244061" w:themeColor="accent1" w:themeShade="80"/>
          <w:lang w:val="es-ES"/>
        </w:rPr>
      </w:pPr>
      <w:r>
        <w:rPr>
          <w:rFonts w:ascii="Cambria" w:eastAsia="Cambria" w:hAnsi="Cambria" w:cs="Times New Roman"/>
          <w:color w:val="244061"/>
          <w:lang w:val="pt-BR"/>
        </w:rPr>
        <w:t>Descrever como o estado usará os dados e a consulta contínua, conforme descrito na seção 2101(d)(3) da ESEA, para atualizar e melhorar continuamente as atividades apoiadas no Título II, Parte A.</w:t>
      </w:r>
    </w:p>
    <w:p w14:paraId="35646E49" w14:textId="77777777" w:rsidR="00FE32FA" w:rsidRPr="00CC1CB4" w:rsidRDefault="00000000" w:rsidP="00FE32FA">
      <w:pPr>
        <w:pStyle w:val="EndUSED"/>
        <w:rPr>
          <w:szCs w:val="4"/>
          <w:lang w:val="es-ES"/>
        </w:rPr>
      </w:pPr>
      <w:r>
        <w:rPr>
          <w:rFonts w:eastAsia="Times New Roman"/>
          <w:color w:val="FFFFFF"/>
          <w:szCs w:val="4"/>
          <w:lang w:val="pt-BR"/>
        </w:rPr>
        <w:t xml:space="preserve">[finalizar texto do USED] </w:t>
      </w:r>
    </w:p>
    <w:p w14:paraId="68E7A3BC" w14:textId="77777777" w:rsidR="00D4095F" w:rsidRPr="00CC1CB4" w:rsidRDefault="00000000" w:rsidP="000B3052">
      <w:pPr>
        <w:spacing w:before="240"/>
        <w:rPr>
          <w:rStyle w:val="NJDOEResponse"/>
          <w:lang w:val="es-ES"/>
        </w:rPr>
      </w:pPr>
      <w:r>
        <w:rPr>
          <w:rStyle w:val="NJDOEResponse"/>
          <w:rFonts w:eastAsia="Times New Roman"/>
          <w:color w:val="365F91"/>
          <w:lang w:val="pt-BR"/>
        </w:rPr>
        <w:t>[iniciar a resposta do NJDOE]</w:t>
      </w:r>
    </w:p>
    <w:p w14:paraId="19814C80" w14:textId="77777777" w:rsidR="000C26C8" w:rsidRPr="00CC1CB4" w:rsidRDefault="00000000" w:rsidP="00DE38E0">
      <w:pPr>
        <w:rPr>
          <w:rFonts w:eastAsia="Times New Roman"/>
          <w:lang w:val="es-ES"/>
        </w:rPr>
      </w:pPr>
      <w:sdt>
        <w:sdtPr>
          <w:rPr>
            <w:rFonts w:cs="Times New Roman"/>
          </w:rPr>
          <w:id w:val="-785736019"/>
        </w:sdtPr>
        <w:sdtContent>
          <w:r>
            <w:rPr>
              <w:rFonts w:eastAsia="Times New Roman" w:cs="Times New Roman"/>
              <w:lang w:val="pt-BR"/>
            </w:rPr>
            <w:t xml:space="preserve">O NJDOE está estudando os efeitos dos programas de Subsídios para minorias, conforme descrito na resposta 2 acima. Avaliadores externos </w:t>
          </w:r>
        </w:sdtContent>
      </w:sdt>
      <w:r>
        <w:rPr>
          <w:rFonts w:eastAsia="Times New Roman" w:cs="Times New Roman"/>
          <w:lang w:val="pt-BR"/>
        </w:rPr>
        <w:t xml:space="preserve">estão ajudando o NJDOE a determinar como melhorar o suporte. Além disso, o sistema NJEdCert pode gerar dados sobre os candidatos para ajudar o NJDOE a entender a diversidade dos professores que entram na força de trabalho e as áreas de ensino que os candidatos estão escolhendo para informar o NJDOE sobre atividades de tomada de decisão e apoio. O NJDOE também fez uma parceria com o Centro Abrangente do Meio Atlântico para realizar pesquisas e coletar dados </w:t>
      </w:r>
      <w:r>
        <w:rPr>
          <w:rFonts w:eastAsia="Times New Roman" w:cs="Times New Roman"/>
          <w:lang w:val="pt-BR"/>
        </w:rPr>
        <w:lastRenderedPageBreak/>
        <w:t xml:space="preserve">relacionados a práticas de recrutamento e retenção em programas de preparação educacional no estado e montar um kit de ferramentas de melhores práticas de recrutamento. </w:t>
      </w:r>
    </w:p>
    <w:p w14:paraId="10607EE1" w14:textId="77777777" w:rsidR="000C26C8" w:rsidRPr="00CC1CB4" w:rsidRDefault="00000000" w:rsidP="00DE38E0">
      <w:pPr>
        <w:rPr>
          <w:rFonts w:eastAsia="Times New Roman" w:cs="Times New Roman"/>
          <w:lang w:val="es-ES"/>
        </w:rPr>
      </w:pPr>
      <w:r>
        <w:rPr>
          <w:rFonts w:eastAsia="Times New Roman" w:cs="Times New Roman"/>
          <w:lang w:val="pt-BR"/>
        </w:rPr>
        <w:t>O projeto OpenSciEd descrito na Seção B1 acima foi iniciado em Nova Jersey devido aos primeiros achados do teste de campo operacional da avaliação de aprendizagem do aluno de Nova Jersey. Após a administração de 2019, e em preparação para os resultados da avaliação a serem usados pelo NJDOE para a responsabilidade da LEA por meio do Quality Single Accountability Continuum (QSAC) em 2022, o Escritório de Padrões identificou um projeto que poderia ajudar a LEA a melhorar seus programas científicos. O projeto OpenSciEd continuará a fornecer às LEAs acesso a currículo de alta qualidade e código aberto e aprendizagem profissional alinhada que apoia fortemente a implementação da NJSLS-Science. Os resultados da avaliação científica em todo o estado são usados para informar as próximas etapas do projeto.</w:t>
      </w:r>
    </w:p>
    <w:p w14:paraId="60F02FF0" w14:textId="77777777" w:rsidR="00902BE8" w:rsidRPr="00CC1CB4" w:rsidRDefault="00000000" w:rsidP="00DE38E0">
      <w:pPr>
        <w:rPr>
          <w:rFonts w:eastAsia="Aptos" w:cs="Times New Roman"/>
          <w:color w:val="365F91" w:themeColor="accent1" w:themeShade="BF"/>
          <w:lang w:val="es-ES"/>
          <w14:ligatures w14:val="standardContextual"/>
        </w:rPr>
      </w:pPr>
      <w:r>
        <w:rPr>
          <w:rFonts w:eastAsia="Times New Roman" w:cs="Times New Roman"/>
          <w:color w:val="365F91"/>
          <w:lang w:val="pt-BR"/>
        </w:rPr>
        <w:t>[finalizar resposta do NJDOE]</w:t>
      </w:r>
    </w:p>
    <w:p w14:paraId="796BFED9" w14:textId="77777777" w:rsidR="000C26C8" w:rsidRPr="00CC1CB4" w:rsidRDefault="00000000" w:rsidP="00FE32FA">
      <w:pPr>
        <w:pStyle w:val="BeginUSED"/>
        <w:rPr>
          <w:rFonts w:cs="Times New Roman"/>
          <w:lang w:val="es-ES"/>
        </w:rPr>
      </w:pPr>
      <w:r>
        <w:rPr>
          <w:rFonts w:eastAsia="Times New Roman"/>
          <w:color w:val="FFFFFF"/>
          <w:szCs w:val="4"/>
          <w:lang w:val="pt-BR"/>
        </w:rPr>
        <w:t>[iniciar o texto do USED]</w:t>
      </w:r>
    </w:p>
    <w:p w14:paraId="3F1CC3EB" w14:textId="77777777" w:rsidR="00894838" w:rsidRPr="00856537" w:rsidRDefault="00000000" w:rsidP="00856537">
      <w:pPr>
        <w:pStyle w:val="A20"/>
        <w:spacing w:before="0"/>
      </w:pPr>
      <w:bookmarkStart w:id="173" w:name="_Toc171333302"/>
      <w:bookmarkStart w:id="174" w:name="_Toc199403765"/>
      <w:r>
        <w:t>6</w:t>
      </w:r>
      <w:r w:rsidRPr="00856537">
        <w:t>.</w:t>
      </w:r>
      <w:r>
        <w:t xml:space="preserve"> Preparação do professor (Seção 2101(d)(2)(M) da ESEA)</w:t>
      </w:r>
      <w:bookmarkEnd w:id="173"/>
      <w:bookmarkEnd w:id="174"/>
    </w:p>
    <w:p w14:paraId="4D94D63A" w14:textId="77777777" w:rsidR="000C26C8" w:rsidRPr="00CC1CB4" w:rsidRDefault="00000000" w:rsidP="00894838">
      <w:pPr>
        <w:spacing w:line="240" w:lineRule="auto"/>
        <w:rPr>
          <w:rFonts w:asciiTheme="majorHAnsi" w:hAnsiTheme="majorHAnsi" w:cs="Times New Roman"/>
          <w:color w:val="244061" w:themeColor="accent1" w:themeShade="80"/>
          <w:lang w:val="es-ES"/>
        </w:rPr>
      </w:pPr>
      <w:r>
        <w:rPr>
          <w:rFonts w:ascii="Cambria" w:eastAsia="Cambria" w:hAnsi="Cambria" w:cs="Times New Roman"/>
          <w:color w:val="244061"/>
          <w:lang w:val="pt-BR"/>
        </w:rPr>
        <w:t>Descrever as ações que o estado pode tomar para melhorar os programas de preparação e fortalecer o apoio para professores, diretores ou outros líderes escolares com base nas necessidades do estado, conforme identificado pelo SEA.</w:t>
      </w:r>
      <w:r>
        <w:rPr>
          <w:rFonts w:ascii="Cambria" w:eastAsia="Cambria" w:hAnsi="Cambria" w:cs="Arial"/>
          <w:color w:val="244061"/>
          <w:lang w:val="pt-BR"/>
        </w:rPr>
        <w:t xml:space="preserve"> </w:t>
      </w:r>
    </w:p>
    <w:p w14:paraId="61EB5053" w14:textId="77777777" w:rsidR="00550085" w:rsidRPr="00CC1CB4" w:rsidRDefault="00000000" w:rsidP="00FE32FA">
      <w:pPr>
        <w:pStyle w:val="EndUSED"/>
        <w:rPr>
          <w:lang w:val="es-ES"/>
        </w:rPr>
      </w:pPr>
      <w:r>
        <w:rPr>
          <w:rFonts w:eastAsia="Times New Roman"/>
          <w:color w:val="FFFFFF"/>
          <w:szCs w:val="4"/>
          <w:lang w:val="pt-BR"/>
        </w:rPr>
        <w:t>[finalizar texto do USED]</w:t>
      </w:r>
    </w:p>
    <w:p w14:paraId="1B757784" w14:textId="77777777" w:rsidR="00D1234E" w:rsidRPr="00CC1CB4" w:rsidRDefault="00000000" w:rsidP="000B3052">
      <w:pPr>
        <w:spacing w:before="240"/>
        <w:rPr>
          <w:rFonts w:eastAsia="Aptos" w:cs="Times New Roman"/>
          <w:color w:val="365F91" w:themeColor="accent1" w:themeShade="BF"/>
          <w:lang w:val="es-ES"/>
          <w14:ligatures w14:val="standardContextual"/>
        </w:rPr>
      </w:pPr>
      <w:r>
        <w:rPr>
          <w:rFonts w:eastAsia="Times New Roman" w:cs="Times New Roman"/>
          <w:color w:val="365F91"/>
          <w:lang w:val="pt-BR"/>
        </w:rPr>
        <w:t>[iniciar a resposta do NJDOE]</w:t>
      </w:r>
    </w:p>
    <w:p w14:paraId="0476C3FF" w14:textId="77777777" w:rsidR="000C26C8" w:rsidRPr="00CC1CB4" w:rsidRDefault="00000000" w:rsidP="00CA6870">
      <w:pPr>
        <w:rPr>
          <w:rFonts w:eastAsia="Times New Roman" w:cs="Times New Roman"/>
          <w:color w:val="000000" w:themeColor="text1"/>
          <w:lang w:val="es-ES"/>
        </w:rPr>
      </w:pPr>
      <w:r>
        <w:rPr>
          <w:rFonts w:eastAsia="Times New Roman" w:cs="Times New Roman"/>
          <w:lang w:val="pt-BR"/>
        </w:rPr>
        <w:t xml:space="preserve">Garantir que os candidatos a educadores sejam treinados para impactar positivamente o aprendizado dos alunos no momento em que entram na sala de aula foi, e continuará sendo, uma prioridade importante do NJDOE. Para fornecer dados significativos e transparentes para ajudar professores aspirantes a selecionar melhor o programa de preparação que atenda às suas necessidades e ajudar os provedores de preparação de educadores a atender às necessidades de professores aspirantes, o NJDOE criou os </w:t>
      </w:r>
      <w:hyperlink r:id="rId42" w:history="1">
        <w:r w:rsidR="000C26C8">
          <w:rPr>
            <w:rFonts w:eastAsia="Times New Roman" w:cs="Arial"/>
            <w:color w:val="0000FF"/>
            <w:u w:val="single"/>
            <w:lang w:val="pt-BR"/>
          </w:rPr>
          <w:t>Relatórios de Desempenho de Nova Jersey para Preparação de Educadores</w:t>
        </w:r>
      </w:hyperlink>
      <w:r>
        <w:rPr>
          <w:rFonts w:eastAsia="Times New Roman" w:cs="Times New Roman"/>
          <w:lang w:val="pt-BR"/>
        </w:rPr>
        <w:t xml:space="preserve"> em 2014. Conforme descrito no Plano estadual da ESSA de 2017, o NJDOE aprimorou com sucesso os relatórios para garantir que candidatos em potencial, fornecedores de programas de preparação credenciados e recrutadores da LEA possam usar os relatórios de forma mais eficaz.</w:t>
      </w:r>
    </w:p>
    <w:p w14:paraId="5B49B439" w14:textId="77777777" w:rsidR="00B05CB9" w:rsidRPr="00CC1CB4" w:rsidRDefault="00000000" w:rsidP="00CA6870">
      <w:pPr>
        <w:rPr>
          <w:rFonts w:eastAsia="Aptos" w:cs="Times New Roman"/>
          <w:color w:val="365F91" w:themeColor="accent1" w:themeShade="BF"/>
          <w:lang w:val="es-ES"/>
          <w14:ligatures w14:val="standardContextual"/>
        </w:rPr>
      </w:pPr>
      <w:r>
        <w:rPr>
          <w:rFonts w:eastAsia="Times New Roman" w:cs="Times New Roman"/>
          <w:lang w:val="pt-BR"/>
        </w:rPr>
        <w:t xml:space="preserve">Além das atualizações regulatórias aos requisitos de preparação do educador listados acima, em 2023, foram atualizadas as regras estaduais sobre desenvolvimento profissional, incluindo orientação. Uma mudança importante incluiu o fortalecimento de seus programas de mentoria em Nova Jersey, exigindo uma comunicação mais frequente entre mentores e novos professores. </w:t>
      </w:r>
      <w:r>
        <w:rPr>
          <w:rFonts w:eastAsia="Times New Roman" w:cs="Times New Roman"/>
          <w:color w:val="000000"/>
          <w:lang w:val="pt-BR"/>
        </w:rPr>
        <w:t>Agora é necessário um tempo de contato semanal e presencial de no mínimo 30 semanas. Isso não foi especificado anteriormente. Isso deve ser acompanhado com orientação e treinamento.</w:t>
      </w:r>
    </w:p>
    <w:p w14:paraId="3593DD74" w14:textId="77777777" w:rsidR="005B2216" w:rsidRPr="00CC1CB4" w:rsidRDefault="00000000">
      <w:pPr>
        <w:rPr>
          <w:rFonts w:eastAsia="Aptos" w:cs="Times New Roman"/>
          <w:color w:val="365F91" w:themeColor="accent1" w:themeShade="BF"/>
          <w:lang w:val="es-ES"/>
          <w14:ligatures w14:val="standardContextual"/>
        </w:rPr>
      </w:pPr>
      <w:r>
        <w:rPr>
          <w:rFonts w:eastAsia="Times New Roman" w:cs="Times New Roman"/>
          <w:color w:val="365F91"/>
          <w:lang w:val="pt-BR"/>
        </w:rPr>
        <w:t>[finalizar resposta do NJDOE]</w:t>
      </w:r>
      <w:r>
        <w:rPr>
          <w:rFonts w:eastAsia="Times New Roman" w:cs="Times New Roman"/>
          <w:color w:val="365F91"/>
          <w:lang w:val="pt-BR"/>
        </w:rPr>
        <w:br w:type="page"/>
      </w:r>
    </w:p>
    <w:p w14:paraId="04A37074" w14:textId="77777777" w:rsidR="002E5946" w:rsidRPr="00CC1CB4" w:rsidRDefault="00000000" w:rsidP="002E5946">
      <w:pPr>
        <w:pStyle w:val="BeginUSED"/>
        <w:rPr>
          <w:lang w:val="es-ES"/>
        </w:rPr>
      </w:pPr>
      <w:r>
        <w:rPr>
          <w:rFonts w:eastAsia="Times New Roman"/>
          <w:color w:val="FFFFFF"/>
          <w:szCs w:val="4"/>
          <w:lang w:val="pt-BR"/>
        </w:rPr>
        <w:lastRenderedPageBreak/>
        <w:t xml:space="preserve">[iniciar o texto do USED] </w:t>
      </w:r>
    </w:p>
    <w:p w14:paraId="0D1DC64B" w14:textId="77777777" w:rsidR="00D33A2C" w:rsidRPr="00CC1CB4" w:rsidRDefault="00000000" w:rsidP="008262BA">
      <w:pPr>
        <w:pStyle w:val="1"/>
        <w:spacing w:after="0"/>
        <w:rPr>
          <w:lang w:val="es-ES"/>
        </w:rPr>
      </w:pPr>
      <w:bookmarkStart w:id="175" w:name="_Toc211004652"/>
      <w:r>
        <w:rPr>
          <w:rFonts w:eastAsia="Cambria"/>
          <w:szCs w:val="36"/>
          <w:lang w:val="pt-BR"/>
        </w:rPr>
        <w:t>E. Título III, Parte A, Subparte 1: Aquisição e aprimoramento do idioma inglês</w:t>
      </w:r>
      <w:bookmarkEnd w:id="175"/>
    </w:p>
    <w:p w14:paraId="4A4CEEE8" w14:textId="77777777" w:rsidR="00D33A2C" w:rsidRPr="00CC1CB4" w:rsidRDefault="00000000" w:rsidP="002E5946">
      <w:pPr>
        <w:pStyle w:val="EndUSED"/>
        <w:rPr>
          <w:rFonts w:eastAsia="Yu Gothic Light"/>
          <w:b/>
          <w:bCs/>
          <w:color w:val="000000"/>
          <w:sz w:val="28"/>
          <w:lang w:val="es-ES"/>
          <w14:ligatures w14:val="standardContextual"/>
        </w:rPr>
      </w:pPr>
      <w:r>
        <w:rPr>
          <w:rFonts w:eastAsia="Times New Roman"/>
          <w:color w:val="FFFFFF"/>
          <w:szCs w:val="4"/>
          <w:lang w:val="pt-BR"/>
        </w:rPr>
        <w:t>[finalizar texto do USED]</w:t>
      </w:r>
    </w:p>
    <w:p w14:paraId="047614F3" w14:textId="77777777" w:rsidR="00DD6889" w:rsidRPr="00CC1CB4" w:rsidRDefault="00000000" w:rsidP="000B3052">
      <w:pPr>
        <w:spacing w:before="240"/>
        <w:rPr>
          <w:rFonts w:eastAsia="Aptos" w:cs="Times New Roman"/>
          <w:color w:val="365F91" w:themeColor="accent1" w:themeShade="BF"/>
          <w:lang w:val="es-ES"/>
          <w14:ligatures w14:val="standardContextual"/>
        </w:rPr>
      </w:pPr>
      <w:r>
        <w:rPr>
          <w:rFonts w:eastAsia="Times New Roman" w:cs="Times New Roman"/>
          <w:color w:val="365F91"/>
          <w:lang w:val="pt-BR"/>
        </w:rPr>
        <w:t>[iniciar a resposta do NJDOE]</w:t>
      </w:r>
    </w:p>
    <w:p w14:paraId="410E5983" w14:textId="77777777" w:rsidR="00D33A2C" w:rsidRPr="00856537" w:rsidRDefault="00000000" w:rsidP="00856537">
      <w:pPr>
        <w:pStyle w:val="A20"/>
      </w:pPr>
      <w:bookmarkStart w:id="176" w:name="_Toc171333304"/>
      <w:bookmarkStart w:id="177" w:name="_Toc199403767"/>
      <w:r>
        <w:t>Visão geral</w:t>
      </w:r>
      <w:bookmarkEnd w:id="176"/>
      <w:bookmarkEnd w:id="177"/>
    </w:p>
    <w:p w14:paraId="5E8CC902" w14:textId="77777777" w:rsidR="00D33A2C" w:rsidRPr="00CC1CB4" w:rsidRDefault="00000000" w:rsidP="00D33A2C">
      <w:pPr>
        <w:spacing w:after="100" w:afterAutospacing="1" w:line="240" w:lineRule="auto"/>
        <w:rPr>
          <w:rFonts w:eastAsia="Times New Roman" w:cs="Times New Roman"/>
          <w:lang w:val="es-ES"/>
          <w14:ligatures w14:val="standardContextual"/>
        </w:rPr>
      </w:pPr>
      <w:r>
        <w:rPr>
          <w:rFonts w:eastAsia="Times New Roman" w:cs="Times New Roman"/>
          <w:lang w:val="pt-BR"/>
        </w:rPr>
        <w:t>Título III, Parte A fornece fundos para ajudar alunos multilíngues, incluindo crianças e jovens imigrantes, a terem sucesso na escola, ajudando-os a se tornarem fluentes em inglês e a cumprirem os desafiadores padrões de conteúdo acadêmico estadual e de realização acadêmica estudantil.</w:t>
      </w:r>
    </w:p>
    <w:p w14:paraId="5A084A6F" w14:textId="77777777" w:rsidR="00D33A2C" w:rsidRPr="00CC1CB4" w:rsidRDefault="00000000" w:rsidP="00D33A2C">
      <w:pPr>
        <w:spacing w:after="100" w:afterAutospacing="1" w:line="240" w:lineRule="auto"/>
        <w:rPr>
          <w:rFonts w:eastAsia="Times New Roman" w:cs="Times New Roman"/>
          <w:lang w:val="es-ES"/>
          <w14:ligatures w14:val="standardContextual"/>
        </w:rPr>
      </w:pPr>
      <w:r>
        <w:rPr>
          <w:rFonts w:eastAsia="Times New Roman" w:cs="Times New Roman"/>
          <w:lang w:val="pt-BR"/>
        </w:rPr>
        <w:t>As prioridades federais do Título III são:</w:t>
      </w:r>
    </w:p>
    <w:p w14:paraId="0B1C7612" w14:textId="77777777" w:rsidR="00D33A2C" w:rsidRPr="00CC1CB4" w:rsidRDefault="00000000">
      <w:pPr>
        <w:numPr>
          <w:ilvl w:val="0"/>
          <w:numId w:val="79"/>
        </w:numPr>
        <w:spacing w:after="120" w:line="240" w:lineRule="auto"/>
        <w:rPr>
          <w:rFonts w:eastAsia="Times New Roman" w:cs="Times New Roman"/>
          <w:lang w:val="es-ES"/>
          <w14:ligatures w14:val="standardContextual"/>
        </w:rPr>
      </w:pPr>
      <w:r>
        <w:rPr>
          <w:rFonts w:eastAsia="Times New Roman" w:cs="Times New Roman"/>
          <w:lang w:val="pt-BR"/>
        </w:rPr>
        <w:t xml:space="preserve">aumentar a proficiência em inglês de alunos multilíngues, fornecendo LIEPs eficazes que atendam às necessidades de alunos multilíngues e aumentem a proficiência em inglês e a realização acadêmica dos alunos; </w:t>
      </w:r>
    </w:p>
    <w:p w14:paraId="5DEA39AC" w14:textId="77777777" w:rsidR="00D33A2C" w:rsidRPr="00CC1CB4" w:rsidRDefault="00000000">
      <w:pPr>
        <w:numPr>
          <w:ilvl w:val="0"/>
          <w:numId w:val="79"/>
        </w:numPr>
        <w:spacing w:after="120" w:line="240" w:lineRule="auto"/>
        <w:rPr>
          <w:rFonts w:eastAsia="Times New Roman" w:cs="Times New Roman"/>
          <w:lang w:val="es-ES"/>
          <w14:ligatures w14:val="standardContextual"/>
        </w:rPr>
      </w:pPr>
      <w:r>
        <w:rPr>
          <w:rFonts w:eastAsia="Times New Roman" w:cs="Times New Roman"/>
          <w:lang w:val="pt-BR"/>
        </w:rPr>
        <w:t>fornecer desenvolvimento profissional eficaz projetado para melhorar a instrução e avaliação de alunos multilíngues, melhorar a capacidade de professores e líderes escolares de entender e implementar currículos e práticas e medidas de avaliação, e aumentar a proficiência em inglês das crianças ou aumentar substancialmente o conhecimento do assunto, o conhecimento do ensino e as habilidades de ensino dos professores;</w:t>
      </w:r>
    </w:p>
    <w:p w14:paraId="7DB370F8" w14:textId="77777777" w:rsidR="00D33A2C" w:rsidRPr="00CC1CB4" w:rsidRDefault="00000000">
      <w:pPr>
        <w:numPr>
          <w:ilvl w:val="0"/>
          <w:numId w:val="79"/>
        </w:numPr>
        <w:spacing w:before="100" w:beforeAutospacing="1" w:after="100" w:afterAutospacing="1" w:line="240" w:lineRule="auto"/>
        <w:rPr>
          <w:rFonts w:eastAsia="Times New Roman" w:cs="Times New Roman"/>
          <w:lang w:val="es-ES"/>
          <w14:ligatures w14:val="standardContextual"/>
        </w:rPr>
      </w:pPr>
      <w:r>
        <w:rPr>
          <w:rFonts w:eastAsia="Times New Roman" w:cs="Times New Roman"/>
          <w:lang w:val="pt-BR"/>
        </w:rPr>
        <w:t>fornecer e implementar outras atividades e estratégias eficazes que melhorem ou complementem LIEPs para alunos multilíngues, que devem incluir atividades de envolvimento dos pais, familiares e da comunidade.</w:t>
      </w:r>
    </w:p>
    <w:p w14:paraId="6801D31A" w14:textId="77777777" w:rsidR="00D33A2C" w:rsidRPr="00CC1CB4" w:rsidRDefault="00000000" w:rsidP="008262BA">
      <w:pPr>
        <w:spacing w:before="100" w:beforeAutospacing="1" w:after="100" w:afterAutospacing="1" w:line="240" w:lineRule="auto"/>
        <w:rPr>
          <w:rFonts w:eastAsia="Aptos" w:cs="Times New Roman"/>
          <w:lang w:val="es-ES"/>
          <w14:ligatures w14:val="standardContextual"/>
        </w:rPr>
      </w:pPr>
      <w:r>
        <w:rPr>
          <w:rFonts w:eastAsia="Times New Roman" w:cs="Times New Roman"/>
          <w:lang w:val="pt-BR"/>
        </w:rPr>
        <w:t>As LEAs que recebem fundos do Título III recebem apoio abrangente oferecido a todos os destinatários do financiamento da ESSA. Isso inclui um processo abrangente de planejamento, envio e aprovação para planos da ESSA da LEA, bem como um monitoramento abrangente que aborda o monitoramento de fundos federais.</w:t>
      </w:r>
    </w:p>
    <w:p w14:paraId="290C73C6" w14:textId="77777777" w:rsidR="004458EC" w:rsidRPr="00CC1CB4" w:rsidRDefault="00000000" w:rsidP="004458EC">
      <w:pPr>
        <w:rPr>
          <w:rFonts w:eastAsia="Aptos" w:cs="Times New Roman"/>
          <w:color w:val="365F91" w:themeColor="accent1" w:themeShade="BF"/>
          <w:lang w:val="es-ES"/>
          <w14:ligatures w14:val="standardContextual"/>
        </w:rPr>
      </w:pPr>
      <w:r>
        <w:rPr>
          <w:rFonts w:eastAsia="Times New Roman" w:cs="Times New Roman"/>
          <w:color w:val="365F91"/>
          <w:lang w:val="pt-BR"/>
        </w:rPr>
        <w:t>[finalizar resposta do NJDOE]</w:t>
      </w:r>
    </w:p>
    <w:p w14:paraId="5DC238E9" w14:textId="77777777" w:rsidR="00D33A2C" w:rsidRPr="00CC1CB4" w:rsidRDefault="00000000" w:rsidP="002E5946">
      <w:pPr>
        <w:pStyle w:val="BeginUSED"/>
        <w:rPr>
          <w:rFonts w:eastAsia="Times New Roman" w:cs="Times New Roman"/>
          <w:lang w:val="es-ES"/>
          <w14:ligatures w14:val="standardContextual"/>
        </w:rPr>
      </w:pPr>
      <w:r>
        <w:rPr>
          <w:rFonts w:eastAsia="Times New Roman"/>
          <w:color w:val="FFFFFF"/>
          <w:szCs w:val="4"/>
          <w:lang w:val="pt-BR"/>
        </w:rPr>
        <w:t>[iniciar o texto do USED]</w:t>
      </w:r>
    </w:p>
    <w:p w14:paraId="7F0E3582" w14:textId="77777777" w:rsidR="008262BA" w:rsidRPr="00CC1CB4" w:rsidRDefault="00000000" w:rsidP="00856537">
      <w:pPr>
        <w:pStyle w:val="A20"/>
        <w:spacing w:before="0"/>
        <w:rPr>
          <w:lang w:val="es-ES"/>
        </w:rPr>
      </w:pPr>
      <w:bookmarkStart w:id="178" w:name="_Toc171333305"/>
      <w:bookmarkStart w:id="179" w:name="_Toc199403768"/>
      <w:r>
        <w:t>1. Procedimentos de entrada e saída (Seção 3113(b)(2) da ESEA)</w:t>
      </w:r>
      <w:bookmarkEnd w:id="178"/>
      <w:bookmarkEnd w:id="179"/>
    </w:p>
    <w:p w14:paraId="5F27A786" w14:textId="77777777" w:rsidR="4F056222" w:rsidRPr="00CC1CB4" w:rsidRDefault="00000000" w:rsidP="008262BA">
      <w:pPr>
        <w:spacing w:after="0" w:line="240" w:lineRule="auto"/>
        <w:ind w:left="90"/>
        <w:contextualSpacing/>
        <w:rPr>
          <w:rFonts w:ascii="Cambria" w:eastAsia="Aptos" w:hAnsi="Cambria" w:cs="Times New Roman"/>
          <w:color w:val="244061" w:themeColor="accent1" w:themeShade="80"/>
          <w:lang w:val="es-ES"/>
          <w14:ligatures w14:val="standardContextual"/>
        </w:rPr>
      </w:pPr>
      <w:r>
        <w:rPr>
          <w:rFonts w:ascii="Cambria" w:eastAsia="Cambria" w:hAnsi="Cambria" w:cs="Times New Roman"/>
          <w:color w:val="244061"/>
          <w:lang w:val="pt-BR"/>
        </w:rPr>
        <w:t>Descrever como o SEA estabelecerá e implementará, com consulta oportuna e significativa com as LEAs representando a diversidade geográfica do estado, procedimentos padronizados de entrada e saída em todo o estado, incluindo uma garantia de que todos os alunos que possam ser alunos de inglês sejam avaliados quanto a esse status dentro de 30 dias da matrícula em uma escola no estado.</w:t>
      </w:r>
    </w:p>
    <w:p w14:paraId="0F529DB8" w14:textId="77777777" w:rsidR="002E5946" w:rsidRPr="00CC1CB4" w:rsidRDefault="00000000" w:rsidP="002E5946">
      <w:pPr>
        <w:pStyle w:val="EndUSED"/>
        <w:rPr>
          <w:lang w:val="es-ES"/>
        </w:rPr>
      </w:pPr>
      <w:r>
        <w:rPr>
          <w:rFonts w:eastAsia="Times New Roman"/>
          <w:color w:val="FFFFFF"/>
          <w:szCs w:val="4"/>
          <w:lang w:val="pt-BR"/>
        </w:rPr>
        <w:t xml:space="preserve">[finalizar texto do USED] </w:t>
      </w:r>
    </w:p>
    <w:p w14:paraId="6F794DBE" w14:textId="77777777" w:rsidR="00D33A2C" w:rsidRPr="00CC1CB4" w:rsidRDefault="00000000" w:rsidP="000B3052">
      <w:pPr>
        <w:spacing w:before="240"/>
        <w:rPr>
          <w:rFonts w:eastAsia="Aptos" w:cs="Times New Roman"/>
          <w:color w:val="365F91" w:themeColor="accent1" w:themeShade="BF"/>
          <w:lang w:val="es-ES"/>
          <w14:ligatures w14:val="standardContextual"/>
        </w:rPr>
      </w:pPr>
      <w:r>
        <w:rPr>
          <w:rFonts w:eastAsia="Times New Roman" w:cs="Times New Roman"/>
          <w:color w:val="365F91"/>
          <w:lang w:val="pt-BR"/>
        </w:rPr>
        <w:t>[iniciar a resposta do NJDOE]</w:t>
      </w:r>
    </w:p>
    <w:p w14:paraId="1BA8712E" w14:textId="77777777" w:rsidR="00D33A2C" w:rsidRPr="00CC1CB4" w:rsidRDefault="00000000" w:rsidP="00856537">
      <w:pPr>
        <w:pStyle w:val="A30"/>
      </w:pPr>
      <w:bookmarkStart w:id="180" w:name="_Toc199403769"/>
      <w:r>
        <w:lastRenderedPageBreak/>
        <w:t>Identificação de alunos multilíngues elegíveis</w:t>
      </w:r>
      <w:bookmarkEnd w:id="180"/>
    </w:p>
    <w:p w14:paraId="280AAEA1" w14:textId="77777777" w:rsidR="00D33A2C" w:rsidRPr="00CC1CB4" w:rsidRDefault="00000000" w:rsidP="000B3052">
      <w:pPr>
        <w:rPr>
          <w:rFonts w:eastAsia="Aptos" w:cs="Times New Roman"/>
          <w:lang w:val="es-ES"/>
          <w14:ligatures w14:val="standardContextual"/>
        </w:rPr>
      </w:pPr>
      <w:r>
        <w:rPr>
          <w:rFonts w:eastAsia="Times New Roman" w:cs="Times New Roman"/>
          <w:lang w:val="pt-BR"/>
        </w:rPr>
        <w:t xml:space="preserve">De acordo com a lei estadual (N.J.A.C. 6A:15-1.3), o NJDOE exige que todos os alunos que possam ser alunos multilíngues sejam avaliados em tempo hábil para garantir que todos eles recebam uma educação pública apropriada e atendam aos requisitos de notificação aos pais estabelecidos pela seção 3113 da ESSA (N.J.A.C. 6A:15-1.12). Cada LEA deverá notificar, por comunicação escrita, o pai de um aluno multilíngue que seu filho foi identificado como elegível para colocação em um LIEP. A LEA emitirá a notificação dentro de 30 dias corridos do início do ano letivo. Para um aluno que se matricular após o início do ano letivo, o conselho de educação da LEA emitirá a notificação no prazo de 14 dias corridos após o aluno ser colocado em um LIEP. </w:t>
      </w:r>
    </w:p>
    <w:p w14:paraId="3CDA23D1" w14:textId="77777777" w:rsidR="008262BA" w:rsidRPr="00CC1CB4" w:rsidRDefault="00000000" w:rsidP="008262BA">
      <w:pPr>
        <w:rPr>
          <w:lang w:val="es-ES"/>
        </w:rPr>
      </w:pPr>
      <w:r>
        <w:rPr>
          <w:rFonts w:eastAsia="Times New Roman" w:cs="Arial"/>
          <w:lang w:val="pt-BR"/>
        </w:rPr>
        <w:t xml:space="preserve">Cada LEA deve seguir o processo de várias etapas detalhado abaixo para garantir consistência e padronização estadual para identificar alunos multilíngues: </w:t>
      </w:r>
    </w:p>
    <w:p w14:paraId="179CCDCA" w14:textId="77777777" w:rsidR="008262BA" w:rsidRPr="00CC1CB4" w:rsidRDefault="00000000" w:rsidP="008262BA">
      <w:pPr>
        <w:pStyle w:val="4"/>
        <w:shd w:val="clear" w:color="auto" w:fill="DAEEF3" w:themeFill="accent5" w:themeFillTint="33"/>
        <w:rPr>
          <w:lang w:val="es-ES"/>
        </w:rPr>
      </w:pPr>
      <w:bookmarkStart w:id="181" w:name="_Toc199403770"/>
      <w:r>
        <w:rPr>
          <w:rFonts w:ascii="Cambria" w:eastAsia="Cambria" w:hAnsi="Cambria" w:cs="Arial"/>
          <w:szCs w:val="24"/>
          <w:lang w:val="pt-BR"/>
        </w:rPr>
        <w:t>Etapa 1: Administração da Pesquisa Padronizada de Língua Nativa de Nova Jersey</w:t>
      </w:r>
      <w:bookmarkEnd w:id="181"/>
    </w:p>
    <w:p w14:paraId="758F6F15" w14:textId="77777777" w:rsidR="00D33A2C" w:rsidRPr="00CC1CB4" w:rsidRDefault="00000000" w:rsidP="008262BA">
      <w:pPr>
        <w:shd w:val="clear" w:color="auto" w:fill="DAEEF3" w:themeFill="accent5" w:themeFillTint="33"/>
        <w:rPr>
          <w:lang w:val="es-ES"/>
        </w:rPr>
      </w:pPr>
      <w:r>
        <w:rPr>
          <w:rFonts w:eastAsia="Times New Roman" w:cs="Arial"/>
          <w:lang w:val="pt-BR"/>
        </w:rPr>
        <w:t>Cada conselho de educação da LEA deve administrar a pesquisa de idioma nativo em todo o estado para cada aluno inscrito na LEA. A LEA deve usar a pesquisa para determinar quais alunos da pré-escola até o 12º ano têm idiomas principais que não sejam o inglês e, portanto, podem ser alunos multilíngue</w:t>
      </w:r>
      <w:r>
        <w:rPr>
          <w:rFonts w:eastAsia="Times New Roman" w:cs="Arial"/>
          <w:strike/>
          <w:lang w:val="pt-BR"/>
        </w:rPr>
        <w:t>s</w:t>
      </w:r>
      <w:r>
        <w:rPr>
          <w:rFonts w:eastAsia="Times New Roman" w:cs="Arial"/>
          <w:lang w:val="pt-BR"/>
        </w:rPr>
        <w:t>.</w:t>
      </w:r>
    </w:p>
    <w:p w14:paraId="1AA57B62" w14:textId="77777777" w:rsidR="008262BA" w:rsidRPr="00CC1CB4" w:rsidRDefault="00000000" w:rsidP="008262BA">
      <w:pPr>
        <w:pStyle w:val="4"/>
        <w:shd w:val="clear" w:color="auto" w:fill="DAEEF3" w:themeFill="accent5" w:themeFillTint="33"/>
        <w:rPr>
          <w:lang w:val="es-ES"/>
        </w:rPr>
      </w:pPr>
      <w:bookmarkStart w:id="182" w:name="_Toc199403771"/>
      <w:r>
        <w:rPr>
          <w:rFonts w:ascii="Cambria" w:eastAsia="Cambria" w:hAnsi="Cambria" w:cs="Arial"/>
          <w:szCs w:val="24"/>
          <w:lang w:val="pt-BR"/>
        </w:rPr>
        <w:t>Etapa 2: Processo de revisão de registros</w:t>
      </w:r>
      <w:bookmarkEnd w:id="182"/>
    </w:p>
    <w:p w14:paraId="597B10BA" w14:textId="77777777" w:rsidR="008262BA" w:rsidRPr="00CC1CB4" w:rsidRDefault="00000000" w:rsidP="008262BA">
      <w:pPr>
        <w:shd w:val="clear" w:color="auto" w:fill="DAEEF3" w:themeFill="accent5" w:themeFillTint="33"/>
        <w:rPr>
          <w:lang w:val="es-ES"/>
        </w:rPr>
      </w:pPr>
      <w:r>
        <w:rPr>
          <w:rFonts w:eastAsia="Times New Roman" w:cs="Arial"/>
          <w:lang w:val="pt-BR"/>
        </w:rPr>
        <w:t xml:space="preserve">Após a administração da pesquisa de idiomas em todo o estado, a LEA deverá conduzir um processo de revisão de registros para determinar se o aluno é um aluno multilíngue. O processo de revisão de registros pode incluir, entre outros, a revisão das informações disponíveis sobre a realização acadêmica geral do aluno a partir dos anos atuais ou anteriores, observações dos membros da equipe de ensino que trabalharam com o aluno, entrevistas com o estudante ou pais ou familiares dele em seu idioma principal e/ou registros escolares adicionais, conforme necessário e em conformidade com as leis estaduais e federais de privacidade do aluno. </w:t>
      </w:r>
    </w:p>
    <w:p w14:paraId="613D9D43" w14:textId="77777777" w:rsidR="008262BA" w:rsidRPr="00CC1CB4" w:rsidRDefault="00000000" w:rsidP="008262BA">
      <w:pPr>
        <w:pStyle w:val="4"/>
        <w:shd w:val="clear" w:color="auto" w:fill="DAEEF3" w:themeFill="accent5" w:themeFillTint="33"/>
        <w:rPr>
          <w:lang w:val="es-ES"/>
        </w:rPr>
      </w:pPr>
      <w:bookmarkStart w:id="183" w:name="_Toc199403772"/>
      <w:r>
        <w:rPr>
          <w:rFonts w:ascii="Cambria" w:eastAsia="Cambria" w:hAnsi="Cambria" w:cs="Arial"/>
          <w:szCs w:val="24"/>
          <w:lang w:val="pt-BR"/>
        </w:rPr>
        <w:t>Etapa 3: Administrar a avaliação de proficiência em inglês (ELP)</w:t>
      </w:r>
      <w:bookmarkEnd w:id="183"/>
    </w:p>
    <w:p w14:paraId="13C7108C" w14:textId="77777777" w:rsidR="008262BA" w:rsidRPr="00CC1CB4" w:rsidRDefault="00000000" w:rsidP="008262BA">
      <w:pPr>
        <w:shd w:val="clear" w:color="auto" w:fill="DAEEF3" w:themeFill="accent5" w:themeFillTint="33"/>
        <w:rPr>
          <w:lang w:val="es-ES"/>
        </w:rPr>
      </w:pPr>
      <w:r>
        <w:rPr>
          <w:rFonts w:eastAsia="Times New Roman" w:cs="Arial"/>
          <w:lang w:val="pt-BR"/>
        </w:rPr>
        <w:t>Se os resultados da revisão acima sugerirem que o aluno é um potencial aluno multilíngue, a LEA determinará a proficiência em inglês de todos os alunos do jardim de infância até o 12º ano, administrando uma avaliação de proficiência em inglês. Os alunos que não atenderem à pontuação de corte estabelecida pelo NJDOE na avaliação de proficiência em inglês serão considerados alunos multilíngues e receberão a oferta de entrada no LIEP da LEA.</w:t>
      </w:r>
    </w:p>
    <w:p w14:paraId="56D29257" w14:textId="77777777" w:rsidR="008262BA" w:rsidRPr="00CC1CB4" w:rsidRDefault="00000000" w:rsidP="008262BA">
      <w:pPr>
        <w:rPr>
          <w:lang w:val="es-ES"/>
        </w:rPr>
      </w:pPr>
      <w:r>
        <w:rPr>
          <w:rFonts w:eastAsia="Times New Roman" w:cs="Arial"/>
          <w:lang w:val="pt-BR"/>
        </w:rPr>
        <w:t xml:space="preserve">O NJDOE atualizou as regulamentações estaduais em 2023 para exigir que as LEAs identifiquem alunos multilíngues começando na pré-escola, não no jardim de infância. </w:t>
      </w:r>
    </w:p>
    <w:p w14:paraId="6744F862" w14:textId="77777777" w:rsidR="00D33A2C" w:rsidRPr="00CC1CB4" w:rsidRDefault="00000000" w:rsidP="00856537">
      <w:pPr>
        <w:pStyle w:val="A30"/>
      </w:pPr>
      <w:bookmarkStart w:id="184" w:name="_Toc199403773"/>
      <w:r>
        <w:t>Processo de saída do aluno multilíngue</w:t>
      </w:r>
      <w:bookmarkEnd w:id="184"/>
    </w:p>
    <w:p w14:paraId="5BF9AD34" w14:textId="77777777" w:rsidR="00D33A2C" w:rsidRPr="00CC1CB4" w:rsidRDefault="00000000" w:rsidP="008262BA">
      <w:pPr>
        <w:textAlignment w:val="baseline"/>
        <w:rPr>
          <w:rFonts w:eastAsia="Times New Roman" w:cs="Times New Roman"/>
          <w:lang w:val="es-ES"/>
          <w14:ligatures w14:val="standardContextual"/>
        </w:rPr>
      </w:pPr>
      <w:r>
        <w:rPr>
          <w:rFonts w:eastAsia="Times New Roman" w:cs="Times New Roman"/>
          <w:lang w:val="pt-BR"/>
        </w:rPr>
        <w:t xml:space="preserve">Cada LEA deve seguir o processo descrito nesta seção para garantir consistência e padronização para alunos multilíngues que saírem. Os alunos multilíngues devem </w:t>
      </w:r>
      <w:r>
        <w:rPr>
          <w:rFonts w:eastAsia="Times New Roman" w:cs="Arial"/>
          <w:lang w:val="pt-BR"/>
        </w:rPr>
        <w:t xml:space="preserve">ser avaliados anualmente por meio de uma avaliação de proficiência em inglês </w:t>
      </w:r>
      <w:r>
        <w:rPr>
          <w:rFonts w:eastAsia="Times New Roman" w:cs="Times New Roman"/>
          <w:lang w:val="pt-BR"/>
        </w:rPr>
        <w:t xml:space="preserve">para medir o progresso em direção à proficiência em inglês e determinar a prontidão para sair do LIEP. Os alunos que atenderem aos critérios para avaliações </w:t>
      </w:r>
      <w:r>
        <w:rPr>
          <w:rFonts w:eastAsia="Times New Roman" w:cs="Times New Roman"/>
          <w:lang w:val="pt-BR"/>
        </w:rPr>
        <w:lastRenderedPageBreak/>
        <w:t xml:space="preserve">alternativas em todo o estado também devem ser avaliados anualmente usando uma avaliação de ELP alternativa. </w:t>
      </w:r>
    </w:p>
    <w:p w14:paraId="1476896C" w14:textId="77777777" w:rsidR="00D33A2C" w:rsidRPr="00CC1CB4" w:rsidRDefault="00000000" w:rsidP="008262BA">
      <w:pPr>
        <w:textAlignment w:val="baseline"/>
        <w:rPr>
          <w:rFonts w:eastAsia="Times New Roman" w:cs="Times New Roman"/>
          <w:lang w:val="es-ES"/>
          <w14:ligatures w14:val="standardContextual"/>
        </w:rPr>
      </w:pPr>
      <w:r>
        <w:rPr>
          <w:rFonts w:eastAsia="Times New Roman" w:cs="Times New Roman"/>
          <w:lang w:val="pt-BR"/>
        </w:rPr>
        <w:t>Um aluno multilíngue demonstrou prontidão para sair assim que alcançou a pontuação de corte estabelecida pelo NJDOE em uma ELP ou avaliação alternativa da ELP, um formulário de observação em inglês estabelecido pelo NJDOE que considera: o desempenho em sala de aula; o nível de leitura do aluno em inglês; as observações dos membros da equipe de ensino responsáveis pelo programa educacional do aluno; e o desempenho em testes de desempenho em inglês. Quando o processo de revisão para sair de um aluno tiver sido concluído, a o LEA deverá notificar, por comunicação escrita, o pai do aluno sobre a determinação.</w:t>
      </w:r>
    </w:p>
    <w:p w14:paraId="2282AC6F" w14:textId="77777777" w:rsidR="00D33A2C" w:rsidRPr="00CC1CB4" w:rsidRDefault="00000000" w:rsidP="008262BA">
      <w:pPr>
        <w:textAlignment w:val="baseline"/>
        <w:rPr>
          <w:rFonts w:eastAsia="Times New Roman" w:cs="Times New Roman"/>
          <w:lang w:val="es-ES"/>
          <w14:ligatures w14:val="standardContextual"/>
        </w:rPr>
      </w:pPr>
      <w:r>
        <w:rPr>
          <w:rFonts w:eastAsia="Times New Roman" w:cs="Times New Roman"/>
          <w:lang w:val="pt-BR"/>
        </w:rPr>
        <w:t xml:space="preserve">Um aluno multilíngue com deficiência, cuja deficiência impossibilite que o aluno seja avaliado em um domínio específico porque não há acomodações apropriadas para avaliá-lo nesse domínio, pode ser retirado do status de aluno multilíngue com base no fato de o aluno atender à pontuação de corte determinada pelo NJDOE nos domínios restantes nos quais ele foi avaliado. Além disso, a prontidão do aluno deve ser avaliada ainda mais usando um formulário de observação em inglês estabelecido pelo NJDOE que considere, no mínimo: o desempenho em sala de aula; o nível de leitura do aluno em inglês; as observações dos membros do corpo docente responsáveis pelo programa educacional do aluno; e o desempenho em testes de realização em inglês. </w:t>
      </w:r>
    </w:p>
    <w:p w14:paraId="0A1DDAA5" w14:textId="77777777" w:rsidR="00D33A2C" w:rsidRPr="00CC1CB4" w:rsidRDefault="00000000" w:rsidP="008262BA">
      <w:pPr>
        <w:textAlignment w:val="baseline"/>
        <w:rPr>
          <w:rFonts w:eastAsia="Times New Roman" w:cs="Times New Roman"/>
          <w:lang w:val="es-ES"/>
          <w14:ligatures w14:val="standardContextual"/>
        </w:rPr>
      </w:pPr>
      <w:r>
        <w:rPr>
          <w:rFonts w:eastAsia="Times New Roman" w:cs="Times New Roman"/>
          <w:lang w:val="pt-BR"/>
        </w:rPr>
        <w:t>Quando o processo de revisão para sair de um aluno de um LIEP tiver sido concluído, a LEA deverá notificar, por comunicação escrita, o pai do aluno sobre a determinação.</w:t>
      </w:r>
    </w:p>
    <w:p w14:paraId="3659A7E3" w14:textId="77777777" w:rsidR="00D33A2C" w:rsidRPr="00CC1CB4" w:rsidRDefault="00000000" w:rsidP="00C02064">
      <w:pPr>
        <w:rPr>
          <w:rStyle w:val="NJDOEResponse"/>
          <w:lang w:val="es-ES"/>
        </w:rPr>
      </w:pPr>
      <w:r>
        <w:rPr>
          <w:rStyle w:val="NJDOEResponse"/>
          <w:rFonts w:eastAsia="Times New Roman"/>
          <w:color w:val="365F91"/>
          <w:lang w:val="pt-BR"/>
        </w:rPr>
        <w:t>[finalizar resposta do NJDOE]</w:t>
      </w:r>
    </w:p>
    <w:p w14:paraId="288A6EEE" w14:textId="77777777" w:rsidR="00345F0A" w:rsidRPr="00CC1CB4" w:rsidRDefault="00000000" w:rsidP="00345F0A">
      <w:pPr>
        <w:pStyle w:val="BeginUSED"/>
        <w:rPr>
          <w:rFonts w:ascii="Cambria" w:eastAsia="Yu Gothic Light" w:hAnsi="Cambria" w:cs="Times New Roman"/>
          <w:color w:val="244061" w:themeColor="accent1" w:themeShade="80"/>
          <w:lang w:val="es-ES"/>
          <w14:ligatures w14:val="standardContextual"/>
        </w:rPr>
      </w:pPr>
      <w:r>
        <w:rPr>
          <w:rFonts w:eastAsia="Times New Roman"/>
          <w:color w:val="FFFFFF"/>
          <w:szCs w:val="4"/>
          <w:lang w:val="pt-BR"/>
        </w:rPr>
        <w:t>[iniciar o texto do USED]</w:t>
      </w:r>
    </w:p>
    <w:p w14:paraId="61CE7487" w14:textId="77777777" w:rsidR="008262BA" w:rsidRPr="00856537" w:rsidRDefault="00000000" w:rsidP="00856537">
      <w:pPr>
        <w:pStyle w:val="A20"/>
        <w:spacing w:before="0"/>
      </w:pPr>
      <w:bookmarkStart w:id="185" w:name="_Toc171333306"/>
      <w:bookmarkStart w:id="186" w:name="_Toc199403774"/>
      <w:r>
        <w:t>2</w:t>
      </w:r>
      <w:r w:rsidRPr="00856537">
        <w:t>.</w:t>
      </w:r>
      <w:r>
        <w:t xml:space="preserve"> Suporte SEA para progresso do aluno de inglês (Seção 3113(b)(6) da ESEA)</w:t>
      </w:r>
      <w:bookmarkEnd w:id="185"/>
      <w:bookmarkEnd w:id="186"/>
    </w:p>
    <w:p w14:paraId="4859579A" w14:textId="77777777" w:rsidR="00D33A2C" w:rsidRPr="00CC1CB4" w:rsidRDefault="00000000" w:rsidP="001A2151">
      <w:pPr>
        <w:pStyle w:val="blue"/>
        <w:ind w:left="0"/>
        <w:rPr>
          <w:lang w:val="es-ES"/>
        </w:rPr>
      </w:pPr>
      <w:r>
        <w:rPr>
          <w:rFonts w:ascii="Cambria" w:eastAsia="Cambria" w:hAnsi="Cambria"/>
          <w:lang w:val="pt-BR"/>
        </w:rPr>
        <w:t xml:space="preserve">Descrever como o SEA ajudará as entidades elegíveis na reunião: </w:t>
      </w:r>
    </w:p>
    <w:p w14:paraId="268292C0" w14:textId="77777777" w:rsidR="00D33A2C" w:rsidRPr="00CC1CB4" w:rsidRDefault="00000000">
      <w:pPr>
        <w:pStyle w:val="blue"/>
        <w:numPr>
          <w:ilvl w:val="0"/>
          <w:numId w:val="190"/>
        </w:numPr>
        <w:spacing w:after="120"/>
        <w:ind w:left="648"/>
        <w:rPr>
          <w:lang w:val="es-ES"/>
        </w:rPr>
      </w:pPr>
      <w:r>
        <w:rPr>
          <w:rFonts w:ascii="Cambria" w:eastAsia="Cambria" w:hAnsi="Cambria"/>
          <w:lang w:val="pt-BR"/>
        </w:rPr>
        <w:t>as metas de longo prazo projetadas pelo estado estabelecidas na seção 1111(c)(4)(A)(ii) da ESEA, incluindo medidas de progresso provisório para atingir tais metas, com base nas avaliações de proficiência em inglês do estado na seção 1111(b)(2)(G) da ESEA;</w:t>
      </w:r>
    </w:p>
    <w:p w14:paraId="7A44A77D" w14:textId="77777777" w:rsidR="00D33A2C" w:rsidRPr="00CC1CB4" w:rsidRDefault="00000000">
      <w:pPr>
        <w:pStyle w:val="blue"/>
        <w:numPr>
          <w:ilvl w:val="0"/>
          <w:numId w:val="190"/>
        </w:numPr>
        <w:spacing w:after="0"/>
        <w:ind w:left="648"/>
        <w:rPr>
          <w:lang w:val="es-ES"/>
        </w:rPr>
      </w:pPr>
      <w:r>
        <w:rPr>
          <w:rFonts w:ascii="Cambria" w:eastAsia="Cambria" w:hAnsi="Cambria"/>
          <w:lang w:val="pt-BR"/>
        </w:rPr>
        <w:t xml:space="preserve">os padrões acadêmicos desafiadores do estado. </w:t>
      </w:r>
    </w:p>
    <w:p w14:paraId="36DA5B26" w14:textId="77777777" w:rsidR="00D33A2C" w:rsidRPr="00CC1CB4" w:rsidRDefault="00000000" w:rsidP="00345F0A">
      <w:pPr>
        <w:pStyle w:val="EndUSED"/>
        <w:rPr>
          <w:rFonts w:eastAsia="Aptos"/>
          <w:lang w:val="es-ES"/>
          <w14:ligatures w14:val="standardContextual"/>
        </w:rPr>
      </w:pPr>
      <w:r>
        <w:rPr>
          <w:rFonts w:eastAsia="Times New Roman"/>
          <w:color w:val="FFFFFF"/>
          <w:szCs w:val="4"/>
          <w:lang w:val="pt-BR"/>
        </w:rPr>
        <w:t>[finalizar texto do USED]</w:t>
      </w:r>
    </w:p>
    <w:p w14:paraId="71E79AA4" w14:textId="77777777" w:rsidR="00D33A2C" w:rsidRPr="00CC1CB4" w:rsidRDefault="00000000" w:rsidP="000B3052">
      <w:pPr>
        <w:spacing w:before="240"/>
        <w:rPr>
          <w:rStyle w:val="NJDOEResponse"/>
          <w:lang w:val="es-ES"/>
        </w:rPr>
      </w:pPr>
      <w:r>
        <w:rPr>
          <w:rStyle w:val="NJDOEResponse"/>
          <w:rFonts w:eastAsia="Times New Roman"/>
          <w:color w:val="365F91"/>
          <w:lang w:val="pt-BR"/>
        </w:rPr>
        <w:t>[iniciar a resposta do NJDOE]</w:t>
      </w:r>
    </w:p>
    <w:p w14:paraId="5D247D9D" w14:textId="77777777" w:rsidR="00D33A2C" w:rsidRPr="00CC1CB4" w:rsidRDefault="00000000" w:rsidP="00C02064">
      <w:pPr>
        <w:rPr>
          <w:rFonts w:eastAsia="Aptos" w:cs="Times New Roman"/>
          <w:lang w:val="es-ES"/>
          <w14:ligatures w14:val="standardContextual"/>
        </w:rPr>
      </w:pPr>
      <w:r>
        <w:rPr>
          <w:rFonts w:eastAsia="Times New Roman" w:cs="Times New Roman"/>
          <w:lang w:val="pt-BR"/>
        </w:rPr>
        <w:t xml:space="preserve">Nova Jersey adota uma abordagem abrangente e colaborativa para apoiar, monitorar e fornecer assistência técnica às LEAs no que se refere à ESSA. Nova Jersey coleta feedback das partes interessadas por meio de vários caminhos, como pesquisas pós-webinar, horário comercial e sugestões da LEA para orientar como o estado se conecta com as LEAs. Além disso, Nova Jersey aproveita os fundos do Título III para se concentrar diretamente nas necessidades de todos os alunos multilíngues a fim de alcançar as metas estaduais que incluem, entre outras, atingir as metas estaduais de ELP, participação bem-sucedida em </w:t>
      </w:r>
      <w:r>
        <w:rPr>
          <w:rFonts w:eastAsia="Times New Roman" w:cs="Times New Roman"/>
          <w:lang w:val="pt-BR"/>
        </w:rPr>
        <w:lastRenderedPageBreak/>
        <w:t>salas de aula onde o inglês é o principal meio de instrução, aumentar a participação no Selo da Bialfabetização e fechar a lacuna de formação.</w:t>
      </w:r>
    </w:p>
    <w:p w14:paraId="5BF3C993" w14:textId="77777777" w:rsidR="00D33A2C" w:rsidRPr="00CC1CB4" w:rsidRDefault="00000000" w:rsidP="00856537">
      <w:pPr>
        <w:pStyle w:val="A30"/>
      </w:pPr>
      <w:bookmarkStart w:id="187" w:name="_Toc199403775"/>
      <w:r>
        <w:t>Desenvolvimento profissional</w:t>
      </w:r>
      <w:bookmarkEnd w:id="187"/>
    </w:p>
    <w:p w14:paraId="3288E891" w14:textId="77777777" w:rsidR="00D33A2C" w:rsidRPr="00CC1CB4" w:rsidRDefault="00000000" w:rsidP="00C02064">
      <w:pPr>
        <w:rPr>
          <w:rFonts w:eastAsia="Aptos" w:cs="Times New Roman"/>
          <w:lang w:val="es-ES"/>
          <w14:ligatures w14:val="standardContextual"/>
        </w:rPr>
      </w:pPr>
      <w:r>
        <w:rPr>
          <w:rFonts w:eastAsia="Times New Roman" w:cs="Times New Roman"/>
          <w:lang w:val="pt-BR"/>
        </w:rPr>
        <w:t>Em uma base contínua, o NJDOE fornece desenvolvimento profissional para todos as LEAs para garantir que eles possam apoiar alunos multilíngues no cumprimento ou superação dos Padrões de Aprendizagem para Estudantes de Nova Jersey. As ofertas variam por ano com base nas necessidades expressas pelas famílias, educadores que apoiam alunos multilíngues, administradores da LEA e outras partes interessadas e têm abordado tópicos como mudanças regulatórias, melhores práticas em torno do LIEP e recrutamento de educadores multilíngues.</w:t>
      </w:r>
    </w:p>
    <w:p w14:paraId="494EC630" w14:textId="77777777" w:rsidR="00D33A2C" w:rsidRPr="00CC1CB4" w:rsidRDefault="00000000" w:rsidP="00856537">
      <w:pPr>
        <w:pStyle w:val="A30"/>
      </w:pPr>
      <w:bookmarkStart w:id="188" w:name="_Toc199403776"/>
      <w:r>
        <w:t>Alinhamento dos padrões de desenvolvimento do idioma inglês com os padrões e avaliações do estado de Nova Jersey</w:t>
      </w:r>
      <w:bookmarkEnd w:id="188"/>
    </w:p>
    <w:p w14:paraId="6E15EC29" w14:textId="77777777" w:rsidR="00D33A2C" w:rsidRPr="00CC1CB4" w:rsidRDefault="00000000" w:rsidP="00D33A2C">
      <w:pPr>
        <w:spacing w:line="240" w:lineRule="auto"/>
        <w:rPr>
          <w:rFonts w:eastAsia="Aptos" w:cs="Times New Roman"/>
          <w:lang w:val="es-ES"/>
          <w14:ligatures w14:val="standardContextual"/>
        </w:rPr>
      </w:pPr>
      <w:r>
        <w:rPr>
          <w:rFonts w:eastAsia="Times New Roman" w:cs="Times New Roman"/>
          <w:lang w:val="pt-BR"/>
        </w:rPr>
        <w:t xml:space="preserve">O NJDOE concluiu recentemente um processo para avaliar o alinhamento entre os padrões de desenvolvimento do idioma inglês, os Padrões de Aprendizagem para Estudantes de Nova Jersey e as avaliações estaduais de Nova Jersey. Nos anos subsequentes, o NJDOE continuará a monitorar e ajustar padrões e avaliações como parte de seu processo de melhoria contínua. </w:t>
      </w:r>
    </w:p>
    <w:p w14:paraId="5A11E118" w14:textId="77777777" w:rsidR="00D33A2C" w:rsidRPr="00CC1CB4" w:rsidRDefault="00000000" w:rsidP="00856537">
      <w:pPr>
        <w:pStyle w:val="A30"/>
      </w:pPr>
      <w:bookmarkStart w:id="189" w:name="_Toc199403777"/>
      <w:r>
        <w:t>Alterações regulatórias</w:t>
      </w:r>
      <w:bookmarkEnd w:id="189"/>
    </w:p>
    <w:p w14:paraId="7AF54DD3" w14:textId="77777777" w:rsidR="00E03D51" w:rsidRPr="00CC1CB4" w:rsidRDefault="00000000" w:rsidP="00D33A2C">
      <w:pPr>
        <w:spacing w:line="240" w:lineRule="auto"/>
        <w:rPr>
          <w:rFonts w:eastAsia="Aptos" w:cs="Times New Roman"/>
          <w:lang w:val="es-ES"/>
          <w14:ligatures w14:val="standardContextual"/>
        </w:rPr>
      </w:pPr>
      <w:r>
        <w:rPr>
          <w:rFonts w:eastAsia="Times New Roman" w:cs="Times New Roman"/>
          <w:lang w:val="pt-BR"/>
        </w:rPr>
        <w:t>Nova Jersey revisa e atualiza regularmente seu código administrativo como parte de seu compromisso com a melhoria contínua. Em julho de 2023, o Conselho Estadual de Educação adotou emendas ao N.J.A.C. 6A:15, Educação Bilíngue. Esses regulamentos estaduais descrevem as responsabilidades da LEA para identificar e apoiar seus alunos que são multilíngues, e os serviços que esses alunos multilíngues precisam atender ou exceder os Padrões de Aprendizagem para Estudantes de Nova Jersey a fim de alcançar a formação e o sucesso pós-secundário.</w:t>
      </w:r>
    </w:p>
    <w:p w14:paraId="2FB79E60" w14:textId="77777777" w:rsidR="00D33A2C" w:rsidRPr="00CC1CB4" w:rsidRDefault="00000000" w:rsidP="00D33A2C">
      <w:pPr>
        <w:spacing w:line="240" w:lineRule="auto"/>
        <w:rPr>
          <w:rFonts w:eastAsia="Aptos" w:cs="Times New Roman"/>
          <w:lang w:val="es-ES"/>
          <w14:ligatures w14:val="standardContextual"/>
        </w:rPr>
      </w:pPr>
      <w:r>
        <w:rPr>
          <w:rFonts w:eastAsia="Times New Roman" w:cs="Times New Roman"/>
          <w:lang w:val="pt-BR"/>
        </w:rPr>
        <w:t xml:space="preserve">As principais alterações regulatórias em relação a 2023 incluem: </w:t>
      </w:r>
    </w:p>
    <w:p w14:paraId="32439321" w14:textId="77777777" w:rsidR="00D33A2C" w:rsidRPr="00CC1CB4" w:rsidRDefault="00000000" w:rsidP="00F86F30">
      <w:pPr>
        <w:pStyle w:val="aff0"/>
        <w:rPr>
          <w:rFonts w:eastAsia="Aptos"/>
          <w:lang w:val="es-ES"/>
          <w14:ligatures w14:val="standardContextual"/>
        </w:rPr>
      </w:pPr>
      <w:r>
        <w:rPr>
          <w:rFonts w:eastAsia="Cambria"/>
          <w:lang w:val="pt-BR"/>
        </w:rPr>
        <w:t>Figura E.1: Emendas adotadas ao Capítulo 15</w:t>
      </w:r>
    </w:p>
    <w:tbl>
      <w:tblPr>
        <w:tblStyle w:val="TableGrid1"/>
        <w:tblW w:w="0" w:type="auto"/>
        <w:tblCellMar>
          <w:top w:w="58" w:type="dxa"/>
          <w:left w:w="58" w:type="dxa"/>
          <w:bottom w:w="58" w:type="dxa"/>
          <w:right w:w="58" w:type="dxa"/>
        </w:tblCellMar>
        <w:tblLook w:val="0420" w:firstRow="1" w:lastRow="0" w:firstColumn="0" w:lastColumn="0" w:noHBand="0" w:noVBand="1"/>
      </w:tblPr>
      <w:tblGrid>
        <w:gridCol w:w="3980"/>
        <w:gridCol w:w="5370"/>
      </w:tblGrid>
      <w:tr w:rsidR="00C566B2" w14:paraId="2B723700" w14:textId="77777777" w:rsidTr="00A97B31">
        <w:trPr>
          <w:trHeight w:val="144"/>
          <w:tblHeader/>
        </w:trPr>
        <w:tc>
          <w:tcPr>
            <w:tcW w:w="4017" w:type="dxa"/>
            <w:tcBorders>
              <w:right w:val="single" w:sz="4" w:space="0" w:color="FFFFFF" w:themeColor="background1"/>
            </w:tcBorders>
            <w:shd w:val="clear" w:color="auto" w:fill="074F6A"/>
            <w:vAlign w:val="center"/>
          </w:tcPr>
          <w:p w14:paraId="6570330D" w14:textId="77777777" w:rsidR="00D33A2C" w:rsidRPr="007F3AF1" w:rsidRDefault="00000000" w:rsidP="00E03D51">
            <w:pPr>
              <w:spacing w:line="276" w:lineRule="auto"/>
              <w:jc w:val="center"/>
              <w:rPr>
                <w:rFonts w:eastAsia="Yu Gothic"/>
                <w:b/>
                <w:color w:val="FFFFFF"/>
                <w:sz w:val="22"/>
                <w:szCs w:val="22"/>
              </w:rPr>
            </w:pPr>
            <w:r>
              <w:rPr>
                <w:rFonts w:eastAsia="Times New Roman"/>
                <w:b/>
                <w:bCs/>
                <w:color w:val="FFFFFF"/>
                <w:sz w:val="22"/>
                <w:szCs w:val="22"/>
                <w:lang w:val="pt-BR"/>
              </w:rPr>
              <w:t>Emendas adotadas ao Capítulo 15</w:t>
            </w:r>
          </w:p>
        </w:tc>
        <w:tc>
          <w:tcPr>
            <w:tcW w:w="5428" w:type="dxa"/>
            <w:tcBorders>
              <w:left w:val="single" w:sz="4" w:space="0" w:color="FFFFFF" w:themeColor="background1"/>
            </w:tcBorders>
            <w:shd w:val="clear" w:color="auto" w:fill="074F6A"/>
            <w:vAlign w:val="center"/>
          </w:tcPr>
          <w:p w14:paraId="1C63604D" w14:textId="77777777" w:rsidR="00D33A2C" w:rsidRPr="007F3AF1" w:rsidRDefault="00000000" w:rsidP="00E03D51">
            <w:pPr>
              <w:spacing w:line="276" w:lineRule="auto"/>
              <w:jc w:val="center"/>
              <w:rPr>
                <w:rFonts w:eastAsia="Yu Gothic"/>
                <w:b/>
                <w:color w:val="FFFFFF"/>
                <w:sz w:val="22"/>
                <w:szCs w:val="22"/>
              </w:rPr>
            </w:pPr>
            <w:r>
              <w:rPr>
                <w:rFonts w:eastAsia="Times New Roman"/>
                <w:b/>
                <w:bCs/>
                <w:color w:val="FFFFFF"/>
                <w:sz w:val="22"/>
                <w:szCs w:val="22"/>
                <w:lang w:val="pt-BR"/>
              </w:rPr>
              <w:t>Resumo</w:t>
            </w:r>
          </w:p>
        </w:tc>
      </w:tr>
      <w:tr w:rsidR="00C566B2" w:rsidRPr="00C04CDD" w14:paraId="64D97BFD" w14:textId="77777777" w:rsidTr="00CB0C0E">
        <w:trPr>
          <w:trHeight w:val="300"/>
        </w:trPr>
        <w:tc>
          <w:tcPr>
            <w:tcW w:w="4017" w:type="dxa"/>
            <w:shd w:val="clear" w:color="auto" w:fill="DBE5F1"/>
          </w:tcPr>
          <w:p w14:paraId="57B4CA59" w14:textId="77777777" w:rsidR="00D33A2C" w:rsidRPr="00CC1CB4" w:rsidRDefault="00000000" w:rsidP="00E03D51">
            <w:pPr>
              <w:spacing w:line="276" w:lineRule="auto"/>
              <w:rPr>
                <w:rFonts w:eastAsia="Aptos"/>
                <w:sz w:val="22"/>
                <w:szCs w:val="22"/>
                <w:lang w:val="es-ES"/>
              </w:rPr>
            </w:pPr>
            <w:r>
              <w:rPr>
                <w:rFonts w:eastAsia="Times New Roman"/>
                <w:sz w:val="22"/>
                <w:szCs w:val="22"/>
                <w:lang w:val="pt-BR"/>
              </w:rPr>
              <w:t>Mudar para o idioma baseado em ativos (por exemplo, substitua o aluno de inglês por aluno multilíngue).</w:t>
            </w:r>
          </w:p>
        </w:tc>
        <w:tc>
          <w:tcPr>
            <w:tcW w:w="5428" w:type="dxa"/>
            <w:shd w:val="clear" w:color="auto" w:fill="DBE5F1"/>
          </w:tcPr>
          <w:p w14:paraId="4DC39FE2" w14:textId="77777777" w:rsidR="00D33A2C" w:rsidRPr="00CC1CB4" w:rsidRDefault="00000000" w:rsidP="00E03D51">
            <w:pPr>
              <w:spacing w:line="276" w:lineRule="auto"/>
              <w:rPr>
                <w:rFonts w:eastAsia="Aptos"/>
                <w:sz w:val="22"/>
                <w:szCs w:val="22"/>
                <w:lang w:val="es-ES"/>
              </w:rPr>
            </w:pPr>
            <w:r>
              <w:rPr>
                <w:rFonts w:eastAsia="Times New Roman"/>
                <w:sz w:val="22"/>
                <w:szCs w:val="22"/>
                <w:lang w:val="pt-BR"/>
              </w:rPr>
              <w:t>Reconhecer os ativos que os alunos e suas famílias trazem para a escola e o aprendizado acadêmico e o sucesso.</w:t>
            </w:r>
          </w:p>
        </w:tc>
      </w:tr>
      <w:tr w:rsidR="00C566B2" w:rsidRPr="00C04CDD" w14:paraId="05484D26" w14:textId="77777777" w:rsidTr="00CB0C0E">
        <w:trPr>
          <w:trHeight w:val="300"/>
        </w:trPr>
        <w:tc>
          <w:tcPr>
            <w:tcW w:w="4017" w:type="dxa"/>
          </w:tcPr>
          <w:p w14:paraId="06767F6A" w14:textId="77777777" w:rsidR="00D33A2C" w:rsidRPr="00CC1CB4" w:rsidRDefault="00000000" w:rsidP="00E03D51">
            <w:pPr>
              <w:spacing w:line="276" w:lineRule="auto"/>
              <w:rPr>
                <w:rFonts w:eastAsia="Aptos"/>
                <w:sz w:val="22"/>
                <w:szCs w:val="22"/>
                <w:lang w:val="es-ES"/>
              </w:rPr>
            </w:pPr>
            <w:r>
              <w:rPr>
                <w:rFonts w:eastAsia="Times New Roman"/>
                <w:sz w:val="22"/>
                <w:szCs w:val="22"/>
                <w:lang w:val="pt-BR"/>
              </w:rPr>
              <w:t>Incluir alunos em um programa pré-escolar aprovado pelo NJDOE para serem identificados como alunos multilíngues.</w:t>
            </w:r>
          </w:p>
        </w:tc>
        <w:tc>
          <w:tcPr>
            <w:tcW w:w="5428" w:type="dxa"/>
          </w:tcPr>
          <w:p w14:paraId="0B02CB92" w14:textId="77777777" w:rsidR="00D33A2C" w:rsidRPr="00CC1CB4" w:rsidRDefault="00000000" w:rsidP="00E03D51">
            <w:pPr>
              <w:spacing w:line="276" w:lineRule="auto"/>
              <w:rPr>
                <w:rFonts w:eastAsia="Yu Gothic"/>
                <w:sz w:val="22"/>
                <w:szCs w:val="22"/>
                <w:lang w:val="es-ES"/>
              </w:rPr>
            </w:pPr>
            <w:r>
              <w:rPr>
                <w:rFonts w:eastAsia="Times New Roman"/>
                <w:sz w:val="22"/>
                <w:szCs w:val="22"/>
                <w:lang w:val="pt-BR"/>
              </w:rPr>
              <w:t>Criar uma oportunidade para as escolas acessarem financiamento federal a fim de apoiar o desenvolvimento de programas e desenvolver capacidade entre educadores, incluindo professores de pré-escola, diretores e outros líderes escolares.</w:t>
            </w:r>
          </w:p>
        </w:tc>
      </w:tr>
      <w:tr w:rsidR="00C566B2" w:rsidRPr="00C04CDD" w14:paraId="5F4B5BF1" w14:textId="77777777" w:rsidTr="00CB0C0E">
        <w:trPr>
          <w:trHeight w:val="300"/>
        </w:trPr>
        <w:tc>
          <w:tcPr>
            <w:tcW w:w="4017" w:type="dxa"/>
            <w:shd w:val="clear" w:color="auto" w:fill="DBE5F1"/>
          </w:tcPr>
          <w:p w14:paraId="41C46B9E" w14:textId="77777777" w:rsidR="00D33A2C" w:rsidRPr="00CC1CB4" w:rsidRDefault="00000000" w:rsidP="00E03D51">
            <w:pPr>
              <w:spacing w:line="276" w:lineRule="auto"/>
              <w:rPr>
                <w:rFonts w:eastAsia="Aptos"/>
                <w:sz w:val="22"/>
                <w:szCs w:val="22"/>
                <w:lang w:val="es-ES"/>
              </w:rPr>
            </w:pPr>
            <w:r>
              <w:rPr>
                <w:rFonts w:eastAsia="Times New Roman"/>
                <w:sz w:val="22"/>
                <w:szCs w:val="22"/>
                <w:lang w:val="pt-BR"/>
              </w:rPr>
              <w:t>Exigir a Política de crédito do curso de inglês como segundo idioma (ESL).</w:t>
            </w:r>
          </w:p>
        </w:tc>
        <w:tc>
          <w:tcPr>
            <w:tcW w:w="5428" w:type="dxa"/>
            <w:shd w:val="clear" w:color="auto" w:fill="DBE5F1"/>
          </w:tcPr>
          <w:p w14:paraId="27616ACF" w14:textId="77777777" w:rsidR="00D33A2C" w:rsidRPr="00CC1CB4" w:rsidRDefault="00000000" w:rsidP="00E03D51">
            <w:pPr>
              <w:spacing w:line="276" w:lineRule="auto"/>
              <w:rPr>
                <w:rFonts w:eastAsia="Aptos"/>
                <w:sz w:val="22"/>
                <w:szCs w:val="22"/>
                <w:lang w:val="es-ES"/>
              </w:rPr>
            </w:pPr>
            <w:r>
              <w:rPr>
                <w:rFonts w:eastAsia="Times New Roman"/>
                <w:sz w:val="22"/>
                <w:szCs w:val="22"/>
                <w:lang w:val="pt-BR"/>
              </w:rPr>
              <w:t>Criar um caminho equitativo para alunos multilíngues ganharem créditos de formação enquanto desenvolvem sua proficiência em inglês.</w:t>
            </w:r>
          </w:p>
        </w:tc>
      </w:tr>
      <w:tr w:rsidR="00C566B2" w:rsidRPr="00C04CDD" w14:paraId="296EA302" w14:textId="77777777" w:rsidTr="00CB0C0E">
        <w:trPr>
          <w:trHeight w:val="300"/>
        </w:trPr>
        <w:tc>
          <w:tcPr>
            <w:tcW w:w="4017" w:type="dxa"/>
          </w:tcPr>
          <w:p w14:paraId="69131719" w14:textId="77777777" w:rsidR="00D33A2C" w:rsidRPr="00CC1CB4" w:rsidRDefault="00000000" w:rsidP="00E03D51">
            <w:pPr>
              <w:spacing w:line="276" w:lineRule="auto"/>
              <w:rPr>
                <w:rFonts w:eastAsia="Yu Gothic"/>
                <w:sz w:val="22"/>
                <w:szCs w:val="22"/>
                <w:lang w:val="es-ES"/>
              </w:rPr>
            </w:pPr>
            <w:r>
              <w:rPr>
                <w:rFonts w:eastAsia="Times New Roman"/>
                <w:sz w:val="22"/>
                <w:szCs w:val="22"/>
                <w:lang w:val="pt-BR"/>
              </w:rPr>
              <w:lastRenderedPageBreak/>
              <w:t>Adicionar programa de imersão em dois idiomas com a finalidade de atender aos requisitos do LIEP.</w:t>
            </w:r>
          </w:p>
        </w:tc>
        <w:tc>
          <w:tcPr>
            <w:tcW w:w="5428" w:type="dxa"/>
          </w:tcPr>
          <w:p w14:paraId="1C69FF2A" w14:textId="77777777" w:rsidR="00D33A2C" w:rsidRPr="00CC1CB4" w:rsidRDefault="00000000" w:rsidP="00E03D51">
            <w:pPr>
              <w:spacing w:line="276" w:lineRule="auto"/>
              <w:rPr>
                <w:rFonts w:eastAsia="Yu Gothic"/>
                <w:sz w:val="22"/>
                <w:szCs w:val="22"/>
                <w:lang w:val="es-ES"/>
              </w:rPr>
            </w:pPr>
            <w:r>
              <w:rPr>
                <w:rFonts w:eastAsia="Times New Roman"/>
                <w:sz w:val="22"/>
                <w:szCs w:val="22"/>
                <w:lang w:val="pt-BR"/>
              </w:rPr>
              <w:t>Esclarecer os requisitos do programa de imersão em dois idiomas, incluindo os requisitos de certificação de ESL e professores, para garantir que os alunos multilíngues tenham acesso a programas de imersão em dois idiomas.</w:t>
            </w:r>
          </w:p>
        </w:tc>
      </w:tr>
      <w:tr w:rsidR="00C566B2" w:rsidRPr="00C04CDD" w14:paraId="69B697B8" w14:textId="77777777" w:rsidTr="00CB0C0E">
        <w:trPr>
          <w:trHeight w:val="300"/>
        </w:trPr>
        <w:tc>
          <w:tcPr>
            <w:tcW w:w="4017" w:type="dxa"/>
            <w:shd w:val="clear" w:color="auto" w:fill="DBE5F1"/>
          </w:tcPr>
          <w:p w14:paraId="147058C6" w14:textId="77777777" w:rsidR="00D33A2C" w:rsidRPr="00CC1CB4" w:rsidRDefault="00000000" w:rsidP="00E03D51">
            <w:pPr>
              <w:spacing w:line="276" w:lineRule="auto"/>
              <w:rPr>
                <w:rFonts w:eastAsia="Yu Gothic"/>
                <w:sz w:val="22"/>
                <w:szCs w:val="22"/>
                <w:lang w:val="es-ES"/>
              </w:rPr>
            </w:pPr>
            <w:r>
              <w:rPr>
                <w:rFonts w:eastAsia="Times New Roman"/>
                <w:sz w:val="22"/>
                <w:szCs w:val="22"/>
                <w:lang w:val="pt-BR"/>
              </w:rPr>
              <w:t>Melhorar o treinamento de professores para incluir padrões de desenvolvimento em inglês.</w:t>
            </w:r>
          </w:p>
        </w:tc>
        <w:tc>
          <w:tcPr>
            <w:tcW w:w="5428" w:type="dxa"/>
            <w:shd w:val="clear" w:color="auto" w:fill="DBE5F1"/>
          </w:tcPr>
          <w:p w14:paraId="350A5DA0" w14:textId="77777777" w:rsidR="00D33A2C" w:rsidRPr="00CC1CB4" w:rsidRDefault="00000000" w:rsidP="00E03D51">
            <w:pPr>
              <w:spacing w:line="276" w:lineRule="auto"/>
              <w:rPr>
                <w:rFonts w:eastAsia="Yu Gothic"/>
                <w:sz w:val="22"/>
                <w:szCs w:val="22"/>
                <w:lang w:val="es-ES"/>
              </w:rPr>
            </w:pPr>
            <w:r>
              <w:rPr>
                <w:rFonts w:eastAsia="Times New Roman"/>
                <w:sz w:val="22"/>
                <w:szCs w:val="22"/>
                <w:lang w:val="pt-BR"/>
              </w:rPr>
              <w:t>Garantir que todos os professores tenham acesso ao desenvolvimento profissional que lhes permite apoiar o desenvolvimento do idioma inglês de alunos multilíngues.</w:t>
            </w:r>
          </w:p>
        </w:tc>
      </w:tr>
      <w:tr w:rsidR="00C566B2" w:rsidRPr="00C04CDD" w14:paraId="1E16563C" w14:textId="77777777" w:rsidTr="00CB0C0E">
        <w:trPr>
          <w:trHeight w:val="300"/>
        </w:trPr>
        <w:tc>
          <w:tcPr>
            <w:tcW w:w="4017" w:type="dxa"/>
          </w:tcPr>
          <w:p w14:paraId="1CE74A75" w14:textId="77777777" w:rsidR="00D33A2C" w:rsidRPr="00CC1CB4" w:rsidRDefault="00000000" w:rsidP="00E03D51">
            <w:pPr>
              <w:spacing w:line="276" w:lineRule="auto"/>
              <w:rPr>
                <w:rFonts w:eastAsia="Yu Gothic"/>
                <w:sz w:val="22"/>
                <w:szCs w:val="22"/>
                <w:lang w:val="es-ES"/>
              </w:rPr>
            </w:pPr>
            <w:r>
              <w:rPr>
                <w:rFonts w:eastAsia="Times New Roman"/>
                <w:sz w:val="22"/>
                <w:szCs w:val="22"/>
                <w:lang w:val="pt-BR"/>
              </w:rPr>
              <w:t>Fornecer um exemplo de lista de documentos a serem traduzidos para alinhamento com os requisitos federais.</w:t>
            </w:r>
          </w:p>
        </w:tc>
        <w:tc>
          <w:tcPr>
            <w:tcW w:w="5428" w:type="dxa"/>
          </w:tcPr>
          <w:p w14:paraId="70203175" w14:textId="77777777" w:rsidR="00D33A2C" w:rsidRPr="00CC1CB4" w:rsidRDefault="00000000" w:rsidP="00E03D51">
            <w:pPr>
              <w:spacing w:line="276" w:lineRule="auto"/>
              <w:rPr>
                <w:rFonts w:eastAsia="Aptos"/>
                <w:sz w:val="22"/>
                <w:szCs w:val="22"/>
                <w:lang w:val="es-ES"/>
              </w:rPr>
            </w:pPr>
            <w:r>
              <w:rPr>
                <w:rFonts w:eastAsia="Times New Roman"/>
                <w:sz w:val="22"/>
                <w:szCs w:val="22"/>
                <w:lang w:val="pt-BR"/>
              </w:rPr>
              <w:t>Reconhecer a importância do envolvimento da LEA com famílias cultural e linguisticamente diversificadas para apoiar o sucesso dos alunos.</w:t>
            </w:r>
          </w:p>
        </w:tc>
      </w:tr>
    </w:tbl>
    <w:p w14:paraId="59F6F1AB" w14:textId="77777777" w:rsidR="00B65F30" w:rsidRPr="00CC1CB4" w:rsidRDefault="00000000" w:rsidP="00477F7F">
      <w:pPr>
        <w:spacing w:before="240"/>
        <w:rPr>
          <w:rFonts w:eastAsia="Aptos" w:cs="Times New Roman"/>
          <w:color w:val="183C5C"/>
          <w:lang w:val="es-ES"/>
          <w14:ligatures w14:val="standardContextual"/>
        </w:rPr>
      </w:pPr>
      <w:r>
        <w:rPr>
          <w:rFonts w:eastAsia="Times New Roman" w:cs="Times New Roman"/>
          <w:color w:val="183C5C"/>
          <w:lang w:val="pt-BR"/>
        </w:rPr>
        <w:t>[finalizar resposta do NJDOE]</w:t>
      </w:r>
      <w:r>
        <w:rPr>
          <w:rFonts w:eastAsia="Times New Roman" w:cs="Times New Roman"/>
          <w:color w:val="183C5C"/>
          <w:lang w:val="pt-BR"/>
        </w:rPr>
        <w:br w:type="page"/>
      </w:r>
    </w:p>
    <w:p w14:paraId="71A21DF6" w14:textId="77777777" w:rsidR="00D33A2C" w:rsidRPr="00CC1CB4" w:rsidRDefault="00000000" w:rsidP="00345F0A">
      <w:pPr>
        <w:pStyle w:val="BeginUSED"/>
        <w:rPr>
          <w:rFonts w:eastAsia="Aptos" w:cs="Times New Roman"/>
          <w:lang w:val="es-ES"/>
          <w14:ligatures w14:val="standardContextual"/>
        </w:rPr>
      </w:pPr>
      <w:r>
        <w:rPr>
          <w:rFonts w:eastAsia="Times New Roman"/>
          <w:color w:val="FFFFFF"/>
          <w:szCs w:val="4"/>
          <w:lang w:val="pt-BR"/>
        </w:rPr>
        <w:lastRenderedPageBreak/>
        <w:t>[iniciar o texto do USED]</w:t>
      </w:r>
    </w:p>
    <w:p w14:paraId="73645555" w14:textId="77777777" w:rsidR="00E03D51" w:rsidRPr="00856537" w:rsidRDefault="00000000" w:rsidP="00856537">
      <w:pPr>
        <w:pStyle w:val="A20"/>
        <w:spacing w:before="0"/>
      </w:pPr>
      <w:bookmarkStart w:id="190" w:name="_Toc171333307"/>
      <w:bookmarkStart w:id="191" w:name="_Toc199403778"/>
      <w:r>
        <w:t>3. Monitoramento e assistência técnica (Seção 3113(b)(8) da ESEA):</w:t>
      </w:r>
      <w:bookmarkEnd w:id="190"/>
      <w:bookmarkEnd w:id="191"/>
      <w:r>
        <w:t xml:space="preserve"> </w:t>
      </w:r>
    </w:p>
    <w:p w14:paraId="6B2A9E87" w14:textId="77777777" w:rsidR="00D33A2C" w:rsidRPr="00E03D51" w:rsidRDefault="00000000" w:rsidP="00E03D51">
      <w:r>
        <w:rPr>
          <w:rFonts w:eastAsia="Times New Roman" w:cs="Arial"/>
          <w:lang w:val="pt-BR"/>
        </w:rPr>
        <w:t>Descrever:</w:t>
      </w:r>
    </w:p>
    <w:p w14:paraId="5D109C99" w14:textId="77777777" w:rsidR="00D33A2C" w:rsidRPr="00CC1CB4" w:rsidRDefault="00000000">
      <w:pPr>
        <w:pStyle w:val="blue"/>
        <w:numPr>
          <w:ilvl w:val="0"/>
          <w:numId w:val="191"/>
        </w:numPr>
        <w:spacing w:after="120"/>
        <w:rPr>
          <w:lang w:val="es-ES"/>
        </w:rPr>
      </w:pPr>
      <w:r>
        <w:rPr>
          <w:rFonts w:ascii="Cambria" w:eastAsia="Cambria" w:hAnsi="Cambria"/>
          <w:lang w:val="pt-BR"/>
        </w:rPr>
        <w:t xml:space="preserve">como o SEA monitorará o progresso de cada entidade elegível que receber uma subconcessão do Título III, Parte A, para ajudar os alunos de inglês a obter proficiência em inglês; </w:t>
      </w:r>
    </w:p>
    <w:p w14:paraId="615487A6" w14:textId="77777777" w:rsidR="00C40961" w:rsidRPr="00CC1CB4" w:rsidRDefault="00000000">
      <w:pPr>
        <w:pStyle w:val="blue"/>
        <w:numPr>
          <w:ilvl w:val="0"/>
          <w:numId w:val="191"/>
        </w:numPr>
        <w:spacing w:after="0"/>
        <w:rPr>
          <w:lang w:val="es-ES"/>
        </w:rPr>
      </w:pPr>
      <w:r>
        <w:rPr>
          <w:rFonts w:ascii="Cambria" w:eastAsia="Cambria" w:hAnsi="Cambria"/>
          <w:lang w:val="pt-BR"/>
        </w:rPr>
        <w:t>as medidas que o SEA tomará para auxiliar ainda mais as entidades elegíveis se as estratégias financiadas pela ESSA atenderem às necessidades identificadas dos alunos de forma eficaz e eficiente. Por esse motivo, o NJDOE tem e terá o Título III, Parte A, não são eficazes, como fornecer assistência técnica e modificar tais estratégias.</w:t>
      </w:r>
    </w:p>
    <w:p w14:paraId="02E4E4FE" w14:textId="77777777" w:rsidR="00345F0A" w:rsidRPr="00CC1CB4" w:rsidRDefault="00000000" w:rsidP="00345F0A">
      <w:pPr>
        <w:pStyle w:val="EndUSED"/>
        <w:rPr>
          <w:lang w:val="es-ES"/>
        </w:rPr>
      </w:pPr>
      <w:r>
        <w:rPr>
          <w:rFonts w:eastAsia="Times New Roman"/>
          <w:color w:val="FFFFFF"/>
          <w:szCs w:val="4"/>
          <w:lang w:val="pt-BR"/>
        </w:rPr>
        <w:t xml:space="preserve">[finalizar texto do USED] </w:t>
      </w:r>
    </w:p>
    <w:p w14:paraId="22319727" w14:textId="77777777" w:rsidR="00C40961" w:rsidRPr="00CC1CB4" w:rsidRDefault="00000000" w:rsidP="00A005A4">
      <w:pPr>
        <w:spacing w:before="240"/>
        <w:rPr>
          <w:rFonts w:eastAsia="Aptos" w:cs="Times New Roman"/>
          <w:color w:val="365F91" w:themeColor="accent1" w:themeShade="BF"/>
          <w:lang w:val="es-ES"/>
          <w14:ligatures w14:val="standardContextual"/>
        </w:rPr>
      </w:pPr>
      <w:r>
        <w:rPr>
          <w:rFonts w:eastAsia="Times New Roman" w:cs="Times New Roman"/>
          <w:color w:val="365F91"/>
          <w:lang w:val="pt-BR"/>
        </w:rPr>
        <w:t>[iniciar a resposta do NJDOE]</w:t>
      </w:r>
    </w:p>
    <w:p w14:paraId="63807375" w14:textId="77777777" w:rsidR="00D33A2C" w:rsidRPr="00CC1CB4" w:rsidRDefault="00000000" w:rsidP="00CF4E71">
      <w:pPr>
        <w:spacing w:afterLines="120" w:after="288"/>
        <w:rPr>
          <w:rFonts w:eastAsia="Aptos" w:cs="Times New Roman"/>
          <w:lang w:val="es-ES"/>
          <w14:ligatures w14:val="standardContextual"/>
        </w:rPr>
      </w:pPr>
      <w:r>
        <w:rPr>
          <w:rFonts w:eastAsia="Times New Roman" w:cs="Times New Roman"/>
          <w:lang w:val="pt-BR"/>
        </w:rPr>
        <w:t xml:space="preserve">O processo descrito abaixo abrange o processo de monitoramento e assistência técnica para LEAs que recebem financiamento da ESSA, incluindo o Título III. Em vez de se concentrar apenas em um título, Nova Jersey oferece às LEAs um processo abrangente de planejamento, envio e aprovação para os planos da ESSA da LEA, bem como um monitoramento abrangente que aborda o monitoramento de fundos federais. </w:t>
      </w:r>
    </w:p>
    <w:p w14:paraId="51DA3A80" w14:textId="77777777" w:rsidR="00D33A2C" w:rsidRPr="00CC1CB4" w:rsidRDefault="00000000" w:rsidP="00856537">
      <w:pPr>
        <w:pStyle w:val="A30"/>
      </w:pPr>
      <w:bookmarkStart w:id="192" w:name="_Toc199403779"/>
      <w:r>
        <w:t>Desenvolvimento e envio do plano da ESSA da LEA</w:t>
      </w:r>
      <w:bookmarkEnd w:id="192"/>
    </w:p>
    <w:p w14:paraId="3C032907" w14:textId="77777777" w:rsidR="00D33A2C" w:rsidRPr="00CC1CB4" w:rsidRDefault="00000000" w:rsidP="00CF4E71">
      <w:pPr>
        <w:spacing w:afterLines="120" w:after="288"/>
        <w:rPr>
          <w:rFonts w:eastAsia="Aptos" w:cs="Times New Roman"/>
          <w:lang w:val="es-ES"/>
          <w14:ligatures w14:val="standardContextual"/>
        </w:rPr>
      </w:pPr>
      <w:r>
        <w:rPr>
          <w:rFonts w:eastAsia="Times New Roman" w:cs="Times New Roman"/>
          <w:lang w:val="pt-BR"/>
        </w:rPr>
        <w:t>A meta do NJDOE em apoiar o desenvolvimento, a revisão e a aprovação dos planos da LEA é ajudar as LEAs a garantir seus planos e desenvolvê-los e implementá-los de forma mais eficaz levará ao sucesso para todos os alunos. O NJDOE reconhece que coordenar vários programas, serviços e financiamentos estaduais e federais pode ser um desafio. Por esse motivo, o NJDOE está comprometido em ajudar as LEAs, em consulta com as partes interessadas, concentrando-se primeiro nas necessidades específicas dos alunos da LEA e, em seguida, nos vários apoios federais, estaduais e locais que podem ser combinados e coordenados para apoiar os alunos.</w:t>
      </w:r>
    </w:p>
    <w:p w14:paraId="6049B3EE" w14:textId="77777777" w:rsidR="00D33A2C" w:rsidRPr="00CC1CB4" w:rsidRDefault="00000000" w:rsidP="00CF4E71">
      <w:pPr>
        <w:spacing w:afterLines="120" w:after="288"/>
        <w:rPr>
          <w:rFonts w:eastAsia="Aptos" w:cs="Times New Roman"/>
          <w:lang w:val="es-ES"/>
          <w14:ligatures w14:val="standardContextual"/>
        </w:rPr>
      </w:pPr>
      <w:r>
        <w:rPr>
          <w:rFonts w:eastAsia="Times New Roman" w:cs="Times New Roman"/>
          <w:lang w:val="pt-BR"/>
        </w:rPr>
        <w:t>O NJDOE segue um processo para o planejamento do estado e da LEA que inclui o seguinte: avaliação de necessidades, incluindo análise de dados; desenvolvimento do plano, incluindo exploração e seleção de práticas e resultados baseados em evidências; implementação do plano; e avaliação da implementação e dos resultados. Como parte do processo, o NJDOE tem o compromisso de apoiar as LEAs no planejamento e uso dos fundos recebidos nos termos do Título III. O NJDOE continuará a revisar e refinar, com a contribuição das partes interessadas, seu processo de aplicação e revisão da LEA para garantir que as LEAs recebam suporte durante todo o processo, não sejam indevidamente sobrecarregados pela papelada e possam expressar totalmente como pretendem gastar fundos de acordo com a lei para atender às necessidades dos alunos. Segue uma descrição técnica do processo de solicitação e aprovação do NJDOE.</w:t>
      </w:r>
    </w:p>
    <w:p w14:paraId="068888C2" w14:textId="77777777" w:rsidR="00D33A2C" w:rsidRPr="00CC1CB4" w:rsidRDefault="00000000" w:rsidP="00856537">
      <w:pPr>
        <w:pStyle w:val="A30"/>
      </w:pPr>
      <w:bookmarkStart w:id="193" w:name="_Toc199403780"/>
      <w:r>
        <w:lastRenderedPageBreak/>
        <w:t>Desenvolvimento do plano da LEA</w:t>
      </w:r>
      <w:bookmarkEnd w:id="193"/>
    </w:p>
    <w:p w14:paraId="3EF31F0B" w14:textId="77777777" w:rsidR="00D33A2C" w:rsidRPr="00CC1CB4" w:rsidRDefault="00000000" w:rsidP="00CF4E71">
      <w:pPr>
        <w:spacing w:afterLines="120" w:after="288"/>
        <w:rPr>
          <w:rFonts w:eastAsia="Aptos" w:cs="Times New Roman"/>
          <w:lang w:val="es-ES"/>
          <w14:ligatures w14:val="standardContextual"/>
        </w:rPr>
      </w:pPr>
      <w:r>
        <w:rPr>
          <w:rFonts w:eastAsia="Times New Roman" w:cs="Times New Roman"/>
          <w:lang w:val="pt-BR"/>
        </w:rPr>
        <w:t>Antes da disponibilidade da aplicação da LEA consolidada (o mecanismo para envio do plano da LEA), o NJDOE emite um memorando lembrando as LEAs da orientação disponível sobre o desenvolvimento de seus planos. O NJDOE também realiza sessões de assistência técnica em nível de condado nas quais a equipe do NJDOE (incluindo o Título III) oferece assistência prática às LEAs no desenvolvimento e envio de seus planos da LEA. Durante as sessões de assistência técnica, o NJDOE se reúne com a equipe da LEA para fornecer orientação sobre como fontes de financiamento específicas podem ser usadas para atender às necessidades específicas dos alunos e para garantir a conformidade com as políticas, regulamentos e procedimentos que se aplicam uniformemente aos prêmios federais e procedimentos de auditoria, permitindo assim que o NJDOE defina custos permitidos e alocáveis, conforme descrito nos parâmetros de cada programa de subsídio. As sessões de assistência técnica também oferecem uma oportunidade para a equipe da LEA fornecer o feedback do NJDOE sobre a plataforma de aplicação, o processo de revisão e aprovação e como o NJDOE pode apoiar melhor as aplicações da LEA no próximo ano.</w:t>
      </w:r>
    </w:p>
    <w:p w14:paraId="0FFAB50D" w14:textId="77777777" w:rsidR="00D33A2C" w:rsidRPr="00CC1CB4" w:rsidRDefault="00000000" w:rsidP="00CF4E71">
      <w:pPr>
        <w:spacing w:afterLines="120" w:after="288"/>
        <w:rPr>
          <w:rFonts w:eastAsia="Aptos" w:cs="Times New Roman"/>
          <w:lang w:val="es-ES"/>
          <w14:ligatures w14:val="standardContextual"/>
        </w:rPr>
      </w:pPr>
      <w:r>
        <w:rPr>
          <w:rFonts w:eastAsia="Times New Roman" w:cs="Times New Roman"/>
          <w:lang w:val="pt-BR"/>
        </w:rPr>
        <w:t>O desenvolvimento dos suportes e programas mais eficazes começa com a identificação do que todos os alunos precisam para ter sucesso; portanto, a aplicação da LEA do NJDOE inclui uma seção robusta de avaliação de necessidades. O NJDOE reforça às LEAs, tanto por meio de assistência técnica quanto da aplicação, a importância de conduzir uma avaliação completa das necessidades, identificar as causas raiz e direcionar os recursos para abordar as causas raiz. Esta seção do aplicativo permite que as LEAs insiram seus resultados de avaliação de necessidades e identifiquem as necessidades específicas dos alunos abordadas com fundos da ESSA no próximo ano.</w:t>
      </w:r>
    </w:p>
    <w:p w14:paraId="20007536" w14:textId="77777777" w:rsidR="00D33A2C" w:rsidRPr="00CC1CB4" w:rsidRDefault="00000000" w:rsidP="00856537">
      <w:pPr>
        <w:pStyle w:val="A30"/>
      </w:pPr>
      <w:bookmarkStart w:id="194" w:name="_Toc199403781"/>
      <w:r>
        <w:t>Envio do Plano da LEA</w:t>
      </w:r>
      <w:bookmarkEnd w:id="194"/>
    </w:p>
    <w:p w14:paraId="4C9D6904" w14:textId="77777777" w:rsidR="00D33A2C" w:rsidRPr="00CC1CB4" w:rsidRDefault="00000000" w:rsidP="00CF4E71">
      <w:pPr>
        <w:spacing w:afterLines="120" w:after="288"/>
        <w:rPr>
          <w:rFonts w:eastAsia="Aptos" w:cs="Times New Roman"/>
          <w:lang w:val="es-ES"/>
          <w14:ligatures w14:val="standardContextual"/>
        </w:rPr>
      </w:pPr>
      <w:r>
        <w:rPr>
          <w:rFonts w:eastAsia="Times New Roman" w:cs="Times New Roman"/>
          <w:lang w:val="pt-BR"/>
        </w:rPr>
        <w:t>As LEAs enviam seus planos como parte da Solicitação de Subvenção Consolidada da ESEA do NJDOE por meio do sistema Electronic Web-Enabled Grant (EWEG). Como parte do processo de envio, todas as solicitações passam por uma verificação de consistência para garantir que as LEAs abordem todos os componentes programáticos e fiscais necessários. A aceitação da solicitação no sistema EWEG constitui a apresentação do plano da LEA em forma “substancialmente aprovável” e autoriza as LEAs a iniciar a obrigação de fundos para apoiar atividades programáticas.</w:t>
      </w:r>
    </w:p>
    <w:p w14:paraId="4DD29478" w14:textId="77777777" w:rsidR="00D33A2C" w:rsidRPr="00CC1CB4" w:rsidRDefault="00000000" w:rsidP="00856537">
      <w:pPr>
        <w:pStyle w:val="A30"/>
      </w:pPr>
      <w:bookmarkStart w:id="195" w:name="_Toc199403782"/>
      <w:r>
        <w:t>Revisão e aprovação do Plano da LEA</w:t>
      </w:r>
      <w:bookmarkEnd w:id="195"/>
    </w:p>
    <w:p w14:paraId="2296AD84" w14:textId="77777777" w:rsidR="00D33A2C" w:rsidRPr="00CC1CB4" w:rsidRDefault="00000000" w:rsidP="00E03D51">
      <w:pPr>
        <w:spacing w:after="120"/>
        <w:rPr>
          <w:rFonts w:eastAsia="Aptos" w:cs="Times New Roman"/>
          <w:lang w:val="es-ES"/>
          <w14:ligatures w14:val="standardContextual"/>
        </w:rPr>
      </w:pPr>
      <w:r>
        <w:rPr>
          <w:rFonts w:eastAsia="Times New Roman" w:cs="Times New Roman"/>
          <w:lang w:val="pt-BR"/>
        </w:rPr>
        <w:t>Depois que uma Solicitação de Subvenção Consolidada da ESEA da LEA é aceita no sistema EWEG, os aspectos fiscais e do programa do plano da LEA são examinados e avaliados como parte de um processo de revisão e aprovação de dois níveis, que inclui o seguinte:</w:t>
      </w:r>
    </w:p>
    <w:p w14:paraId="098B6657" w14:textId="77777777" w:rsidR="00D33A2C" w:rsidRPr="00CC1CB4" w:rsidRDefault="00000000">
      <w:pPr>
        <w:numPr>
          <w:ilvl w:val="0"/>
          <w:numId w:val="78"/>
        </w:numPr>
        <w:spacing w:after="120"/>
        <w:rPr>
          <w:rFonts w:eastAsia="Aptos" w:cs="Times New Roman"/>
          <w:lang w:val="es-ES"/>
          <w14:ligatures w14:val="standardContextual"/>
        </w:rPr>
      </w:pPr>
      <w:r>
        <w:rPr>
          <w:rFonts w:eastAsia="Times New Roman" w:cs="Times New Roman"/>
          <w:lang w:val="pt-BR"/>
        </w:rPr>
        <w:t>a revisão e aprovação de nível I é conduzida pela equipe do NJDOE que trabalha no escritório de educação do condado no qual a LEA está localizada;</w:t>
      </w:r>
    </w:p>
    <w:p w14:paraId="43E1D2B9" w14:textId="77777777" w:rsidR="00D33A2C" w:rsidRPr="00CC1CB4" w:rsidRDefault="00000000">
      <w:pPr>
        <w:numPr>
          <w:ilvl w:val="0"/>
          <w:numId w:val="78"/>
        </w:numPr>
        <w:rPr>
          <w:rFonts w:eastAsia="Aptos" w:cs="Times New Roman"/>
          <w:lang w:val="es-ES"/>
          <w14:ligatures w14:val="standardContextual"/>
        </w:rPr>
      </w:pPr>
      <w:r>
        <w:rPr>
          <w:rFonts w:eastAsia="Times New Roman" w:cs="Times New Roman"/>
          <w:lang w:val="pt-BR"/>
        </w:rPr>
        <w:t>a revisão e aprovação de Nível II são conduzidas por especialistas em subsídios no Escritório de Gestão de Subsídios do NJDOE.</w:t>
      </w:r>
    </w:p>
    <w:p w14:paraId="495DE91C" w14:textId="77777777" w:rsidR="00D33A2C" w:rsidRPr="00CC1CB4" w:rsidRDefault="00000000" w:rsidP="00E03D51">
      <w:pPr>
        <w:spacing w:afterLines="120" w:after="288"/>
        <w:rPr>
          <w:rFonts w:eastAsia="Aptos" w:cs="Times New Roman"/>
          <w:lang w:val="es-ES"/>
          <w14:ligatures w14:val="standardContextual"/>
        </w:rPr>
      </w:pPr>
      <w:r>
        <w:rPr>
          <w:rFonts w:eastAsia="Times New Roman" w:cs="Times New Roman"/>
          <w:lang w:val="pt-BR"/>
        </w:rPr>
        <w:t xml:space="preserve">Os escritórios de educação do condado e a equipe do Escritório de Gestão de Subvenções usam listas de verificação do guia de revisão elaboradas pelos escritórios do programa para cada nível do processo de revisão e aprovação. Após revisão no nível de Nível I ou Nível II, a LEA é notificada eletronicamente </w:t>
      </w:r>
      <w:r>
        <w:rPr>
          <w:rFonts w:eastAsia="Times New Roman" w:cs="Times New Roman"/>
          <w:lang w:val="pt-BR"/>
        </w:rPr>
        <w:lastRenderedPageBreak/>
        <w:t>através do sistema EWEG se forem necessárias revisões. As LEAs devem fazer as revisões identificadas e reenviar o plano da LEA.</w:t>
      </w:r>
    </w:p>
    <w:p w14:paraId="32C4B236" w14:textId="77777777" w:rsidR="00D33A2C" w:rsidRPr="00CC1CB4" w:rsidRDefault="00000000" w:rsidP="00E03D51">
      <w:pPr>
        <w:spacing w:afterLines="120" w:after="288"/>
        <w:rPr>
          <w:rFonts w:eastAsia="Aptos" w:cs="Times New Roman"/>
          <w:lang w:val="es-ES"/>
          <w14:ligatures w14:val="standardContextual"/>
        </w:rPr>
      </w:pPr>
      <w:r>
        <w:rPr>
          <w:rFonts w:eastAsia="Times New Roman" w:cs="Times New Roman"/>
          <w:lang w:val="pt-BR"/>
        </w:rPr>
        <w:t>Após a aprovação final no nível de Nível II, a LEA é notificada eletronicamente por meio do sistema EWEG de que a solicitação recebeu a aprovação final do NJDOE, e a LEA pode começar a enviar, por meio do sistema EWEG, solicitações de reembolso para pagamento dos fundos de subvenção associados.</w:t>
      </w:r>
    </w:p>
    <w:p w14:paraId="3EF58FB1" w14:textId="77777777" w:rsidR="00D33A2C" w:rsidRPr="00CC1CB4" w:rsidRDefault="00000000" w:rsidP="00856537">
      <w:pPr>
        <w:pStyle w:val="A30"/>
      </w:pPr>
      <w:bookmarkStart w:id="196" w:name="_Toc199403783"/>
      <w:r>
        <w:t>Plano de alunos multilíngues adicional e envios de isenção</w:t>
      </w:r>
      <w:bookmarkEnd w:id="196"/>
    </w:p>
    <w:p w14:paraId="6D965D7A" w14:textId="77777777" w:rsidR="00D33A2C" w:rsidRPr="00CC1CB4" w:rsidRDefault="00000000" w:rsidP="00CF4E71">
      <w:pPr>
        <w:spacing w:afterLines="120" w:after="288"/>
        <w:rPr>
          <w:rFonts w:eastAsia="Aptos" w:cs="Times New Roman"/>
          <w:lang w:val="es-ES"/>
          <w14:ligatures w14:val="standardContextual"/>
        </w:rPr>
      </w:pPr>
      <w:r>
        <w:rPr>
          <w:rFonts w:eastAsia="Times New Roman" w:cs="Times New Roman"/>
          <w:lang w:val="pt-BR"/>
        </w:rPr>
        <w:t>Além dos planos anuais da ESSA, os regulamentos de Nova Jersey para Educação Bilíngue no N.J.A.C. 6A:15-1.5 exigem que as LEAs enviem um plano descrevendo seu LIEP para alunos multilíngues a cada três anos. O plano LIEP é uma oportunidade para as LEAs analisarem as necessidades acadêmicas de seus alunos multilíngues e o tipo de programa de assistência linguística, incluindo o ambiente acadêmico e linguístico que melhor abordaria esses ativos e necessidades. Ao desenvolver o plano LIEP, as LEAs devem avaliar seu programa e serviços atuais para alunos multilíngues e projetá-los de forma a fornecer as habilidades linguísticas, fundamentais e de nível de ano que os alunos precisam para fazer uma transição bem-sucedida para as aulas com seus colegas que falam inglês. Para LEAs com 20 ou mais alunos multilíngues em um único grupo de idiomas ao longo do jardim de infância até o 12º ano, cuja faixa etária, faixa etária e/ou localização geográfica dos alunos multilíngues tornam impraticável fornecer um programa bilíngue em tempo integral, as LEAs pode enviar anualmente uma isenção do requisito. O NJDOE trabalha em colaboração com as LEAs enviando uma isenção para garantir que os ativos multilíngues dos alunos sejam apoiados e as necessidades linguísticas ainda estejam sendo atendidas.</w:t>
      </w:r>
    </w:p>
    <w:p w14:paraId="3C8D0BE7" w14:textId="77777777" w:rsidR="00D33A2C" w:rsidRPr="00CC1CB4" w:rsidRDefault="00000000" w:rsidP="00856537">
      <w:pPr>
        <w:pStyle w:val="A30"/>
      </w:pPr>
      <w:bookmarkStart w:id="197" w:name="_Toc199403784"/>
      <w:r>
        <w:t>Monitoramento colaborativo</w:t>
      </w:r>
      <w:bookmarkEnd w:id="197"/>
      <w:r>
        <w:t xml:space="preserve"> </w:t>
      </w:r>
    </w:p>
    <w:p w14:paraId="0A0E7D0E" w14:textId="77777777" w:rsidR="00D33A2C" w:rsidRPr="00CC1CB4" w:rsidRDefault="00000000" w:rsidP="00CF4E71">
      <w:pPr>
        <w:spacing w:afterLines="120" w:after="288"/>
        <w:jc w:val="both"/>
        <w:textAlignment w:val="baseline"/>
        <w:rPr>
          <w:rFonts w:eastAsia="Yu Gothic Light" w:cs="Times New Roman"/>
          <w:lang w:val="es-ES"/>
          <w14:ligatures w14:val="standardContextual"/>
        </w:rPr>
      </w:pPr>
      <w:r>
        <w:rPr>
          <w:rFonts w:eastAsia="Times New Roman" w:cs="Times New Roman"/>
          <w:lang w:val="pt-BR"/>
        </w:rPr>
        <w:t xml:space="preserve">A ESSA, juntamente com a Lei de Educação para Pessoas com Deficiência (Individuals with Disabilities Education Act, IDEA) e outros estatutos e regulamentos federais exigem que as LEAs forneçam programas e serviços para escolas dentro de sua jurisdição local. </w:t>
      </w:r>
    </w:p>
    <w:p w14:paraId="68E03748" w14:textId="77777777" w:rsidR="00D33A2C" w:rsidRPr="00CC1CB4" w:rsidRDefault="00000000" w:rsidP="00DB39E0">
      <w:pPr>
        <w:spacing w:after="120"/>
        <w:textAlignment w:val="baseline"/>
        <w:rPr>
          <w:rFonts w:eastAsia="Times New Roman" w:cs="Times New Roman"/>
          <w:lang w:val="es-ES"/>
          <w14:ligatures w14:val="standardContextual"/>
        </w:rPr>
      </w:pPr>
      <w:r>
        <w:rPr>
          <w:rFonts w:eastAsia="Times New Roman" w:cs="Times New Roman"/>
          <w:lang w:val="pt-BR"/>
        </w:rPr>
        <w:t xml:space="preserve">As leis também exigem que o SEA, neste caso, o NJDOE, monitore a implementação e execução de programas federais pelos sub-beneficiários. O NJDOE consolidou suas práticas de monitoramento para que um processo de monitoramento colaborativo seja usado para monitorar quase todos os aspectos dos atos federais: </w:t>
      </w:r>
    </w:p>
    <w:p w14:paraId="7CB5C402" w14:textId="77777777" w:rsidR="00D33A2C" w:rsidRPr="00CC1CB4" w:rsidRDefault="00000000" w:rsidP="00DB39E0">
      <w:pPr>
        <w:spacing w:after="120"/>
        <w:textAlignment w:val="baseline"/>
        <w:rPr>
          <w:rFonts w:eastAsia="Times New Roman" w:cs="Times New Roman"/>
          <w:lang w:val="es-ES"/>
          <w14:ligatures w14:val="standardContextual"/>
        </w:rPr>
      </w:pPr>
      <w:r>
        <w:rPr>
          <w:rFonts w:eastAsia="Times New Roman" w:cs="Times New Roman"/>
          <w:lang w:val="pt-BR"/>
        </w:rPr>
        <w:t>A cada ano, o NJDOE seleciona as LEAs para monitorar com base em uma Ferramenta de Avaliação de Risco de Monitoramento Colaborativo que é projetada para avaliar o risco agregado de cada LEA de não conformidade com os requisitos federais e estaduais. A ferramenta de avaliação de risco utiliza indicadores de risco e inclui medidas relacionadas ao desempenho acadêmico e fiscal. Com base nos resultados agregados, as LEAs são colocadas em uma das três categorias:</w:t>
      </w:r>
    </w:p>
    <w:p w14:paraId="642D6E6B" w14:textId="77777777" w:rsidR="00DB39E0" w:rsidRDefault="00000000">
      <w:pPr>
        <w:pStyle w:val="a6"/>
        <w:numPr>
          <w:ilvl w:val="0"/>
          <w:numId w:val="192"/>
        </w:numPr>
        <w:spacing w:afterLines="120" w:after="288"/>
        <w:textAlignment w:val="baseline"/>
        <w:rPr>
          <w:rFonts w:eastAsia="Times New Roman" w:cs="Times New Roman"/>
          <w14:ligatures w14:val="standardContextual"/>
        </w:rPr>
      </w:pPr>
      <w:r>
        <w:rPr>
          <w:rFonts w:eastAsia="Times New Roman" w:cs="Times New Roman"/>
          <w:lang w:val="pt-BR"/>
        </w:rPr>
        <w:t>suporte intensivo;</w:t>
      </w:r>
    </w:p>
    <w:p w14:paraId="3DF1FC14" w14:textId="77777777" w:rsidR="00DB39E0" w:rsidRDefault="00000000">
      <w:pPr>
        <w:pStyle w:val="a6"/>
        <w:numPr>
          <w:ilvl w:val="0"/>
          <w:numId w:val="192"/>
        </w:numPr>
        <w:spacing w:afterLines="120" w:after="288"/>
        <w:textAlignment w:val="baseline"/>
        <w:rPr>
          <w:rFonts w:eastAsia="Times New Roman" w:cs="Times New Roman"/>
          <w14:ligatures w14:val="standardContextual"/>
        </w:rPr>
      </w:pPr>
      <w:r>
        <w:rPr>
          <w:rFonts w:eastAsia="Times New Roman" w:cs="Times New Roman"/>
          <w:lang w:val="pt-BR"/>
        </w:rPr>
        <w:t>suporte direcionado;</w:t>
      </w:r>
    </w:p>
    <w:p w14:paraId="076052C0" w14:textId="77777777" w:rsidR="00DB39E0" w:rsidRPr="00DB39E0" w:rsidRDefault="00000000">
      <w:pPr>
        <w:pStyle w:val="a6"/>
        <w:numPr>
          <w:ilvl w:val="0"/>
          <w:numId w:val="192"/>
        </w:numPr>
        <w:spacing w:afterLines="120" w:after="288"/>
        <w:textAlignment w:val="baseline"/>
        <w:rPr>
          <w:rFonts w:eastAsia="Times New Roman" w:cs="Times New Roman"/>
          <w14:ligatures w14:val="standardContextual"/>
        </w:rPr>
      </w:pPr>
      <w:r>
        <w:rPr>
          <w:rFonts w:eastAsia="Times New Roman" w:cs="Times New Roman"/>
          <w:lang w:val="pt-BR"/>
        </w:rPr>
        <w:t>suporte universal.</w:t>
      </w:r>
    </w:p>
    <w:p w14:paraId="15534E2B" w14:textId="77777777" w:rsidR="00DB39E0" w:rsidRPr="00DB39E0" w:rsidRDefault="00000000" w:rsidP="00DB39E0">
      <w:pPr>
        <w:pStyle w:val="4"/>
      </w:pPr>
      <w:bookmarkStart w:id="198" w:name="_Toc199403785"/>
      <w:r>
        <w:rPr>
          <w:rFonts w:ascii="Cambria" w:eastAsia="Cambria" w:hAnsi="Cambria" w:cs="Arial"/>
          <w:szCs w:val="24"/>
          <w:lang w:val="pt-BR"/>
        </w:rPr>
        <w:t>Suporte intensivo</w:t>
      </w:r>
      <w:bookmarkEnd w:id="198"/>
    </w:p>
    <w:p w14:paraId="37EA86DD" w14:textId="77777777" w:rsidR="00D33A2C" w:rsidRPr="00CC1CB4" w:rsidRDefault="00000000" w:rsidP="00DB39E0">
      <w:pPr>
        <w:rPr>
          <w:lang w:val="es-ES"/>
        </w:rPr>
      </w:pPr>
      <w:r>
        <w:rPr>
          <w:rFonts w:eastAsia="Times New Roman" w:cs="Arial"/>
          <w:lang w:val="pt-BR"/>
        </w:rPr>
        <w:lastRenderedPageBreak/>
        <w:t xml:space="preserve">As LEAs com a Avaliação de Risco Agregado mais alta com base em todos os Indicadores de Risco aplicáveis são colocadas no nível de suporte intensivo, a menos que tenham passado por monitoramento colaborativo nos últimos três anos ou estejam programados para passar pelo monitoramento do Contínuo de Responsabilidade Única de Qualidade (Quality Single Accountability Continuum, QSAC) no ano atual. Aqueles identificados para suporte intensivo recebem monitoramento no local. </w:t>
      </w:r>
    </w:p>
    <w:p w14:paraId="3B448B73" w14:textId="77777777" w:rsidR="00DB39E0" w:rsidRPr="00CC1CB4" w:rsidRDefault="00000000" w:rsidP="00DB39E0">
      <w:pPr>
        <w:pStyle w:val="4"/>
        <w:rPr>
          <w:lang w:val="es-ES"/>
        </w:rPr>
      </w:pPr>
      <w:bookmarkStart w:id="199" w:name="_Toc199403786"/>
      <w:r>
        <w:rPr>
          <w:rFonts w:ascii="Cambria" w:eastAsia="Cambria" w:hAnsi="Cambria" w:cs="Arial"/>
          <w:szCs w:val="24"/>
          <w:lang w:val="pt-BR"/>
        </w:rPr>
        <w:t>Suporte direcionado</w:t>
      </w:r>
      <w:bookmarkEnd w:id="199"/>
    </w:p>
    <w:p w14:paraId="4FA69956" w14:textId="77777777" w:rsidR="00D33A2C" w:rsidRPr="00CC1CB4" w:rsidRDefault="00000000" w:rsidP="00DB39E0">
      <w:pPr>
        <w:rPr>
          <w:lang w:val="es-ES"/>
        </w:rPr>
      </w:pPr>
      <w:r>
        <w:rPr>
          <w:rFonts w:eastAsia="Times New Roman" w:cs="Arial"/>
          <w:lang w:val="pt-BR"/>
        </w:rPr>
        <w:t xml:space="preserve">As LEAs com as próximas Avaliações de Risco Agregado mais altas baseadas em todos os Indicadores de Risco aplicáveis são colocadas no nível de suporte direcionado e recebem uma revisão documental. </w:t>
      </w:r>
    </w:p>
    <w:p w14:paraId="45555AEC" w14:textId="77777777" w:rsidR="00DB39E0" w:rsidRPr="00CC1CB4" w:rsidRDefault="00000000" w:rsidP="00DB39E0">
      <w:pPr>
        <w:pStyle w:val="4"/>
        <w:rPr>
          <w:lang w:val="es-ES"/>
        </w:rPr>
      </w:pPr>
      <w:bookmarkStart w:id="200" w:name="_Toc199403787"/>
      <w:r>
        <w:rPr>
          <w:rFonts w:ascii="Cambria" w:eastAsia="Cambria" w:hAnsi="Cambria" w:cs="Arial"/>
          <w:szCs w:val="24"/>
          <w:lang w:val="pt-BR"/>
        </w:rPr>
        <w:t>Suporte universal</w:t>
      </w:r>
      <w:bookmarkEnd w:id="200"/>
    </w:p>
    <w:p w14:paraId="768DF20A" w14:textId="77777777" w:rsidR="00D33A2C" w:rsidRPr="00CC1CB4" w:rsidRDefault="00000000" w:rsidP="00DB39E0">
      <w:pPr>
        <w:rPr>
          <w:lang w:val="es-ES"/>
        </w:rPr>
      </w:pPr>
      <w:r>
        <w:rPr>
          <w:rFonts w:eastAsia="Times New Roman" w:cs="Arial"/>
          <w:lang w:val="pt-BR"/>
        </w:rPr>
        <w:t>Fornecidos com suporte e orientação geral, mas não estão programadas para monitoramento formal.</w:t>
      </w:r>
    </w:p>
    <w:p w14:paraId="3E8B4F76" w14:textId="77777777" w:rsidR="00D33A2C" w:rsidRPr="00CC1CB4" w:rsidRDefault="00000000" w:rsidP="00856537">
      <w:pPr>
        <w:pStyle w:val="A30"/>
      </w:pPr>
      <w:bookmarkStart w:id="201" w:name="_Toc199403788"/>
      <w:r>
        <w:t>Observações adicionais sobre o monitoramento do Título III</w:t>
      </w:r>
      <w:bookmarkEnd w:id="201"/>
    </w:p>
    <w:p w14:paraId="01743604" w14:textId="77777777" w:rsidR="00D33A2C" w:rsidRPr="00CC1CB4" w:rsidRDefault="00000000" w:rsidP="00291A3B">
      <w:pPr>
        <w:textAlignment w:val="baseline"/>
        <w:rPr>
          <w:rFonts w:eastAsia="Times New Roman" w:cs="Times New Roman"/>
          <w:lang w:val="es-ES"/>
          <w14:ligatures w14:val="standardContextual"/>
        </w:rPr>
      </w:pPr>
      <w:r>
        <w:rPr>
          <w:rFonts w:eastAsia="Times New Roman" w:cs="Times New Roman"/>
          <w:lang w:val="pt-BR"/>
        </w:rPr>
        <w:t xml:space="preserve">Além da ESSA, o apoio aos alunos multilíngues é guiado pela Lei de Oportunidades Educacionais Iguais de 1974, 20 U.S.C. §§ 1701 et seq. (“EEOA”), que exige que as LEAs tomem as medidas adequadas para superar barreiras linguísticas que impedem a participação igualitária de seus alunos em seus programas instrucionais. 20 U.S.C. § 1703(f). Nova Jersey integrou todos os elementos desta lei ao monitoramento do Título III, enfatizando especialmente aqueles nas categorias de suporte intensivo e direcionado ou aqueles que não estão cumprindo os padrões acadêmicos especificamente para alunos multilíngues para garantir a conformidade com a lei e resultados bem-sucedidos para os alunos. </w:t>
      </w:r>
    </w:p>
    <w:p w14:paraId="6248EA41" w14:textId="77777777" w:rsidR="00D33A2C" w:rsidRPr="00CC1CB4" w:rsidRDefault="00000000" w:rsidP="00856537">
      <w:pPr>
        <w:pStyle w:val="A30"/>
      </w:pPr>
      <w:bookmarkStart w:id="202" w:name="_Toc199403789"/>
      <w:r>
        <w:t>Assistência técnica geral</w:t>
      </w:r>
      <w:bookmarkEnd w:id="202"/>
    </w:p>
    <w:p w14:paraId="224F9F4D" w14:textId="77777777" w:rsidR="00D33A2C" w:rsidRPr="00CC1CB4" w:rsidRDefault="00000000" w:rsidP="009B7B4E">
      <w:pPr>
        <w:rPr>
          <w:rFonts w:eastAsia="Aptos" w:cs="Times New Roman"/>
          <w:lang w:val="es-ES"/>
          <w14:ligatures w14:val="standardContextual"/>
        </w:rPr>
      </w:pPr>
      <w:r>
        <w:rPr>
          <w:rFonts w:eastAsia="Times New Roman" w:cs="Times New Roman"/>
          <w:lang w:val="pt-BR"/>
        </w:rPr>
        <w:t>O NJDOE tem o compromisso de fornecer assistência técnica oportuna, significativa e contínua às LEAs para garantir que entendam como a ESSA pode afetar alocações, requisitos e uso de fundos federais. Para isso, o NJDOE criou e continuará a atualizar um calendário de eventos de assistência técnica para apoiar as LEAs na implementação de requisitos programáticos e fiscais. O NJDOE continua a desenvolver materiais de orientação da ESSA (por exemplo, apresentações, webinars, documentos, guias de financiamento) para seu site. Além disso, o NJDOE tem e continuará a fornecer alcance personalizado e assistência técnica diferenciada para: LEAs mais afetadas por mudanças no financiamento; LEAs com considerações específicas de implementação (como candidatos a escolas fretadas ou LEAs com uma grande porcentagem de escolas não públicas); LEAs ou escolas onde os dados do NJDOE refletem a necessidade de mudanças programáticas significativas. Por exemplo, as LEAs que relatam a matrícula de alunos que estão vivenciando sem-teto recebem assistência técnica no local sobre a disponibilidade de serviços sob a Lei federal de Assistência aos Sem-teto McKinney-Vento e o uso de fundos federais para apoiar as necessidades dos alunos identificados. As LEAs que relatam o aumento da matrícula de alunos multilíngues recebem assistência técnica sobre as opções apropriadas do programa e desenvolvimento profissional para auxiliar os professores de educação geral que trabalham com alunos multilíngues.</w:t>
      </w:r>
    </w:p>
    <w:p w14:paraId="639F0A30" w14:textId="390B0D80" w:rsidR="00D33A2C" w:rsidRPr="00CC1CB4" w:rsidRDefault="00000000" w:rsidP="009B7B4E">
      <w:pPr>
        <w:rPr>
          <w:rFonts w:eastAsia="Aptos" w:cs="Times New Roman"/>
          <w:lang w:val="es-ES"/>
          <w14:ligatures w14:val="standardContextual"/>
        </w:rPr>
      </w:pPr>
      <w:r>
        <w:rPr>
          <w:rFonts w:eastAsia="Times New Roman" w:cs="Times New Roman"/>
          <w:lang w:val="pt-BR"/>
        </w:rPr>
        <w:t xml:space="preserve">O calendário anual de assistência técnica para toda a ESSA inclui eventos que estão abertos a todos as LEAs, incluindo treinamento do diretor de projeto da ESSA; workshops sobre a transição para um programa escolar de Título I; workshops de serviços equitativos; reunião de novos coordenadores de Título II/IV, conferência estadual de educação para sem-teto; webinars de envolvimento familiar e comunitário; horários de trabalho específicos do título e tutoriais presenciais no preenchimento dos </w:t>
      </w:r>
      <w:r>
        <w:rPr>
          <w:rFonts w:eastAsia="Times New Roman" w:cs="Times New Roman"/>
          <w:lang w:val="pt-BR"/>
        </w:rPr>
        <w:lastRenderedPageBreak/>
        <w:t xml:space="preserve">requisitos do programa contidos na aplicação da LEA. O NJDOE hospeda uma grande variedade de materiais (desenvolvidos pelo NJDOE e pelo USED) relacionados aos requisitos do programa da ESSA em seu site. Além disso, o NJDOE hospeda muitos recursos da ESSA em sua </w:t>
      </w:r>
      <w:hyperlink r:id="rId43">
        <w:r w:rsidR="00D33A2C">
          <w:rPr>
            <w:rFonts w:eastAsia="Times New Roman" w:cs="Times New Roman"/>
            <w:color w:val="0000FF"/>
            <w:u w:val="single"/>
            <w:lang w:val="pt-BR"/>
          </w:rPr>
          <w:t>página central da ESSA</w:t>
        </w:r>
      </w:hyperlink>
      <w:r>
        <w:rPr>
          <w:rFonts w:eastAsia="Times New Roman" w:cs="Times New Roman"/>
          <w:lang w:val="pt-BR"/>
        </w:rPr>
        <w:t>. Este site é atualizado regularmente e contém materiais de orientação desenvolvidos pelo USED e pelo NJDOE e fontes externas verificadas e confiáveis. Além dos materiais mencionados acima, o NJDOE colabora regularmente com as partes interessadas para fornecer às LEAs orientação baseada em atividades sobre como os fundos federais e estaduais podem ser combinados para apoiar uma série de atividades de alto impacto, bem como orientação sobre como criar um envolvimento significativo das partes interessadas no nível da LEA. Ao fazer isso, o NJDOE pretende ajudar as LEAs a trabalhar com suas comunidades escolares para alavancar mais criativamente os fundos para apoiar as necessidades exclusivas de seus alunos.</w:t>
      </w:r>
    </w:p>
    <w:p w14:paraId="6756BCA2" w14:textId="77777777" w:rsidR="00D33A2C" w:rsidRPr="00CC1CB4" w:rsidRDefault="00000000" w:rsidP="00856537">
      <w:pPr>
        <w:pStyle w:val="A30"/>
      </w:pPr>
      <w:bookmarkStart w:id="203" w:name="_Toc199403790"/>
      <w:r>
        <w:t>Observações adicionais sobre o Título III Assistência técnica específica</w:t>
      </w:r>
      <w:bookmarkEnd w:id="203"/>
    </w:p>
    <w:p w14:paraId="058F93F5" w14:textId="77777777" w:rsidR="00D33A2C" w:rsidRPr="00D33A2C" w:rsidRDefault="00000000" w:rsidP="009B7B4E">
      <w:pPr>
        <w:rPr>
          <w:rFonts w:eastAsia="Aptos" w:cs="Times New Roman"/>
          <w14:ligatures w14:val="standardContextual"/>
        </w:rPr>
      </w:pPr>
      <w:r>
        <w:rPr>
          <w:rFonts w:eastAsia="Times New Roman" w:cs="Times New Roman"/>
          <w:lang w:val="pt-BR"/>
        </w:rPr>
        <w:t>Para complementar um robusto calendário anual de assistência técnica aberto a todas as LEAs, o Escritório de Programas Educacionais Complementares oferece assistência técnica especificamente relacionada aos requisitos do Título III e aos suportes distintivos necessários para alunos multilíngues. Além do horário comercial, ofertas adicionais incluem:</w:t>
      </w:r>
    </w:p>
    <w:p w14:paraId="702BD034" w14:textId="77777777" w:rsidR="00D33A2C" w:rsidRPr="00CC1CB4" w:rsidRDefault="00000000">
      <w:pPr>
        <w:numPr>
          <w:ilvl w:val="0"/>
          <w:numId w:val="80"/>
        </w:numPr>
        <w:spacing w:after="120"/>
        <w:rPr>
          <w:rFonts w:eastAsia="Aptos" w:cs="Times New Roman"/>
          <w:lang w:val="es-ES"/>
          <w14:ligatures w14:val="standardContextual"/>
        </w:rPr>
      </w:pPr>
      <w:r>
        <w:rPr>
          <w:rFonts w:eastAsia="Times New Roman" w:cs="Times New Roman"/>
          <w:lang w:val="pt-BR"/>
        </w:rPr>
        <w:t xml:space="preserve">Uma série para a equipe instrucional, membros da equipe de estudo infantil, administradores e pessoal responsável por apoiar os alunos duplamente identificados como alunos multilíngues e elegíveis para educação especial e serviços relacionados. A série criou vários grupos de especialistas em todo o estado com conhecimento da diferença entre a aquisição de segunda língua e uma deficiência de aprendizagem; </w:t>
      </w:r>
    </w:p>
    <w:p w14:paraId="5BDF4F8D" w14:textId="77777777" w:rsidR="00D33A2C" w:rsidRPr="00CC1CB4" w:rsidRDefault="00000000">
      <w:pPr>
        <w:numPr>
          <w:ilvl w:val="0"/>
          <w:numId w:val="80"/>
        </w:numPr>
        <w:spacing w:after="120"/>
        <w:rPr>
          <w:rFonts w:eastAsia="Aptos" w:cs="Times New Roman"/>
          <w:lang w:val="es-ES"/>
          <w14:ligatures w14:val="standardContextual"/>
        </w:rPr>
      </w:pPr>
      <w:r>
        <w:rPr>
          <w:rFonts w:eastAsia="Times New Roman" w:cs="Times New Roman"/>
          <w:lang w:val="pt-BR"/>
        </w:rPr>
        <w:t xml:space="preserve">Uma série de cursos online sob demanda, organizada pela Stockton University (e financiada pelo NJDOE), disponível para todos os educadores de Nova Jersey, permitindo a participação em um curso de treinamento de instrutores sobre prática e pedagogia de instrução em inglês protegido; </w:t>
      </w:r>
    </w:p>
    <w:p w14:paraId="20FBCD62" w14:textId="77777777" w:rsidR="006415C4" w:rsidRPr="00CC1CB4" w:rsidRDefault="00000000">
      <w:pPr>
        <w:numPr>
          <w:ilvl w:val="0"/>
          <w:numId w:val="80"/>
        </w:numPr>
        <w:rPr>
          <w:rFonts w:eastAsia="Aptos" w:cs="Times New Roman"/>
          <w:lang w:val="es-ES"/>
          <w14:ligatures w14:val="standardContextual"/>
        </w:rPr>
      </w:pPr>
      <w:r>
        <w:rPr>
          <w:rFonts w:eastAsia="Times New Roman" w:cs="Times New Roman"/>
          <w:lang w:val="pt-BR"/>
        </w:rPr>
        <w:t xml:space="preserve">Acesso online assíncrono às ofertas de desenvolvimento profissional de Avaliação e Projeto Instrucional de Classe Mundial (WIDA). Todos os educadores de Nova Jersey têm acesso a um conjunto de ofertas online e híbridas. Os tópicos incluem os Padrões de </w:t>
      </w:r>
      <w:r>
        <w:rPr>
          <w:rFonts w:eastAsia="Times New Roman" w:cs="Arial"/>
          <w:lang w:val="pt-BR"/>
        </w:rPr>
        <w:t>desenvolvimento em inglês</w:t>
      </w:r>
      <w:r>
        <w:rPr>
          <w:rFonts w:eastAsia="Times New Roman" w:cs="Times New Roman"/>
          <w:lang w:val="pt-BR"/>
        </w:rPr>
        <w:t xml:space="preserve"> de 2020, ACCESS alternativa, instrução de leitura expandida e interpretação das pontuações da ACCESS para práticas instrucionais.</w:t>
      </w:r>
    </w:p>
    <w:p w14:paraId="7702F76C" w14:textId="77777777" w:rsidR="00F00D64" w:rsidRPr="00CC1CB4" w:rsidRDefault="00000000" w:rsidP="00F00D64">
      <w:pPr>
        <w:spacing w:after="120"/>
        <w:rPr>
          <w:rFonts w:eastAsia="Aptos" w:cs="Times New Roman"/>
          <w:lang w:val="es-ES"/>
          <w14:ligatures w14:val="standardContextual"/>
        </w:rPr>
      </w:pPr>
      <w:r>
        <w:rPr>
          <w:rFonts w:eastAsia="Times New Roman" w:cs="Times New Roman"/>
          <w:lang w:val="pt-BR"/>
        </w:rPr>
        <w:t xml:space="preserve">Além disso, o Título III fornece supervisão e suporte significativos para LEAs identificadas como não atendendo às necessidades de alunos multilíngues. Essas LEAs podem ser identificadas de uma das quatro maneiras: </w:t>
      </w:r>
    </w:p>
    <w:p w14:paraId="47DAEDBC" w14:textId="77777777" w:rsidR="00F00D64" w:rsidRPr="00CC1CB4" w:rsidRDefault="00000000">
      <w:pPr>
        <w:pStyle w:val="a6"/>
        <w:numPr>
          <w:ilvl w:val="0"/>
          <w:numId w:val="193"/>
        </w:numPr>
        <w:spacing w:after="120"/>
        <w:contextualSpacing w:val="0"/>
        <w:rPr>
          <w:rFonts w:eastAsia="Aptos" w:cs="Times New Roman"/>
          <w:lang w:val="es-ES"/>
          <w14:ligatures w14:val="standardContextual"/>
        </w:rPr>
      </w:pPr>
      <w:r>
        <w:rPr>
          <w:rFonts w:eastAsia="Times New Roman" w:cs="Times New Roman"/>
          <w:lang w:val="pt-BR"/>
        </w:rPr>
        <w:t>por meio de monitoramento colaborativo;</w:t>
      </w:r>
    </w:p>
    <w:p w14:paraId="34DF16BF" w14:textId="77777777" w:rsidR="00F00D64" w:rsidRPr="00CC1CB4" w:rsidRDefault="00000000">
      <w:pPr>
        <w:pStyle w:val="a6"/>
        <w:numPr>
          <w:ilvl w:val="0"/>
          <w:numId w:val="193"/>
        </w:numPr>
        <w:spacing w:after="120"/>
        <w:contextualSpacing w:val="0"/>
        <w:rPr>
          <w:rFonts w:eastAsia="Aptos" w:cs="Times New Roman"/>
          <w:lang w:val="es-ES"/>
          <w14:ligatures w14:val="standardContextual"/>
        </w:rPr>
      </w:pPr>
      <w:r>
        <w:rPr>
          <w:rFonts w:eastAsia="Times New Roman" w:cs="Times New Roman"/>
          <w:lang w:val="pt-BR"/>
        </w:rPr>
        <w:t>através do sistema de responsabilidade formal descrito no Título I, Parte A;</w:t>
      </w:r>
    </w:p>
    <w:p w14:paraId="6D7861DE" w14:textId="77777777" w:rsidR="00F00D64" w:rsidRPr="00CC1CB4" w:rsidRDefault="00000000">
      <w:pPr>
        <w:pStyle w:val="a6"/>
        <w:numPr>
          <w:ilvl w:val="0"/>
          <w:numId w:val="193"/>
        </w:numPr>
        <w:spacing w:after="120"/>
        <w:contextualSpacing w:val="0"/>
        <w:rPr>
          <w:rFonts w:eastAsia="Aptos" w:cs="Times New Roman"/>
          <w:lang w:val="es-ES"/>
          <w14:ligatures w14:val="standardContextual"/>
        </w:rPr>
      </w:pPr>
      <w:r>
        <w:rPr>
          <w:rFonts w:eastAsia="Times New Roman" w:cs="Times New Roman"/>
          <w:lang w:val="pt-BR"/>
        </w:rPr>
        <w:t>por meio da revisão do plano trienal de três anos das LEAs;</w:t>
      </w:r>
    </w:p>
    <w:p w14:paraId="3E4F829A" w14:textId="77777777" w:rsidR="00D33A2C" w:rsidRPr="00CC1CB4" w:rsidRDefault="00000000">
      <w:pPr>
        <w:pStyle w:val="a6"/>
        <w:numPr>
          <w:ilvl w:val="0"/>
          <w:numId w:val="193"/>
        </w:numPr>
        <w:rPr>
          <w:rFonts w:eastAsia="Aptos" w:cs="Times New Roman"/>
          <w:lang w:val="es-ES"/>
          <w14:ligatures w14:val="standardContextual"/>
        </w:rPr>
      </w:pPr>
      <w:r>
        <w:rPr>
          <w:rFonts w:eastAsia="Times New Roman" w:cs="Times New Roman"/>
          <w:lang w:val="pt-BR"/>
        </w:rPr>
        <w:t xml:space="preserve">por meio da revisão anual do NJDOE de dados de matrícula e realização de alunos multilíngues, bem como dados sobre qualificações apropriadas de professores. </w:t>
      </w:r>
    </w:p>
    <w:p w14:paraId="0B5218A7" w14:textId="77777777" w:rsidR="00D33A2C" w:rsidRPr="00CC1CB4" w:rsidRDefault="00000000" w:rsidP="009B7B4E">
      <w:pPr>
        <w:rPr>
          <w:rFonts w:eastAsia="Aptos" w:cs="Times New Roman"/>
          <w:lang w:val="es-ES"/>
          <w14:ligatures w14:val="standardContextual"/>
        </w:rPr>
      </w:pPr>
      <w:r>
        <w:rPr>
          <w:rFonts w:eastAsia="Times New Roman" w:cs="Times New Roman"/>
          <w:lang w:val="pt-BR"/>
        </w:rPr>
        <w:lastRenderedPageBreak/>
        <w:t>Uma vez identificadas, as LEAs receberam assistência técnica direcionada. Para aqueles que são identificados como sem documentação apropriada, o NJDOE fornece orientação e acompanhamento para garantir a conclusão. Para LEAs identificadas para baixa realização acadêmica, a LEA é obrigada a concluir uma avaliação das necessidades do aluno multilíngue e um Plano de apoio instrucional que seja aprovado e monitorado adicionalmente pelo NJDOE. Além disso, todas as LEAs que não foram capazes de preencher cargos de educação multilíngue são convidadas para o horário comercial mensal para discutir novas abordagens de recrutamento e como melhor apoiar os alunos multilíngues na ausência de instrutores apropriados.</w:t>
      </w:r>
    </w:p>
    <w:p w14:paraId="678875D0" w14:textId="77777777" w:rsidR="006E4A9C" w:rsidRPr="00CC1CB4" w:rsidRDefault="00000000">
      <w:pPr>
        <w:rPr>
          <w:rFonts w:eastAsia="Aptos" w:cs="Times New Roman"/>
          <w:color w:val="365F91" w:themeColor="accent1" w:themeShade="BF"/>
          <w:lang w:val="es-ES"/>
          <w14:ligatures w14:val="standardContextual"/>
        </w:rPr>
      </w:pPr>
      <w:r>
        <w:rPr>
          <w:rFonts w:eastAsia="Times New Roman" w:cs="Times New Roman"/>
          <w:color w:val="365F91"/>
          <w:lang w:val="pt-BR"/>
        </w:rPr>
        <w:t>[finalizar resposta do NJDOE]</w:t>
      </w:r>
      <w:r>
        <w:rPr>
          <w:rFonts w:eastAsia="Times New Roman" w:cs="Times New Roman"/>
          <w:color w:val="365F91"/>
          <w:lang w:val="pt-BR"/>
        </w:rPr>
        <w:br w:type="page"/>
      </w:r>
    </w:p>
    <w:p w14:paraId="791CA0C6" w14:textId="77777777" w:rsidR="006944C8" w:rsidRPr="00CC1CB4" w:rsidRDefault="00000000" w:rsidP="00A005A4">
      <w:pPr>
        <w:pStyle w:val="BeginUSED"/>
        <w:spacing w:before="0"/>
        <w:rPr>
          <w:lang w:val="es-ES"/>
        </w:rPr>
      </w:pPr>
      <w:r>
        <w:rPr>
          <w:rFonts w:eastAsia="Times New Roman"/>
          <w:color w:val="FFFFFF"/>
          <w:szCs w:val="4"/>
          <w:lang w:val="pt-BR"/>
        </w:rPr>
        <w:lastRenderedPageBreak/>
        <w:t xml:space="preserve">[iniciar o texto do USED] </w:t>
      </w:r>
    </w:p>
    <w:p w14:paraId="5A50C191" w14:textId="77777777" w:rsidR="006E4A9C" w:rsidRPr="00CC1CB4" w:rsidRDefault="00000000" w:rsidP="00A005A4">
      <w:pPr>
        <w:pStyle w:val="1"/>
        <w:rPr>
          <w:lang w:val="es-ES"/>
        </w:rPr>
      </w:pPr>
      <w:bookmarkStart w:id="204" w:name="_Toc211004653"/>
      <w:r>
        <w:rPr>
          <w:rFonts w:eastAsia="Cambria"/>
          <w:szCs w:val="36"/>
          <w:lang w:val="pt-BR"/>
        </w:rPr>
        <w:t>F. Título IV, Parte A: Subsídios de apoio ao aluno e enriquecimento acadêmico</w:t>
      </w:r>
      <w:bookmarkEnd w:id="204"/>
    </w:p>
    <w:p w14:paraId="671EB868" w14:textId="77777777" w:rsidR="003F0337" w:rsidRPr="00856537" w:rsidRDefault="00000000" w:rsidP="00856537">
      <w:pPr>
        <w:pStyle w:val="A20"/>
        <w:spacing w:before="120"/>
        <w:ind w:left="142"/>
      </w:pPr>
      <w:bookmarkStart w:id="205" w:name="_Toc171333309"/>
      <w:bookmarkStart w:id="206" w:name="_Toc199403792"/>
      <w:r>
        <w:t>1. Uso de fundos (Seção 4103(c)(2)(A) da ESEA)</w:t>
      </w:r>
      <w:bookmarkEnd w:id="205"/>
      <w:bookmarkEnd w:id="206"/>
    </w:p>
    <w:p w14:paraId="20955ABB" w14:textId="77777777" w:rsidR="00774D90" w:rsidRPr="00CC1CB4" w:rsidRDefault="00000000" w:rsidP="00A005A4">
      <w:pPr>
        <w:spacing w:after="0"/>
        <w:ind w:left="180"/>
        <w:rPr>
          <w:rFonts w:ascii="Cambria" w:eastAsia="Times New Roman" w:hAnsi="Cambria" w:cs="Times New Roman"/>
          <w:color w:val="365F91" w:themeColor="accent1" w:themeShade="BF"/>
          <w:highlight w:val="yellow"/>
          <w:lang w:val="es-ES"/>
        </w:rPr>
      </w:pPr>
      <w:r>
        <w:rPr>
          <w:rFonts w:ascii="Cambria" w:eastAsia="Cambria" w:hAnsi="Cambria" w:cs="Times New Roman"/>
          <w:color w:val="244061"/>
          <w:lang w:val="pt-BR"/>
        </w:rPr>
        <w:t>Descrever como o SEA usará os fundos recebidos sob o Título IV, Parte A, Subparte 1 para atividades em nível estadual.</w:t>
      </w:r>
      <w:r>
        <w:rPr>
          <w:rFonts w:ascii="Cambria" w:eastAsia="Cambria" w:hAnsi="Cambria" w:cs="Arial"/>
          <w:color w:val="244061"/>
          <w:lang w:val="pt-BR"/>
        </w:rPr>
        <w:t xml:space="preserve"> </w:t>
      </w:r>
    </w:p>
    <w:p w14:paraId="1CC66F75" w14:textId="77777777" w:rsidR="006E4A9C" w:rsidRPr="00CC1CB4" w:rsidRDefault="00000000" w:rsidP="006944C8">
      <w:pPr>
        <w:pStyle w:val="EndUSED"/>
        <w:rPr>
          <w:rFonts w:eastAsia="Times New Roman"/>
          <w:color w:val="000000" w:themeColor="text1"/>
          <w:lang w:val="es-ES"/>
        </w:rPr>
      </w:pPr>
      <w:r>
        <w:rPr>
          <w:rFonts w:eastAsia="Times New Roman"/>
          <w:color w:val="FFFFFF"/>
          <w:szCs w:val="4"/>
          <w:lang w:val="pt-BR"/>
        </w:rPr>
        <w:t>[finalizar texto do USED]</w:t>
      </w:r>
    </w:p>
    <w:p w14:paraId="03AEA5D6" w14:textId="77777777" w:rsidR="00774D90" w:rsidRPr="00CC1CB4" w:rsidRDefault="00000000" w:rsidP="00A005A4">
      <w:pPr>
        <w:spacing w:before="240"/>
        <w:rPr>
          <w:rFonts w:eastAsia="Times New Roman" w:cs="Times New Roman"/>
          <w:color w:val="365F91" w:themeColor="accent1" w:themeShade="BF"/>
          <w:lang w:val="es-ES"/>
        </w:rPr>
      </w:pPr>
      <w:r>
        <w:rPr>
          <w:rFonts w:eastAsia="Times New Roman" w:cs="Times New Roman"/>
          <w:color w:val="365F91"/>
          <w:lang w:val="pt-BR"/>
        </w:rPr>
        <w:t>[iniciar a resposta do NJDOE]</w:t>
      </w:r>
    </w:p>
    <w:p w14:paraId="5E1CBD69" w14:textId="77777777" w:rsidR="00774D90" w:rsidRPr="00CC1CB4" w:rsidRDefault="00000000" w:rsidP="006E4A9C">
      <w:pPr>
        <w:rPr>
          <w:rFonts w:eastAsia="Times New Roman" w:cs="Times New Roman"/>
          <w:color w:val="000000" w:themeColor="text1"/>
          <w:lang w:val="es-ES"/>
        </w:rPr>
      </w:pPr>
      <w:r>
        <w:rPr>
          <w:rFonts w:eastAsia="Times New Roman" w:cs="Times New Roman"/>
          <w:color w:val="000000"/>
          <w:lang w:val="pt-BR"/>
        </w:rPr>
        <w:t>Devido ao sucesso da estrutura NJTSS de apoios acadêmicos e comportamentais e intervenções para melhorar o desempenho dos alunos, o NJDOE usará o financiamento do Título IVA, Parte A, para expandir e melhorar as oportunidades de aprendizagem profissional do NJDOE relacionadas ao NJTSS. A estrutura não se destina a ser um exercício prescritivo, de tamanho único ou de conformidade para atender às necessidades dos alunos. Em vez disso, o NJTSS é uma estrutura recomendada com base nas melhores práticas determinadas pela pesquisa e pelos profissionais para fornecer aos educadores uma maneira sistemática de abordar a variabilidade do aluno e envolver todos os alunos na aprendizagem do NJSLS. O NJTSS inclui monitoramento regular do progresso dos alunos, tomada de decisão baseada em dados e implementação de um contínuo de apoios e intervenções com base no desempenho dos alunos. O NJTSS oferece aos educadores uma variedade de práticas baseadas em evidências, projetadas para melhorar o desempenho dos alunos e promover resultados positivos para os alunos.</w:t>
      </w:r>
    </w:p>
    <w:p w14:paraId="0F9B479B" w14:textId="77777777" w:rsidR="00774D90" w:rsidRPr="00CC1CB4" w:rsidRDefault="00000000" w:rsidP="006E4A9C">
      <w:pPr>
        <w:rPr>
          <w:rFonts w:eastAsia="Times New Roman" w:cs="Times New Roman"/>
          <w:color w:val="000000" w:themeColor="text1"/>
          <w:lang w:val="es-ES"/>
        </w:rPr>
      </w:pPr>
      <w:r>
        <w:rPr>
          <w:rFonts w:eastAsia="Times New Roman" w:cs="Times New Roman"/>
          <w:color w:val="000000"/>
          <w:lang w:val="pt-BR"/>
        </w:rPr>
        <w:t xml:space="preserve">Em conjunto com o NJTSS, as regulamentações estaduais exigem que as escolas identifiquem as dificuldades de aprendizado, comportamento e saúde dos alunos por meio da coleta de dados apropriados. Em resposta à necessidade de intervir precocemente e à necessidade de uma abordagem sistemática para intervenções instrucionais, o NJDOE adotou regulamentos (N.J.A.C. 6A:16-8). estabelecendo serviços de intervenção e encaminhamento (“I&amp;RS”). Quando implementado com fidelidade, o NJTSS é uma estrutura que as escolas podem usar para atender aos requisitos de serviços de intervenção e indicação, além de fornecer serviços de indicação prévia em uma abordagem direcionada e baseada em pesquisa. Como tal, uma LEA com reuniões de intervenção e de serviços de indicação regularmente agendadas pode transformar as reuniões de I&amp;RS em reuniões do NJTSS e ainda cumprir e atender aos requisitos estaduais. Serviços de intervenção e indicação devem ser fornecidos para apoiar os alunos na programação de educação geral, bem como os alunos que foram determinados a precisar de programas e serviços de educação especial. Conforme apropriado, isso deve ser coordenado com a equipe de estudo da criança e com o planejamento do IEP do aluno. </w:t>
      </w:r>
    </w:p>
    <w:p w14:paraId="5316AC58" w14:textId="77777777" w:rsidR="00774D90" w:rsidRPr="00CC1CB4" w:rsidRDefault="00000000" w:rsidP="006E4A9C">
      <w:pPr>
        <w:rPr>
          <w:rFonts w:eastAsia="Times New Roman" w:cs="Times New Roman"/>
          <w:color w:val="000000" w:themeColor="text1"/>
          <w:lang w:val="es-ES"/>
        </w:rPr>
      </w:pPr>
      <w:r>
        <w:rPr>
          <w:rFonts w:eastAsia="Times New Roman" w:cs="Times New Roman"/>
          <w:color w:val="000000"/>
          <w:lang w:val="pt-BR"/>
        </w:rPr>
        <w:t xml:space="preserve">O NJDOE lançou vídeos como parte de uma série de aprendizagem profissional do NJTSS em andamento e usará essa série para promover e destacar a eficácia do NJTSS. Esta série destina-se a fornecer ao usuário final, ao pessoal da LEA e aos administradores um roteiro para entender a implantação de um sistema em camadas de suportes. Esse tipo de trabalho é abrangente, e a estrutura dos vídeos não é linear, como se os componentes essenciais fossem dispostos, mas de uma forma que capture as necessidades exclusivas das LEAs. </w:t>
      </w:r>
    </w:p>
    <w:p w14:paraId="27DE9E29" w14:textId="77777777" w:rsidR="00774D90" w:rsidRPr="00CC1CB4" w:rsidRDefault="00000000" w:rsidP="006E4A9C">
      <w:pPr>
        <w:rPr>
          <w:rFonts w:eastAsia="Times New Roman" w:cs="Times New Roman"/>
          <w:color w:val="000000" w:themeColor="text1"/>
          <w:lang w:val="es-ES"/>
        </w:rPr>
      </w:pPr>
      <w:r>
        <w:rPr>
          <w:rFonts w:eastAsia="Times New Roman" w:cs="Times New Roman"/>
          <w:color w:val="000000"/>
          <w:lang w:val="pt-BR"/>
        </w:rPr>
        <w:lastRenderedPageBreak/>
        <w:t xml:space="preserve">Ao discutir a prontidão para implementar, a assistência técnica do NJTSS se baseia nos princípios da ciência da implementação. As fases da implementação podem ser amplamente aplicadas à implementação geral do NJTSS, e as fases por si só podem ser aplicáveis ao desenvolvimento de equipes de liderança, especialmente à medida que novos membros se juntam e o cenário muda que ocorrem ao longo do tempo em uma LEA. É fundamental garantir que as equipes de liderança da LEA e da escola compartilhem uma visão comum para a implementação de um sistema em níveis de apoio. Esse processo geralmente envolve revisitar as estruturas de liderança e equipe à medida que ocorrem mudanças de pessoal. É fundamental garantir que as equipes de liderança da LEA e da escola compartilhem uma visão comum para a implementação de um sistema em níveis de apoio. </w:t>
      </w:r>
    </w:p>
    <w:p w14:paraId="22665DD8" w14:textId="77777777" w:rsidR="00774D90" w:rsidRPr="00CC1CB4" w:rsidRDefault="00000000" w:rsidP="006E4A9C">
      <w:pPr>
        <w:rPr>
          <w:rFonts w:eastAsia="Times New Roman" w:cs="Times New Roman"/>
          <w:color w:val="000000" w:themeColor="text1"/>
          <w:lang w:val="es-ES"/>
        </w:rPr>
      </w:pPr>
      <w:r>
        <w:rPr>
          <w:rFonts w:eastAsia="Times New Roman" w:cs="Times New Roman"/>
          <w:color w:val="000000"/>
          <w:lang w:val="pt-BR"/>
        </w:rPr>
        <w:t xml:space="preserve">Para a série de aprendizagem profissional, cada vídeo fornecerá ao usuário final não apenas um webinar em vídeo, mas também slides e modelos de apresentação personalizáveis com informações pertinentes para aprender ou preparar e apresentar para a equipe. </w:t>
      </w:r>
    </w:p>
    <w:p w14:paraId="4C2ADDDE" w14:textId="77777777" w:rsidR="00774D90" w:rsidRPr="00CC1CB4" w:rsidRDefault="00000000" w:rsidP="006E4A9C">
      <w:pPr>
        <w:rPr>
          <w:rFonts w:eastAsia="Times New Roman" w:cs="Times New Roman"/>
          <w:color w:val="000000" w:themeColor="text1"/>
          <w:lang w:val="es-ES"/>
        </w:rPr>
      </w:pPr>
      <w:r>
        <w:rPr>
          <w:rFonts w:eastAsia="Times New Roman" w:cs="Times New Roman"/>
          <w:color w:val="000000"/>
          <w:lang w:val="pt-BR"/>
        </w:rPr>
        <w:t xml:space="preserve">À medida que o cenário em Nova Jersey continua a avançar em direção aos modelos de suporte em níveis de suporte, o NJDOE está trabalhando para desenvolver um Manual Técnico de I&amp;RS que possa fornecer às LEAs elementos operacionais importantes para atender aos requisitos de código administrativo de I&amp;RS com um sistema em níveis de modelo de suporte. </w:t>
      </w:r>
    </w:p>
    <w:p w14:paraId="238E628B" w14:textId="77777777" w:rsidR="00774D90" w:rsidRPr="00CC1CB4" w:rsidRDefault="00000000" w:rsidP="006E4A9C">
      <w:pPr>
        <w:rPr>
          <w:rFonts w:eastAsia="Times New Roman" w:cs="Times New Roman"/>
          <w:color w:val="000000" w:themeColor="text1"/>
          <w:lang w:val="es-ES"/>
        </w:rPr>
      </w:pPr>
      <w:r>
        <w:rPr>
          <w:rFonts w:eastAsia="Times New Roman" w:cs="Times New Roman"/>
          <w:color w:val="000000"/>
          <w:lang w:val="pt-BR"/>
        </w:rPr>
        <w:t>Por meio de materiais de orientação, recursos baseados na web, treinamento presencial e suporte no local, o NJDOE auxilia educadores em escolas e as LEAs que optam por implementar o NJTSS para melhor atender às necessidades exclusivas de cada aluno.</w:t>
      </w:r>
    </w:p>
    <w:p w14:paraId="2867409F" w14:textId="77777777" w:rsidR="00774D90" w:rsidRPr="00CC1CB4" w:rsidRDefault="00000000" w:rsidP="006E4A9C">
      <w:pPr>
        <w:rPr>
          <w:rFonts w:eastAsia="Times New Roman" w:cs="Times New Roman"/>
          <w:color w:val="000000" w:themeColor="text1"/>
          <w:lang w:val="es-ES"/>
        </w:rPr>
      </w:pPr>
      <w:r>
        <w:rPr>
          <w:rFonts w:eastAsia="Times New Roman" w:cs="Times New Roman"/>
          <w:i/>
          <w:iCs/>
          <w:lang w:val="pt-BR"/>
        </w:rPr>
        <w:t>A tomada de decisão baseada em dados para abordar o absenteísmo crônico</w:t>
      </w:r>
      <w:r>
        <w:rPr>
          <w:rFonts w:eastAsia="Times New Roman" w:cs="Times New Roman"/>
          <w:lang w:val="pt-BR"/>
        </w:rPr>
        <w:t xml:space="preserve"> foi desenvolvida para fornecer às LEAs orientação sobre como responder ao absenteísmo crônico. A orientação incorpora regras, regulamentos específicos do estado e uma gama de recursos disponíveis. Escolas e LEAs podem consultar este recurso para desenvolver planos de ação baseados em pesquisa que incluem estratégias que visam especificamente as barreiras que contribuem para as ausências de seus alunos. Este recurso fornece um guia passo a passo que começa com a identificação dos principais membros da LEA, coleta e análise de dados acionáveis e apoia as LEAs na instalação e operação de um modelo em níveis para abordar o absenteísmo dos alunos e incentivar a frequência regular.</w:t>
      </w:r>
    </w:p>
    <w:p w14:paraId="1C26CA3D" w14:textId="77777777" w:rsidR="00774D90" w:rsidRPr="00CC1CB4" w:rsidRDefault="00000000" w:rsidP="006E4A9C">
      <w:pPr>
        <w:rPr>
          <w:rFonts w:eastAsia="Calibri" w:cs="Times New Roman"/>
          <w:color w:val="000000" w:themeColor="text1"/>
          <w:lang w:val="es-ES"/>
        </w:rPr>
      </w:pPr>
      <w:r>
        <w:rPr>
          <w:rFonts w:eastAsia="Times New Roman" w:cs="Times New Roman"/>
          <w:color w:val="000000"/>
          <w:lang w:val="pt-BR"/>
        </w:rPr>
        <w:t>Para que os alunos aprendam e alcancem seu potencial máximo, é fundamental que estejam na escola e envolvidos no processo de aprendizagem. A ideia por trás de uma abordagem de vários níveis ao abordar o absenteísmo crônico é que a maioria dos alunos responderá às estratégias de toda a escola para melhorar a frequência e o engajamento (conhecidos como suportes de nível 1), mas essas estratégias não serão suficientes para todos os alunos: alguns alunos exigem suporte mais personalizado (nível 2) e um número ainda menor pode precisar de medidas mais intensivas (nível 3) tomadas em seu nome para reconectá-los com a escola.</w:t>
      </w:r>
    </w:p>
    <w:p w14:paraId="17293BA9" w14:textId="7811AA1C" w:rsidR="00AB516A" w:rsidRPr="00CC1CB4" w:rsidRDefault="00000000">
      <w:pPr>
        <w:rPr>
          <w:rFonts w:eastAsia="Calibri" w:cs="Times New Roman"/>
          <w:color w:val="000000" w:themeColor="text1"/>
          <w:lang w:val="es-ES"/>
        </w:rPr>
      </w:pPr>
      <w:r>
        <w:rPr>
          <w:rFonts w:eastAsia="Times New Roman" w:cs="Times New Roman"/>
          <w:color w:val="000000"/>
          <w:lang w:val="pt-BR"/>
        </w:rPr>
        <w:t>Pesquisas mostram que ausências de alunos afetam a capacidade de uma criança de ter sucesso na escola.</w:t>
      </w:r>
      <w:r>
        <w:rPr>
          <w:rStyle w:val="af4"/>
          <w:rFonts w:eastAsia="Calibri" w:cs="Times New Roman"/>
          <w:color w:val="000000" w:themeColor="text1"/>
        </w:rPr>
        <w:footnoteReference w:id="7"/>
      </w:r>
      <w:r>
        <w:rPr>
          <w:rFonts w:eastAsia="Times New Roman" w:cs="Times New Roman"/>
          <w:color w:val="000000"/>
          <w:lang w:val="pt-BR"/>
        </w:rPr>
        <w:t xml:space="preserve"> A ausência crônica afeta quase 8 milhões de estudantes nos Estados Unidos a cada ano. Perder apenas </w:t>
      </w:r>
      <w:r>
        <w:rPr>
          <w:rFonts w:eastAsia="Times New Roman" w:cs="Times New Roman"/>
          <w:color w:val="000000"/>
          <w:lang w:val="pt-BR"/>
        </w:rPr>
        <w:lastRenderedPageBreak/>
        <w:t>dois dias por mês durante um ano letivo pode levar a sérias disparidades nos resultados dos alunos. Além disso, há evidências de que o absenteísmo crônico da escola é uma causa primária de baixa realização acadêmica e um preditor poderoso do risco de um aluno sair da escola.</w:t>
      </w:r>
    </w:p>
    <w:p w14:paraId="23E29066" w14:textId="77777777" w:rsidR="00674E07" w:rsidRPr="00CC1CB4" w:rsidRDefault="00000000" w:rsidP="00674E07">
      <w:pPr>
        <w:pStyle w:val="BeginUSED"/>
        <w:rPr>
          <w:lang w:val="es-ES"/>
        </w:rPr>
      </w:pPr>
      <w:r>
        <w:rPr>
          <w:rFonts w:eastAsia="Times New Roman"/>
          <w:color w:val="FFFFFF"/>
          <w:szCs w:val="4"/>
          <w:lang w:val="pt-BR"/>
        </w:rPr>
        <w:t xml:space="preserve">[iniciar o texto do USED] </w:t>
      </w:r>
    </w:p>
    <w:p w14:paraId="45CA4FE7" w14:textId="77777777" w:rsidR="003F0337" w:rsidRPr="00CC1CB4" w:rsidRDefault="00000000" w:rsidP="00856537">
      <w:pPr>
        <w:pStyle w:val="A20"/>
        <w:spacing w:before="0"/>
        <w:rPr>
          <w:lang w:val="es-ES"/>
        </w:rPr>
      </w:pPr>
      <w:bookmarkStart w:id="207" w:name="_Toc171333310"/>
      <w:bookmarkStart w:id="208" w:name="_Toc199403793"/>
      <w:r>
        <w:t>2. Concessão de subvenções (Seção 4103(c)(2)(B) da ESEA)</w:t>
      </w:r>
      <w:bookmarkEnd w:id="207"/>
      <w:bookmarkEnd w:id="208"/>
    </w:p>
    <w:p w14:paraId="7D682941" w14:textId="77777777" w:rsidR="00774D90" w:rsidRPr="00CC1CB4" w:rsidRDefault="00000000" w:rsidP="003F0337">
      <w:pPr>
        <w:spacing w:after="0"/>
        <w:rPr>
          <w:rFonts w:eastAsia="Aptos" w:cs="Times New Roman"/>
          <w:color w:val="244061" w:themeColor="accent1" w:themeShade="80"/>
          <w:lang w:val="es-ES"/>
        </w:rPr>
      </w:pPr>
      <w:r>
        <w:rPr>
          <w:rFonts w:ascii="Cambria" w:eastAsia="Cambria" w:hAnsi="Cambria" w:cs="Times New Roman"/>
          <w:color w:val="244061"/>
          <w:lang w:val="pt-BR"/>
        </w:rPr>
        <w:t>Descrever como o SEA garantirá que os prêmios concedidos às LEAs nos termos do Título IV, Parte A, Subparte 1 estejam em valores consistentes com a seção 4105(a)(2) da ESEA.</w:t>
      </w:r>
    </w:p>
    <w:p w14:paraId="2003A8BD" w14:textId="77777777" w:rsidR="00674E07" w:rsidRPr="00CC1CB4" w:rsidRDefault="00000000" w:rsidP="00674E07">
      <w:pPr>
        <w:pStyle w:val="EndUSED"/>
        <w:rPr>
          <w:lang w:val="es-ES"/>
        </w:rPr>
      </w:pPr>
      <w:r>
        <w:rPr>
          <w:rFonts w:eastAsia="Times New Roman"/>
          <w:color w:val="FFFFFF"/>
          <w:szCs w:val="4"/>
          <w:lang w:val="pt-BR"/>
        </w:rPr>
        <w:t xml:space="preserve">[finalizar texto do USED] </w:t>
      </w:r>
    </w:p>
    <w:p w14:paraId="476D1388" w14:textId="77777777" w:rsidR="00774D90" w:rsidRPr="00CC1CB4" w:rsidRDefault="00000000" w:rsidP="00A005A4">
      <w:pPr>
        <w:spacing w:before="240"/>
        <w:rPr>
          <w:rFonts w:eastAsia="Aptos" w:cs="Times New Roman"/>
          <w:color w:val="365F91" w:themeColor="accent1" w:themeShade="BF"/>
          <w:lang w:val="es-ES"/>
        </w:rPr>
      </w:pPr>
      <w:r>
        <w:rPr>
          <w:rFonts w:eastAsia="Times New Roman" w:cs="Times New Roman"/>
          <w:color w:val="365F91"/>
          <w:lang w:val="pt-BR"/>
        </w:rPr>
        <w:t>[iniciar a resposta do NJDOE]</w:t>
      </w:r>
    </w:p>
    <w:p w14:paraId="3E931D13" w14:textId="77777777" w:rsidR="00774D90" w:rsidRPr="00CC1CB4" w:rsidRDefault="00000000" w:rsidP="00540F00">
      <w:pPr>
        <w:rPr>
          <w:rFonts w:eastAsia="Aptos" w:cs="Times New Roman"/>
          <w:lang w:val="es-ES"/>
        </w:rPr>
      </w:pPr>
      <w:r>
        <w:rPr>
          <w:rFonts w:eastAsia="Times New Roman" w:cs="Times New Roman"/>
          <w:lang w:val="pt-BR"/>
        </w:rPr>
        <w:t>O NJDOE planeja administrar subconcessões do Título IV, Parte A, às LEAs pela fórmula. De acordo com a seção 4105(a)(2) da ESSA, o NJDOE garantirá que nenhuma alocação para uma LEA no estado seja inferior a US$ 10.000, exceto nos casos em que uma redução ratificável nas alocações da LEA for apropriada de acordo com 4105(b). Para cumprir esta exigência, o NJDOE executará uma fórmula interna com base em 4105(a)(1) e qualquer orientação USED relacionada ao Título IV, Parte A, alocações da LEA.</w:t>
      </w:r>
    </w:p>
    <w:p w14:paraId="2CCF457C" w14:textId="77777777" w:rsidR="00774D90" w:rsidRPr="00CC1CB4" w:rsidRDefault="00000000" w:rsidP="00591C2F">
      <w:pPr>
        <w:tabs>
          <w:tab w:val="left" w:pos="720"/>
        </w:tabs>
        <w:rPr>
          <w:rFonts w:eastAsia="Aptos" w:cs="Times New Roman"/>
          <w:lang w:val="es-ES"/>
        </w:rPr>
      </w:pPr>
      <w:r>
        <w:rPr>
          <w:rFonts w:eastAsia="Times New Roman" w:cs="Times New Roman"/>
          <w:lang w:val="pt-BR"/>
        </w:rPr>
        <w:t xml:space="preserve">O sistema Electronic Web-enable Grant (EWEG) do NJDOE é usado pelas LEAs para solicitar fundos da ESSA e pelo NJDOE para processar solicitações da LEA. Com a aprovação da ESSA, o NJDOE teve que atualizar o EWEG para incluir o Título IV, Parte A. Com base na orientação recebida do USED, essa parte do aplicativo está sendo projetada para que o sistema não permita uma alocação do Título IV, Parte A da LEA inferior a US$ 10.000, exceto nos casos em que uma redução rateável nas alocações da LEA for apropriada de acordo com 4105(b). </w:t>
      </w:r>
    </w:p>
    <w:p w14:paraId="26A968E3" w14:textId="77777777" w:rsidR="00540F00" w:rsidRPr="00CC1CB4" w:rsidRDefault="00000000" w:rsidP="00C41310">
      <w:pPr>
        <w:spacing w:before="240"/>
        <w:rPr>
          <w:rFonts w:eastAsia="Aptos" w:cs="Times New Roman"/>
          <w:color w:val="365F91" w:themeColor="accent1" w:themeShade="BF"/>
          <w:lang w:val="es-ES"/>
        </w:rPr>
      </w:pPr>
      <w:r>
        <w:rPr>
          <w:rFonts w:eastAsia="Times New Roman" w:cs="Times New Roman"/>
          <w:color w:val="365F91"/>
          <w:lang w:val="pt-BR"/>
        </w:rPr>
        <w:t>[finalizar resposta do NJDOE]</w:t>
      </w:r>
      <w:r>
        <w:rPr>
          <w:rFonts w:eastAsia="Times New Roman" w:cs="Times New Roman"/>
          <w:color w:val="365F91"/>
          <w:lang w:val="pt-BR"/>
        </w:rPr>
        <w:br w:type="page"/>
      </w:r>
    </w:p>
    <w:p w14:paraId="4C2980D7" w14:textId="77777777" w:rsidR="00D263DA" w:rsidRPr="00CC1CB4" w:rsidRDefault="00000000" w:rsidP="00674E07">
      <w:pPr>
        <w:pStyle w:val="BeginUSED"/>
        <w:rPr>
          <w:rFonts w:cs="Times New Roman"/>
          <w:b/>
          <w:highlight w:val="lightGray"/>
          <w:lang w:val="es-ES"/>
        </w:rPr>
      </w:pPr>
      <w:r>
        <w:rPr>
          <w:rFonts w:eastAsia="Times New Roman"/>
          <w:color w:val="FFFFFF"/>
          <w:szCs w:val="4"/>
          <w:lang w:val="pt-BR"/>
        </w:rPr>
        <w:lastRenderedPageBreak/>
        <w:t>[iniciar o texto do USED]</w:t>
      </w:r>
    </w:p>
    <w:p w14:paraId="6F4090AB" w14:textId="77777777" w:rsidR="00D263DA" w:rsidRPr="00CC1CB4" w:rsidRDefault="00000000" w:rsidP="00A005A4">
      <w:pPr>
        <w:pStyle w:val="1"/>
        <w:rPr>
          <w:lang w:val="es-ES"/>
        </w:rPr>
      </w:pPr>
      <w:bookmarkStart w:id="209" w:name="_Toc211004654"/>
      <w:r>
        <w:rPr>
          <w:rFonts w:eastAsia="Cambria"/>
          <w:szCs w:val="36"/>
          <w:lang w:val="pt-BR"/>
        </w:rPr>
        <w:t>G. Título IV, Parte B: Centros de aprendizagem comunitários Nita M. Lowey do século XXI</w:t>
      </w:r>
      <w:bookmarkEnd w:id="209"/>
    </w:p>
    <w:p w14:paraId="1AFAE4C9" w14:textId="77777777" w:rsidR="00D263DA" w:rsidRPr="00CC1CB4" w:rsidRDefault="00000000" w:rsidP="00674E07">
      <w:pPr>
        <w:pStyle w:val="EndUSED"/>
        <w:rPr>
          <w:lang w:val="es-ES"/>
        </w:rPr>
      </w:pPr>
      <w:r>
        <w:rPr>
          <w:rFonts w:eastAsia="Times New Roman"/>
          <w:color w:val="FFFFFF"/>
          <w:szCs w:val="4"/>
          <w:lang w:val="pt-BR"/>
        </w:rPr>
        <w:t>[finalizar texto do USED]</w:t>
      </w:r>
    </w:p>
    <w:p w14:paraId="2627C5D1" w14:textId="77777777" w:rsidR="00674E07" w:rsidRPr="00CC1CB4" w:rsidRDefault="00000000" w:rsidP="00A005A4">
      <w:pPr>
        <w:spacing w:before="240"/>
        <w:rPr>
          <w:rFonts w:cs="Times New Roman"/>
          <w:color w:val="365F91" w:themeColor="accent1" w:themeShade="BF"/>
          <w:lang w:val="es-ES"/>
        </w:rPr>
      </w:pPr>
      <w:r>
        <w:rPr>
          <w:rFonts w:eastAsia="Times New Roman" w:cs="Times New Roman"/>
          <w:color w:val="365F91"/>
          <w:lang w:val="pt-BR"/>
        </w:rPr>
        <w:t>[iniciar a resposta do NJDOE]</w:t>
      </w:r>
    </w:p>
    <w:p w14:paraId="5EDCB1C0" w14:textId="77777777" w:rsidR="00D263DA" w:rsidRPr="00856537" w:rsidRDefault="00000000" w:rsidP="00856537">
      <w:pPr>
        <w:pStyle w:val="A20"/>
        <w:spacing w:before="0"/>
      </w:pPr>
      <w:bookmarkStart w:id="210" w:name="_Toc171333312"/>
      <w:bookmarkStart w:id="211" w:name="_Toc199403795"/>
      <w:r>
        <w:t>Visão geral</w:t>
      </w:r>
      <w:bookmarkEnd w:id="210"/>
      <w:bookmarkEnd w:id="211"/>
    </w:p>
    <w:p w14:paraId="539BEFE3" w14:textId="77777777" w:rsidR="00D263DA" w:rsidRPr="00CC1CB4" w:rsidRDefault="00000000" w:rsidP="00D263DA">
      <w:pPr>
        <w:rPr>
          <w:rFonts w:cs="Times New Roman"/>
          <w:lang w:val="es-ES"/>
        </w:rPr>
      </w:pPr>
      <w:r>
        <w:rPr>
          <w:rFonts w:eastAsia="Times New Roman" w:cs="Times New Roman"/>
          <w:lang w:val="pt-BR"/>
        </w:rPr>
        <w:t>Sob o Título IV, Parte B, Centros de aprendizagem comunitários Nita M. Lowey do século XXI (CCLCs XXI) são definidos como centros que oferecem, fora do horário escolar ou em períodos em que a escola não está em sessão, atividades de remediação acadêmica e enriquecimento em conjunto com uma ampla gama de serviços adicionais, programas, e atividades que são projetadas para reforçar e complementar o programa acadêmico regular dos alunos participantes, incluindo atividades de desenvolvimento juvenil; aprendizagem de serviço; nutrição e educação em saúde; programas de prevenção de drogas e violência; programas de aconselhamento; artes, música, programas de fitness físico e bem-estar; programas de educação em tecnologia; programas de alfabetização financeira e ambiental; matemática, ciência, carreira e técnica, programas de estágio ou aprendizagem; e outros vínculos com um setor industrial sob demanda ou ocupação para alunos do ensino médio. Os centros também oferecem às famílias de alunos oportunidades de envolvimento ativo e significativo na educação de seus filhos, incluindo alfabetização e desenvolvimento educacional relacionado.</w:t>
      </w:r>
    </w:p>
    <w:p w14:paraId="204EA8D7" w14:textId="77777777" w:rsidR="00D263DA" w:rsidRPr="00CC1CB4" w:rsidRDefault="00000000" w:rsidP="00674E07">
      <w:pPr>
        <w:pStyle w:val="BeginUSED"/>
        <w:rPr>
          <w:rFonts w:cs="Times New Roman"/>
          <w:lang w:val="es-ES"/>
        </w:rPr>
      </w:pPr>
      <w:r>
        <w:rPr>
          <w:rFonts w:eastAsia="Times New Roman"/>
          <w:color w:val="FFFFFF"/>
          <w:szCs w:val="4"/>
          <w:lang w:val="pt-BR"/>
        </w:rPr>
        <w:t xml:space="preserve">[iniciar o texto do USED] </w:t>
      </w:r>
    </w:p>
    <w:p w14:paraId="04AFFDA0" w14:textId="77777777" w:rsidR="006A659B" w:rsidRPr="00856537" w:rsidRDefault="00000000" w:rsidP="00856537">
      <w:pPr>
        <w:pStyle w:val="A20"/>
        <w:spacing w:before="0"/>
      </w:pPr>
      <w:bookmarkStart w:id="212" w:name="_Toc171333313"/>
      <w:bookmarkStart w:id="213" w:name="_Toc199403796"/>
      <w:r>
        <w:t>1</w:t>
      </w:r>
      <w:r w:rsidRPr="00856537">
        <w:t>.</w:t>
      </w:r>
      <w:r>
        <w:t xml:space="preserve"> Uso de fundos (Seção 4203(a)(2) da ESEA)</w:t>
      </w:r>
      <w:bookmarkEnd w:id="212"/>
      <w:bookmarkEnd w:id="213"/>
    </w:p>
    <w:p w14:paraId="6EA19B78" w14:textId="77777777" w:rsidR="00D263DA" w:rsidRPr="00CC1CB4" w:rsidRDefault="00000000" w:rsidP="006A659B">
      <w:pPr>
        <w:pStyle w:val="blue"/>
        <w:spacing w:after="0"/>
        <w:ind w:left="0"/>
        <w:rPr>
          <w:lang w:val="es-ES"/>
        </w:rPr>
      </w:pPr>
      <w:r>
        <w:rPr>
          <w:rFonts w:ascii="Cambria" w:eastAsia="Cambria" w:hAnsi="Cambria"/>
          <w:lang w:val="pt-BR"/>
        </w:rPr>
        <w:t>Descrever como o SEA usará os fundos recebidos no programa Centros de aprendizagem comunitários do século XXI, incluindo fundos reservados para atividades em nível estadual.</w:t>
      </w:r>
      <w:bookmarkStart w:id="214" w:name="_Hlk154737080"/>
    </w:p>
    <w:p w14:paraId="48D63B36" w14:textId="77777777" w:rsidR="00674E07" w:rsidRPr="00CC1CB4" w:rsidRDefault="00000000" w:rsidP="00674E07">
      <w:pPr>
        <w:pStyle w:val="EndUSED"/>
        <w:rPr>
          <w:lang w:val="es-ES"/>
        </w:rPr>
      </w:pPr>
      <w:r>
        <w:rPr>
          <w:rFonts w:eastAsia="Times New Roman"/>
          <w:color w:val="FFFFFF"/>
          <w:szCs w:val="4"/>
          <w:lang w:val="pt-BR"/>
        </w:rPr>
        <w:t xml:space="preserve">[finalizar texto do USED] </w:t>
      </w:r>
    </w:p>
    <w:p w14:paraId="5DAA60C1" w14:textId="77777777" w:rsidR="00D263DA" w:rsidRPr="00CC1CB4" w:rsidRDefault="00000000" w:rsidP="00476CBB">
      <w:pPr>
        <w:spacing w:before="240"/>
        <w:rPr>
          <w:rStyle w:val="af9"/>
          <w:rFonts w:cs="Times New Roman"/>
          <w:b w:val="0"/>
          <w:color w:val="365F91" w:themeColor="accent1" w:themeShade="BF"/>
          <w:sz w:val="22"/>
          <w:lang w:val="es-ES"/>
        </w:rPr>
      </w:pPr>
      <w:r>
        <w:rPr>
          <w:rStyle w:val="NJDOEResponse"/>
          <w:rFonts w:eastAsia="Times New Roman"/>
          <w:color w:val="365F91"/>
          <w:lang w:val="pt-BR"/>
        </w:rPr>
        <w:t>[iniciar a resposta do NJDOE]</w:t>
      </w:r>
    </w:p>
    <w:p w14:paraId="6C4EB9A8" w14:textId="77777777" w:rsidR="00D263DA" w:rsidRPr="00CC1CB4" w:rsidRDefault="00000000" w:rsidP="00856537">
      <w:pPr>
        <w:pStyle w:val="A30"/>
      </w:pPr>
      <w:bookmarkStart w:id="215" w:name="_Toc199403797"/>
      <w:r>
        <w:t>Visão para os Centros de aprendizagem comunitários do século XXI em Nova Jersey</w:t>
      </w:r>
      <w:bookmarkEnd w:id="215"/>
    </w:p>
    <w:bookmarkEnd w:id="214"/>
    <w:p w14:paraId="2335514D" w14:textId="77777777" w:rsidR="00D263DA" w:rsidRPr="0045153F" w:rsidRDefault="00000000" w:rsidP="00A36289">
      <w:pPr>
        <w:spacing w:after="120" w:line="259" w:lineRule="auto"/>
        <w:rPr>
          <w:rFonts w:cs="Times New Roman"/>
        </w:rPr>
      </w:pPr>
      <w:r>
        <w:rPr>
          <w:rFonts w:eastAsia="Times New Roman" w:cs="Times New Roman"/>
          <w:lang w:val="pt-BR"/>
        </w:rPr>
        <w:t>A visão do Programa de CCLC do sec. XXI de Nova Jersey é apoiar o desenvolvimento de programas de alta qualidade fora do horário escolar por meio de centros de aprendizagem comunitários que fornecem serviços que afetam as habilidades acadêmicas e sociais dos jovens participantes. A prestação de serviços por meio dos programas de CCLCs do sec. XXI em todo o estado:</w:t>
      </w:r>
    </w:p>
    <w:p w14:paraId="4F7CC6C5" w14:textId="77777777" w:rsidR="00D263DA" w:rsidRPr="00CC1CB4" w:rsidRDefault="00000000" w:rsidP="004A435B">
      <w:pPr>
        <w:pStyle w:val="a6"/>
        <w:numPr>
          <w:ilvl w:val="0"/>
          <w:numId w:val="83"/>
        </w:numPr>
        <w:spacing w:after="100" w:line="259" w:lineRule="auto"/>
        <w:contextualSpacing w:val="0"/>
        <w:rPr>
          <w:rFonts w:cs="Times New Roman"/>
          <w:lang w:val="es-ES"/>
        </w:rPr>
      </w:pPr>
      <w:r>
        <w:rPr>
          <w:rFonts w:eastAsia="Times New Roman" w:cs="Times New Roman"/>
          <w:lang w:val="pt-BR"/>
        </w:rPr>
        <w:t>aumentar a prontidão profissional e universitária dos alunos, oferecendo atividades de remediação de alta qualidade em áreas acadêmicas essenciais, como ELA e matemática, e atividades de enriquecimento, incluindo artes e cultura, experiências de desenvolvimento juvenil e atividade física;</w:t>
      </w:r>
    </w:p>
    <w:p w14:paraId="00E25E91" w14:textId="77777777" w:rsidR="00D263DA" w:rsidRPr="00CC1CB4" w:rsidRDefault="00000000" w:rsidP="004A435B">
      <w:pPr>
        <w:pStyle w:val="a6"/>
        <w:numPr>
          <w:ilvl w:val="0"/>
          <w:numId w:val="83"/>
        </w:numPr>
        <w:spacing w:after="100" w:line="259" w:lineRule="auto"/>
        <w:contextualSpacing w:val="0"/>
        <w:rPr>
          <w:rFonts w:cs="Times New Roman"/>
          <w:lang w:val="es-ES"/>
        </w:rPr>
      </w:pPr>
      <w:r>
        <w:rPr>
          <w:rFonts w:eastAsia="Times New Roman" w:cs="Times New Roman"/>
          <w:lang w:val="pt-BR"/>
        </w:rPr>
        <w:t>aumentar o comportamento positivo dos alunos infundindo o desenvolvimento social, emocional e de caráter no programa;</w:t>
      </w:r>
    </w:p>
    <w:p w14:paraId="0752A2D7" w14:textId="77777777" w:rsidR="00D263DA" w:rsidRPr="00CC1CB4" w:rsidRDefault="00000000">
      <w:pPr>
        <w:pStyle w:val="a6"/>
        <w:numPr>
          <w:ilvl w:val="0"/>
          <w:numId w:val="83"/>
        </w:numPr>
        <w:spacing w:after="120" w:line="259" w:lineRule="auto"/>
        <w:contextualSpacing w:val="0"/>
        <w:rPr>
          <w:rFonts w:cs="Times New Roman"/>
          <w:lang w:val="es-ES"/>
        </w:rPr>
      </w:pPr>
      <w:r>
        <w:rPr>
          <w:rFonts w:eastAsia="Times New Roman" w:cs="Times New Roman"/>
          <w:lang w:val="pt-BR"/>
        </w:rPr>
        <w:lastRenderedPageBreak/>
        <w:t>envolver os familiares adultos dos alunos servidos através da participação em uma série de atividades de envolvimento dos pais;</w:t>
      </w:r>
    </w:p>
    <w:p w14:paraId="083DD47F" w14:textId="77777777" w:rsidR="006415C4" w:rsidRPr="00CC1CB4" w:rsidRDefault="00000000">
      <w:pPr>
        <w:pStyle w:val="a6"/>
        <w:numPr>
          <w:ilvl w:val="0"/>
          <w:numId w:val="83"/>
        </w:numPr>
        <w:spacing w:after="240" w:line="259" w:lineRule="auto"/>
        <w:rPr>
          <w:rFonts w:cs="Times New Roman"/>
          <w:lang w:val="es-ES"/>
        </w:rPr>
      </w:pPr>
      <w:r>
        <w:rPr>
          <w:rFonts w:eastAsia="Times New Roman" w:cs="Times New Roman"/>
          <w:lang w:val="pt-BR"/>
        </w:rPr>
        <w:t>estabelecer e manter parcerias e relacionamentos colaborativos para garantir o acesso dos participantes a todos os recursos disponíveis por meio de esforços coordenados e para sustentar programas.</w:t>
      </w:r>
    </w:p>
    <w:p w14:paraId="470DC891" w14:textId="77777777" w:rsidR="00D263DA" w:rsidRPr="0045153F" w:rsidRDefault="00000000" w:rsidP="00224572">
      <w:pPr>
        <w:spacing w:after="120" w:line="259" w:lineRule="auto"/>
        <w:rPr>
          <w:rFonts w:cs="Times New Roman"/>
        </w:rPr>
      </w:pPr>
      <w:r>
        <w:rPr>
          <w:rFonts w:eastAsia="Times New Roman" w:cs="Times New Roman"/>
          <w:lang w:val="pt-BR"/>
        </w:rPr>
        <w:t>Para integrar informações e habilidades entre conteúdos e promover o alinhamento dos CCLCs do sec. XXI com o dia escolar e fornecer um contínuo de experiências educacionais, o NJDOE exige que os beneficiários dos CCLCs do sec. XXI se concentrem em um dos seguintes temas:</w:t>
      </w:r>
    </w:p>
    <w:p w14:paraId="76D43C40" w14:textId="77777777" w:rsidR="00224572" w:rsidRPr="00CC1CB4" w:rsidRDefault="00000000">
      <w:pPr>
        <w:pStyle w:val="a6"/>
        <w:numPr>
          <w:ilvl w:val="0"/>
          <w:numId w:val="84"/>
        </w:numPr>
        <w:spacing w:after="120" w:line="259" w:lineRule="auto"/>
        <w:contextualSpacing w:val="0"/>
        <w:rPr>
          <w:rFonts w:cs="Times New Roman"/>
          <w:lang w:val="es-ES"/>
        </w:rPr>
      </w:pPr>
      <w:r>
        <w:rPr>
          <w:rFonts w:eastAsia="Times New Roman" w:cs="Times New Roman"/>
          <w:lang w:val="pt-BR"/>
        </w:rPr>
        <w:t>ciência, tecnologia, engenharia e matemática (STEM);</w:t>
      </w:r>
    </w:p>
    <w:p w14:paraId="4718560A" w14:textId="77777777" w:rsidR="00D263DA" w:rsidRPr="00224572" w:rsidRDefault="00000000">
      <w:pPr>
        <w:pStyle w:val="a6"/>
        <w:numPr>
          <w:ilvl w:val="0"/>
          <w:numId w:val="84"/>
        </w:numPr>
        <w:spacing w:after="120" w:line="259" w:lineRule="auto"/>
        <w:contextualSpacing w:val="0"/>
        <w:rPr>
          <w:rFonts w:cs="Times New Roman"/>
        </w:rPr>
      </w:pPr>
      <w:r>
        <w:rPr>
          <w:rFonts w:eastAsia="Times New Roman" w:cs="Times New Roman"/>
          <w:lang w:val="pt-BR"/>
        </w:rPr>
        <w:t>envolvimento cívico;</w:t>
      </w:r>
    </w:p>
    <w:p w14:paraId="0BA9A1F7" w14:textId="77777777" w:rsidR="00D263DA" w:rsidRPr="00CC1CB4" w:rsidRDefault="00000000">
      <w:pPr>
        <w:pStyle w:val="a6"/>
        <w:numPr>
          <w:ilvl w:val="0"/>
          <w:numId w:val="84"/>
        </w:numPr>
        <w:spacing w:after="120" w:line="259" w:lineRule="auto"/>
        <w:contextualSpacing w:val="0"/>
        <w:rPr>
          <w:rFonts w:cs="Times New Roman"/>
          <w:lang w:val="es-ES"/>
        </w:rPr>
      </w:pPr>
      <w:r>
        <w:rPr>
          <w:rFonts w:eastAsia="Times New Roman" w:cs="Times New Roman"/>
          <w:lang w:val="pt-BR"/>
        </w:rPr>
        <w:t>conscientização e exploração de carreira;</w:t>
      </w:r>
    </w:p>
    <w:p w14:paraId="05B73C87" w14:textId="77777777" w:rsidR="006415C4" w:rsidRDefault="00000000">
      <w:pPr>
        <w:pStyle w:val="a6"/>
        <w:numPr>
          <w:ilvl w:val="0"/>
          <w:numId w:val="84"/>
        </w:numPr>
        <w:spacing w:after="0" w:line="259" w:lineRule="auto"/>
        <w:rPr>
          <w:rFonts w:cs="Times New Roman"/>
        </w:rPr>
      </w:pPr>
      <w:r>
        <w:rPr>
          <w:rFonts w:eastAsia="Times New Roman" w:cs="Times New Roman"/>
          <w:lang w:val="pt-BR"/>
        </w:rPr>
        <w:t>artes visuais e cênicas.</w:t>
      </w:r>
    </w:p>
    <w:p w14:paraId="6199B892" w14:textId="77777777" w:rsidR="00D263DA" w:rsidRPr="00CC1CB4" w:rsidRDefault="00000000" w:rsidP="00856537">
      <w:pPr>
        <w:pStyle w:val="A30"/>
      </w:pPr>
      <w:bookmarkStart w:id="216" w:name="_Toc199403798"/>
      <w:r>
        <w:t>Uso de fundos em Nova Jersey para centros de aprendizagem comunitários do século XXI</w:t>
      </w:r>
      <w:bookmarkEnd w:id="216"/>
    </w:p>
    <w:p w14:paraId="614A9559" w14:textId="77777777" w:rsidR="00D263DA" w:rsidRPr="00CC1CB4" w:rsidRDefault="00000000" w:rsidP="00D263DA">
      <w:pPr>
        <w:rPr>
          <w:rFonts w:cs="Times New Roman"/>
          <w:lang w:val="es-ES"/>
        </w:rPr>
      </w:pPr>
      <w:r>
        <w:rPr>
          <w:rFonts w:eastAsia="Times New Roman" w:cs="Times New Roman"/>
          <w:lang w:val="pt-BR"/>
        </w:rPr>
        <w:t>O NJDOE usará o financiamento federal para apoiar e sustentar o uso dos 21º programas de CCLC que oferecem oportunidades de enriquecimento acadêmico durante horários não escolares para crianças, particularmente aquelas que estão mais necessitadas. O programa ajuda os alunos a atender aos padrões estaduais e locais dos alunos em assuntos acadêmicos centrais, como ELA e matemática; oferece aos alunos uma ampla gama de atividades de enriquecimento que podem complementar os programas acadêmicos regulares dos estudantes; e oferece alfabetização e outros serviços educacionais para as famílias das crianças participantes. Em média, há aproximadamente 65 programas CCLC do sec. XXI operando anualmente em Nova Jersey. Os programas atualmente recebem prêmios de US$ 250.000 a US$ 550.000 por ano por cinco anos. Observe que Nova Jersey prevê aumentar o valor do prêmio periodicamente para contabilizar a inflação. Uma solicitação de subsídio competitivo é lançada a cada primavera.</w:t>
      </w:r>
    </w:p>
    <w:p w14:paraId="05506F25" w14:textId="77777777" w:rsidR="00D263DA" w:rsidRPr="00CC1CB4" w:rsidRDefault="00000000" w:rsidP="00D263DA">
      <w:pPr>
        <w:rPr>
          <w:rFonts w:cs="Times New Roman"/>
          <w:lang w:val="es-ES"/>
        </w:rPr>
      </w:pPr>
      <w:r>
        <w:rPr>
          <w:rFonts w:eastAsia="Times New Roman" w:cs="Times New Roman"/>
          <w:lang w:val="pt-BR"/>
        </w:rPr>
        <w:t>Conforme permitido na ESSA, o NJDOE também pretende usar fundos para apoiar a equipe do NJDOE e prestadores contratados para supervisionar e apoiar a implementação de programas de qualidade do CCLC do sec. XXI, que incluem monitoramento, suporte ao desenvolvimento de capacidade, treinamento e assistência técnica, para garantir que os beneficiários alinhem suas atividades com os padrões acadêmicos estaduais desafiadores e conduzam uma avaliação abrangente da eficácia dos programas e atividades. O NJDOE contrata um provedor externo para realizar uma avaliação estadual dos programas CCLC do sec. XXI. A avaliação em nível estadual inclui uma avaliação do progresso do beneficiário para alcançar as metas e objetivos exigidos pelo estado; o impacto sobre os jovens e suas famílias; e a eficácia da administração do programa CCLC do sec. XXI pelo estado. O American Institutes for Research (AIR) administra pesquisas com funcionários, jovens e pais, entrevista funcionários do programa e analisa dados qualitativos e quantitativos e fornecerá uma série de webinars e apresentações que apoiam os esforços de melhoria da qualidade, incluindo planejamento regional com sessões de dados.</w:t>
      </w:r>
    </w:p>
    <w:p w14:paraId="79C4A2EC" w14:textId="77777777" w:rsidR="00D263DA" w:rsidRPr="0045153F" w:rsidRDefault="00000000" w:rsidP="00D263DA">
      <w:pPr>
        <w:spacing w:after="120"/>
        <w:rPr>
          <w:rFonts w:cs="Times New Roman"/>
        </w:rPr>
      </w:pPr>
      <w:r>
        <w:rPr>
          <w:rFonts w:eastAsia="Times New Roman" w:cs="Times New Roman"/>
          <w:lang w:val="pt-BR"/>
        </w:rPr>
        <w:lastRenderedPageBreak/>
        <w:t xml:space="preserve">Além disso, o NJDOE concedeu um subsídio a um fornecedor de treinamento e assistência técnica para melhorar a qualidade da programação após a escola, no verão e antes da escola e construir a capacidade da equipe em todos os programas CCLC do sec. XXI. Os serviços abrangem as quatro áreas a seguir: </w:t>
      </w:r>
    </w:p>
    <w:p w14:paraId="07AB38B1" w14:textId="77777777" w:rsidR="00D263DA" w:rsidRPr="00CC1CB4" w:rsidRDefault="00000000">
      <w:pPr>
        <w:pStyle w:val="a6"/>
        <w:numPr>
          <w:ilvl w:val="0"/>
          <w:numId w:val="82"/>
        </w:numPr>
        <w:spacing w:after="120" w:line="259" w:lineRule="auto"/>
        <w:contextualSpacing w:val="0"/>
        <w:rPr>
          <w:rFonts w:cs="Times New Roman"/>
          <w:lang w:val="es-ES"/>
        </w:rPr>
      </w:pPr>
      <w:r>
        <w:rPr>
          <w:rFonts w:eastAsia="Times New Roman" w:cs="Times New Roman"/>
          <w:lang w:val="pt-BR"/>
        </w:rPr>
        <w:t xml:space="preserve">desenvolver e conduzir treinamento de capacitação e assistência técnica para os beneficiários; </w:t>
      </w:r>
    </w:p>
    <w:p w14:paraId="4EAA82A4" w14:textId="77777777" w:rsidR="00D263DA" w:rsidRPr="00CC1CB4" w:rsidRDefault="00000000">
      <w:pPr>
        <w:pStyle w:val="a6"/>
        <w:numPr>
          <w:ilvl w:val="0"/>
          <w:numId w:val="82"/>
        </w:numPr>
        <w:spacing w:after="120" w:line="259" w:lineRule="auto"/>
        <w:contextualSpacing w:val="0"/>
        <w:rPr>
          <w:rFonts w:cs="Times New Roman"/>
          <w:lang w:val="es-ES"/>
        </w:rPr>
      </w:pPr>
      <w:r>
        <w:rPr>
          <w:rFonts w:eastAsia="Times New Roman" w:cs="Times New Roman"/>
          <w:lang w:val="pt-BR"/>
        </w:rPr>
        <w:t>auxiliar o NJDOE a garantir a implementação de programas de qualidade;</w:t>
      </w:r>
    </w:p>
    <w:p w14:paraId="7E62AB16" w14:textId="77777777" w:rsidR="00D263DA" w:rsidRPr="00CC1CB4" w:rsidRDefault="00000000">
      <w:pPr>
        <w:pStyle w:val="a6"/>
        <w:numPr>
          <w:ilvl w:val="0"/>
          <w:numId w:val="82"/>
        </w:numPr>
        <w:spacing w:after="120" w:line="259" w:lineRule="auto"/>
        <w:contextualSpacing w:val="0"/>
        <w:rPr>
          <w:rFonts w:cs="Times New Roman"/>
          <w:lang w:val="es-ES"/>
        </w:rPr>
      </w:pPr>
      <w:r>
        <w:rPr>
          <w:rFonts w:eastAsia="Times New Roman" w:cs="Times New Roman"/>
          <w:lang w:val="pt-BR"/>
        </w:rPr>
        <w:t xml:space="preserve">facilitar oportunidades de networking para provedores de programas de tempo fora da escola em Nova Jersey; </w:t>
      </w:r>
    </w:p>
    <w:p w14:paraId="2A4A5F35" w14:textId="77777777" w:rsidR="006415C4" w:rsidRPr="00CC1CB4" w:rsidRDefault="00000000" w:rsidP="004A435B">
      <w:pPr>
        <w:pStyle w:val="a6"/>
        <w:numPr>
          <w:ilvl w:val="0"/>
          <w:numId w:val="82"/>
        </w:numPr>
        <w:spacing w:after="120" w:line="259" w:lineRule="auto"/>
        <w:contextualSpacing w:val="0"/>
        <w:rPr>
          <w:rFonts w:cs="Times New Roman"/>
          <w:lang w:val="es-ES"/>
        </w:rPr>
      </w:pPr>
      <w:r>
        <w:rPr>
          <w:rFonts w:eastAsia="Times New Roman" w:cs="Times New Roman"/>
          <w:lang w:val="pt-BR"/>
        </w:rPr>
        <w:t xml:space="preserve">usar estratégias orientadas por dados para aprimorar treinamentos e assistência técnica. </w:t>
      </w:r>
    </w:p>
    <w:p w14:paraId="0233439B" w14:textId="58B7E05E" w:rsidR="00D263DA" w:rsidRPr="00CC1CB4" w:rsidRDefault="00000000" w:rsidP="00D263DA">
      <w:pPr>
        <w:rPr>
          <w:rStyle w:val="NJDOEResponse"/>
          <w:lang w:val="es-ES"/>
        </w:rPr>
      </w:pPr>
      <w:r>
        <w:rPr>
          <w:rStyle w:val="NJDOEResponse"/>
          <w:rFonts w:eastAsia="Times New Roman"/>
          <w:color w:val="365F91"/>
          <w:lang w:val="pt-BR"/>
        </w:rPr>
        <w:t>[finalizar resposta do NJDOE]</w:t>
      </w:r>
    </w:p>
    <w:p w14:paraId="03B55280" w14:textId="77777777" w:rsidR="00D263DA" w:rsidRPr="00CC1CB4" w:rsidRDefault="00000000" w:rsidP="009B56E4">
      <w:pPr>
        <w:pStyle w:val="BeginUSED"/>
        <w:rPr>
          <w:rFonts w:cs="Times New Roman"/>
          <w:color w:val="183C5C"/>
          <w:lang w:val="es-ES"/>
        </w:rPr>
      </w:pPr>
      <w:r>
        <w:rPr>
          <w:rFonts w:eastAsia="Times New Roman"/>
          <w:color w:val="FFFFFF"/>
          <w:szCs w:val="4"/>
          <w:lang w:val="pt-BR"/>
        </w:rPr>
        <w:t>[iniciar o texto do USED]</w:t>
      </w:r>
    </w:p>
    <w:p w14:paraId="5E2AAD07" w14:textId="77777777" w:rsidR="00650B1C" w:rsidRPr="00856537" w:rsidRDefault="00000000" w:rsidP="00856537">
      <w:pPr>
        <w:pStyle w:val="A20"/>
        <w:spacing w:before="0"/>
      </w:pPr>
      <w:bookmarkStart w:id="217" w:name="_Toc171333314"/>
      <w:bookmarkStart w:id="218" w:name="_Toc199403799"/>
      <w:r>
        <w:t>2. Concessão de subvenções (Seção 4203(a)(4) da ESEA)</w:t>
      </w:r>
      <w:bookmarkEnd w:id="217"/>
      <w:bookmarkEnd w:id="218"/>
    </w:p>
    <w:p w14:paraId="263CBCAD" w14:textId="77777777" w:rsidR="00D263DA" w:rsidRPr="00CC1CB4" w:rsidRDefault="00000000" w:rsidP="00650B1C">
      <w:pPr>
        <w:pStyle w:val="blue"/>
        <w:spacing w:after="120"/>
        <w:ind w:left="0"/>
        <w:rPr>
          <w:lang w:val="es-ES"/>
        </w:rPr>
      </w:pPr>
      <w:r>
        <w:rPr>
          <w:rFonts w:ascii="Cambria" w:eastAsia="Cambria" w:hAnsi="Cambria"/>
          <w:lang w:val="pt-BR"/>
        </w:rPr>
        <w:t>Descrever os procedimentos e critérios que o SEA usará para analisar as solicitações e conceder fundos dos Centros de aprendizagem comunitários do século XXI a entidades elegíveis de forma competitiva, o que deve incluir procedimentos e critérios que levem em consideração a probabilidade de que um centro de aprendizagem comunitário proposto ajude os alunos participantes a atender aos padrões acadêmicos estaduais desafiadores e a quaisquer padrões acadêmicos locais.</w:t>
      </w:r>
    </w:p>
    <w:p w14:paraId="031F0CEC" w14:textId="77777777" w:rsidR="009B56E4" w:rsidRPr="00CC1CB4" w:rsidRDefault="00000000" w:rsidP="009B56E4">
      <w:pPr>
        <w:pStyle w:val="EndUSED"/>
        <w:rPr>
          <w:lang w:val="es-ES"/>
        </w:rPr>
      </w:pPr>
      <w:r>
        <w:rPr>
          <w:rFonts w:eastAsia="Times New Roman"/>
          <w:color w:val="FFFFFF"/>
          <w:szCs w:val="4"/>
          <w:lang w:val="pt-BR"/>
        </w:rPr>
        <w:t xml:space="preserve">[finalizar texto do USED] </w:t>
      </w:r>
    </w:p>
    <w:p w14:paraId="593F6591" w14:textId="77777777" w:rsidR="00D263DA" w:rsidRPr="00CC1CB4" w:rsidRDefault="00000000" w:rsidP="008144E1">
      <w:pPr>
        <w:pStyle w:val="a6"/>
        <w:spacing w:before="240"/>
        <w:ind w:left="0"/>
        <w:rPr>
          <w:rStyle w:val="NJDOEResponse"/>
          <w:lang w:val="es-ES"/>
        </w:rPr>
      </w:pPr>
      <w:r>
        <w:rPr>
          <w:rStyle w:val="NJDOEResponse"/>
          <w:rFonts w:eastAsia="Times New Roman"/>
          <w:color w:val="365F91"/>
          <w:lang w:val="pt-BR"/>
        </w:rPr>
        <w:t>[iniciar a resposta do NJDOE]</w:t>
      </w:r>
    </w:p>
    <w:p w14:paraId="70284F7B" w14:textId="77777777" w:rsidR="00D263DA" w:rsidRPr="00CC1CB4" w:rsidRDefault="00000000" w:rsidP="00856537">
      <w:pPr>
        <w:pStyle w:val="A30"/>
      </w:pPr>
      <w:bookmarkStart w:id="219" w:name="_Toc199403800"/>
      <w:r>
        <w:t>Disposições gerais de subconcessões do SEA</w:t>
      </w:r>
      <w:bookmarkEnd w:id="219"/>
    </w:p>
    <w:p w14:paraId="557E106D" w14:textId="77777777" w:rsidR="00D263DA" w:rsidRPr="00CC1CB4" w:rsidRDefault="00000000" w:rsidP="00D263DA">
      <w:pPr>
        <w:rPr>
          <w:rFonts w:cs="Times New Roman"/>
          <w:lang w:val="es-ES"/>
        </w:rPr>
      </w:pPr>
      <w:r>
        <w:rPr>
          <w:rFonts w:eastAsia="Times New Roman" w:cs="Times New Roman"/>
          <w:lang w:val="pt-BR"/>
        </w:rPr>
        <w:t>O NJDOE continuará a distribuir fundos do Título IV, Parte B, por meio dos procedimentos e processos estabelecidos pelo Escritório de Gestão de Subvenções. Os prêmios serão emitidos em uma base competitiva anual à medida que os fundos estiverem disponíveis. Os participantes deverão enviar relatórios trimestrais fiscais e do programa para verificar se as despesas e atividades estão alinhadas com os objetivos do programa. Além disso, o NJDOE conduzirá visitas de monitoramento e qualidade no local para os subcontratados dos CCLCs do sec. XXI em seu primeiro e terceiro anos de financiamento.</w:t>
      </w:r>
    </w:p>
    <w:p w14:paraId="6049116B" w14:textId="77777777" w:rsidR="00D263DA" w:rsidRPr="00CC1CB4" w:rsidRDefault="00000000" w:rsidP="00D263DA">
      <w:pPr>
        <w:spacing w:after="120"/>
        <w:rPr>
          <w:rFonts w:cs="Times New Roman"/>
          <w:lang w:val="es-ES"/>
        </w:rPr>
      </w:pPr>
      <w:r>
        <w:rPr>
          <w:rFonts w:eastAsia="Times New Roman" w:cs="Times New Roman"/>
          <w:lang w:val="pt-BR"/>
        </w:rPr>
        <w:t>O NJDOE libera um total de dois avisos de oportunidades de subvenção (notices of grant opportunities, NGOs):</w:t>
      </w:r>
    </w:p>
    <w:p w14:paraId="6E2E1E52" w14:textId="77777777" w:rsidR="00D263DA" w:rsidRPr="00CC1CB4" w:rsidRDefault="00000000">
      <w:pPr>
        <w:pStyle w:val="a6"/>
        <w:numPr>
          <w:ilvl w:val="0"/>
          <w:numId w:val="85"/>
        </w:numPr>
        <w:spacing w:after="120" w:line="259" w:lineRule="auto"/>
        <w:contextualSpacing w:val="0"/>
        <w:rPr>
          <w:rFonts w:cs="Times New Roman"/>
          <w:lang w:val="es-ES"/>
        </w:rPr>
      </w:pPr>
      <w:r>
        <w:rPr>
          <w:rFonts w:eastAsia="Times New Roman" w:cs="Times New Roman"/>
          <w:lang w:val="pt-BR"/>
        </w:rPr>
        <w:t>NGO competitivo dos CCLCs do sec. XXI por um período de concessão de cinco anos;</w:t>
      </w:r>
    </w:p>
    <w:p w14:paraId="7A4E1191" w14:textId="77777777" w:rsidR="00D263DA" w:rsidRPr="00CC1CB4" w:rsidRDefault="00000000">
      <w:pPr>
        <w:pStyle w:val="a6"/>
        <w:numPr>
          <w:ilvl w:val="0"/>
          <w:numId w:val="85"/>
        </w:numPr>
        <w:spacing w:after="120" w:line="259" w:lineRule="auto"/>
        <w:contextualSpacing w:val="0"/>
        <w:rPr>
          <w:rFonts w:cs="Times New Roman"/>
          <w:lang w:val="es-ES"/>
        </w:rPr>
      </w:pPr>
      <w:r>
        <w:rPr>
          <w:rFonts w:eastAsia="Times New Roman" w:cs="Times New Roman"/>
          <w:lang w:val="pt-BR"/>
        </w:rPr>
        <w:t>NGO não competitivo de continuação dos CCLCs do sec. XXI para agências nos anos dois a cinco.</w:t>
      </w:r>
    </w:p>
    <w:p w14:paraId="2004E987" w14:textId="77777777" w:rsidR="00D263DA" w:rsidRPr="00CC1CB4" w:rsidRDefault="00000000" w:rsidP="00D263DA">
      <w:pPr>
        <w:rPr>
          <w:rFonts w:cs="Times New Roman"/>
          <w:lang w:val="es-ES"/>
        </w:rPr>
      </w:pPr>
      <w:r>
        <w:rPr>
          <w:rFonts w:eastAsia="Times New Roman" w:cs="Times New Roman"/>
          <w:lang w:val="pt-BR"/>
        </w:rPr>
        <w:t>Os subcontratados dos CCLCs do sec. XXI são obrigados a fornecer programas após a escola e de verão de 1º de setembro a 31 de agosto para cada ano em que o subcontratado receber financiamento. O número mínimo de alunos que cada prestador deve atender é 75. Fornecer programas antes da escola é opcional. Com base no feedback das partes interessadas, o NJDOE permitirá que os subcontratados atendam alunos em qualquer ano do 3o ao 12o ou em vários anos.</w:t>
      </w:r>
    </w:p>
    <w:p w14:paraId="777FB1A3" w14:textId="77777777" w:rsidR="00D263DA" w:rsidRPr="00CC1CB4" w:rsidRDefault="00000000" w:rsidP="00856537">
      <w:pPr>
        <w:pStyle w:val="A30"/>
      </w:pPr>
      <w:bookmarkStart w:id="220" w:name="_Toc199403801"/>
      <w:r>
        <w:lastRenderedPageBreak/>
        <w:t>Requisitos de elegibilidade e processo de inscrição</w:t>
      </w:r>
      <w:bookmarkEnd w:id="220"/>
    </w:p>
    <w:p w14:paraId="78CEB2FF" w14:textId="77777777" w:rsidR="00D263DA" w:rsidRPr="00CC1CB4" w:rsidRDefault="00000000" w:rsidP="00C868F9">
      <w:pPr>
        <w:spacing w:after="120" w:line="259" w:lineRule="auto"/>
        <w:rPr>
          <w:rFonts w:cs="Times New Roman"/>
          <w:lang w:val="es-ES"/>
        </w:rPr>
      </w:pPr>
      <w:r>
        <w:rPr>
          <w:rFonts w:eastAsia="Times New Roman" w:cs="Times New Roman"/>
          <w:lang w:val="pt-BR"/>
        </w:rPr>
        <w:t>O NJDOE utilizará um processo competitivo para conceder prêmios a entidades elegíveis que atendem:</w:t>
      </w:r>
    </w:p>
    <w:p w14:paraId="2CB5D959" w14:textId="77777777" w:rsidR="00D263DA" w:rsidRPr="00CC1CB4" w:rsidRDefault="00000000">
      <w:pPr>
        <w:pStyle w:val="a6"/>
        <w:numPr>
          <w:ilvl w:val="0"/>
          <w:numId w:val="86"/>
        </w:numPr>
        <w:spacing w:after="120" w:line="259" w:lineRule="auto"/>
        <w:contextualSpacing w:val="0"/>
        <w:rPr>
          <w:rFonts w:cs="Times New Roman"/>
          <w:lang w:val="es-ES"/>
        </w:rPr>
      </w:pPr>
      <w:r>
        <w:rPr>
          <w:rFonts w:eastAsia="Times New Roman" w:cs="Times New Roman"/>
          <w:lang w:val="pt-BR"/>
        </w:rPr>
        <w:t>estudantes que frequentam principalmente escolas que implementam atividades abrangentes ou direcionadas de apoio e melhoria nos termos da Seção 1111(d) da ESSA;</w:t>
      </w:r>
    </w:p>
    <w:p w14:paraId="575FF6C9" w14:textId="77777777" w:rsidR="00D263DA" w:rsidRPr="00CC1CB4" w:rsidRDefault="00000000">
      <w:pPr>
        <w:pStyle w:val="a6"/>
        <w:numPr>
          <w:ilvl w:val="0"/>
          <w:numId w:val="86"/>
        </w:numPr>
        <w:spacing w:after="120" w:line="259" w:lineRule="auto"/>
        <w:contextualSpacing w:val="0"/>
        <w:rPr>
          <w:rFonts w:cs="Times New Roman"/>
          <w:lang w:val="es-ES"/>
        </w:rPr>
      </w:pPr>
      <w:r>
        <w:rPr>
          <w:rFonts w:eastAsia="Times New Roman" w:cs="Times New Roman"/>
          <w:lang w:val="pt-BR"/>
        </w:rPr>
        <w:t>estudantes que frequentam outras escolas determinadas pela LEA como necessitando de intervenção e apoio;</w:t>
      </w:r>
    </w:p>
    <w:p w14:paraId="178B537D" w14:textId="77777777" w:rsidR="006415C4" w:rsidRPr="00CC1CB4" w:rsidRDefault="00000000" w:rsidP="00DA7E52">
      <w:pPr>
        <w:pStyle w:val="a6"/>
        <w:numPr>
          <w:ilvl w:val="0"/>
          <w:numId w:val="86"/>
        </w:numPr>
        <w:spacing w:after="220" w:line="259" w:lineRule="auto"/>
        <w:rPr>
          <w:rFonts w:cs="Times New Roman"/>
          <w:lang w:val="es-ES"/>
        </w:rPr>
      </w:pPr>
      <w:r>
        <w:rPr>
          <w:rFonts w:eastAsia="Times New Roman" w:cs="Times New Roman"/>
          <w:lang w:val="pt-BR"/>
        </w:rPr>
        <w:t>famílias de alunos nas duas categorias acima.</w:t>
      </w:r>
    </w:p>
    <w:p w14:paraId="570EAD6A" w14:textId="77777777" w:rsidR="00D263DA" w:rsidRPr="0045153F" w:rsidRDefault="00000000" w:rsidP="00C868F9">
      <w:pPr>
        <w:spacing w:after="120" w:line="259" w:lineRule="auto"/>
        <w:rPr>
          <w:rFonts w:cs="Times New Roman"/>
        </w:rPr>
      </w:pPr>
      <w:r>
        <w:rPr>
          <w:rFonts w:eastAsia="Times New Roman" w:cs="Times New Roman"/>
          <w:lang w:val="pt-BR"/>
        </w:rPr>
        <w:t>Como resultado, o NJDOE identificou as três maneiras a seguir pelas quais um possível CCLC do sec. XXI pode atender aos requisitos acima:</w:t>
      </w:r>
    </w:p>
    <w:p w14:paraId="691F8E87" w14:textId="77777777" w:rsidR="00D263DA" w:rsidRPr="00CC1CB4" w:rsidRDefault="00000000">
      <w:pPr>
        <w:pStyle w:val="a6"/>
        <w:numPr>
          <w:ilvl w:val="0"/>
          <w:numId w:val="87"/>
        </w:numPr>
        <w:spacing w:after="120" w:line="259" w:lineRule="auto"/>
        <w:contextualSpacing w:val="0"/>
        <w:rPr>
          <w:rFonts w:cs="Times New Roman"/>
          <w:lang w:val="es-ES"/>
        </w:rPr>
      </w:pPr>
      <w:r>
        <w:rPr>
          <w:rFonts w:eastAsia="Times New Roman" w:cs="Times New Roman"/>
          <w:lang w:val="pt-BR"/>
        </w:rPr>
        <w:t xml:space="preserve">utiliza a lista atual de escolas abrangentes ou direcionadas do NJDOE; </w:t>
      </w:r>
    </w:p>
    <w:p w14:paraId="7AABB4C5" w14:textId="77777777" w:rsidR="00D263DA" w:rsidRPr="00CC1CB4" w:rsidRDefault="00000000">
      <w:pPr>
        <w:pStyle w:val="a6"/>
        <w:numPr>
          <w:ilvl w:val="0"/>
          <w:numId w:val="87"/>
        </w:numPr>
        <w:spacing w:after="120" w:line="259" w:lineRule="auto"/>
        <w:contextualSpacing w:val="0"/>
        <w:rPr>
          <w:lang w:val="es-ES"/>
        </w:rPr>
      </w:pPr>
      <w:r>
        <w:rPr>
          <w:rFonts w:eastAsia="Times New Roman" w:cs="Times New Roman"/>
          <w:lang w:val="pt-BR"/>
        </w:rPr>
        <w:t>permite que as LEAs determinem escolas que precisam de intervenção e apoio, visando alunos que frequentam escolas onde um mínimo de 30% da população de alunos é elegível para almoço e/ou leite grátis, conforme documentado na mais recente contagem de crianças matriculadas no Formulário de Inscrição para Auxílio Escolar Estadual;</w:t>
      </w:r>
      <w:r>
        <w:rPr>
          <w:rFonts w:eastAsia="Times New Roman" w:cs="Arial"/>
          <w:lang w:val="pt-BR"/>
        </w:rPr>
        <w:t xml:space="preserve"> </w:t>
      </w:r>
    </w:p>
    <w:p w14:paraId="2842E0B4" w14:textId="77777777" w:rsidR="006415C4" w:rsidRPr="00CC1CB4" w:rsidRDefault="00000000">
      <w:pPr>
        <w:pStyle w:val="a6"/>
        <w:numPr>
          <w:ilvl w:val="0"/>
          <w:numId w:val="87"/>
        </w:numPr>
        <w:spacing w:line="259" w:lineRule="auto"/>
        <w:rPr>
          <w:rFonts w:cs="Times New Roman"/>
          <w:lang w:val="es-ES"/>
        </w:rPr>
      </w:pPr>
      <w:r>
        <w:rPr>
          <w:rFonts w:eastAsia="Times New Roman" w:cs="Times New Roman"/>
          <w:lang w:val="pt-BR"/>
        </w:rPr>
        <w:t>permite que as LEAs enviem uma justificativa para o processo de seleção, que deve incluir dados estaduais ou da LEA.</w:t>
      </w:r>
    </w:p>
    <w:p w14:paraId="28B32C0A" w14:textId="77777777" w:rsidR="00D263DA" w:rsidRPr="00CC1CB4" w:rsidRDefault="00000000" w:rsidP="00C868F9">
      <w:pPr>
        <w:spacing w:after="120" w:line="259" w:lineRule="auto"/>
        <w:rPr>
          <w:rStyle w:val="af9"/>
          <w:rFonts w:cs="Times New Roman"/>
          <w:bCs w:val="0"/>
          <w:lang w:val="es-ES"/>
        </w:rPr>
      </w:pPr>
      <w:r>
        <w:rPr>
          <w:rFonts w:eastAsia="Times New Roman" w:cs="Times New Roman"/>
          <w:lang w:val="pt-BR"/>
        </w:rPr>
        <w:t>Além disso, se um possível CCLC do sec. XXI estiver apoiando uma escola que não esteja na lista atual de escolas abrangentes ou direcionadas, ele deve:</w:t>
      </w:r>
    </w:p>
    <w:p w14:paraId="7CAD3C84" w14:textId="77777777" w:rsidR="00D263DA" w:rsidRPr="00CC1CB4" w:rsidRDefault="00000000">
      <w:pPr>
        <w:pStyle w:val="a6"/>
        <w:numPr>
          <w:ilvl w:val="0"/>
          <w:numId w:val="91"/>
        </w:numPr>
        <w:spacing w:after="120" w:line="259" w:lineRule="auto"/>
        <w:contextualSpacing w:val="0"/>
        <w:rPr>
          <w:rFonts w:cs="Times New Roman"/>
          <w:lang w:val="es-ES"/>
        </w:rPr>
      </w:pPr>
      <w:r>
        <w:rPr>
          <w:rFonts w:eastAsia="Times New Roman" w:cs="Times New Roman"/>
          <w:lang w:val="pt-BR"/>
        </w:rPr>
        <w:t>inscrever alunos que possam estar em risco de falha acadêmica, desistência da escola ou envolvimento em atividades criminosas ou inadimplentes, ou que não tenham exemplos positivos por meio de critérios e processos estabelecidos para matricular os alunos acompanhados de justificativas para os processos de seleção, que devem incluir dados estaduais ou da LEA;</w:t>
      </w:r>
    </w:p>
    <w:p w14:paraId="1CF79FB2" w14:textId="77777777" w:rsidR="00D263DA" w:rsidRPr="00CC1CB4" w:rsidRDefault="00000000">
      <w:pPr>
        <w:pStyle w:val="a6"/>
        <w:numPr>
          <w:ilvl w:val="0"/>
          <w:numId w:val="88"/>
        </w:numPr>
        <w:spacing w:after="240" w:line="259" w:lineRule="auto"/>
        <w:rPr>
          <w:rFonts w:cs="Times New Roman"/>
          <w:lang w:val="es-ES"/>
        </w:rPr>
      </w:pPr>
      <w:r>
        <w:rPr>
          <w:rFonts w:eastAsia="Times New Roman" w:cs="Times New Roman"/>
          <w:lang w:val="pt-BR"/>
        </w:rPr>
        <w:t>fornecer garantias de que as atividades propostas não estão acessíveis atualmente ou expandiriam as ofertas atuais.</w:t>
      </w:r>
    </w:p>
    <w:p w14:paraId="62B6405C" w14:textId="77777777" w:rsidR="00D263DA" w:rsidRPr="00CC1CB4" w:rsidRDefault="00000000" w:rsidP="00856537">
      <w:pPr>
        <w:pStyle w:val="A30"/>
      </w:pPr>
      <w:bookmarkStart w:id="221" w:name="_Toc199403802"/>
      <w:r>
        <w:t>Organizações externas triadas previamente</w:t>
      </w:r>
      <w:bookmarkEnd w:id="221"/>
    </w:p>
    <w:p w14:paraId="04CFFB51" w14:textId="77777777" w:rsidR="006415C4" w:rsidRPr="00CC1CB4" w:rsidRDefault="00000000" w:rsidP="00C62A4A">
      <w:pPr>
        <w:rPr>
          <w:lang w:val="es-ES"/>
        </w:rPr>
      </w:pPr>
      <w:r>
        <w:rPr>
          <w:rFonts w:eastAsia="Times New Roman" w:cs="Arial"/>
          <w:lang w:val="pt-BR"/>
        </w:rPr>
        <w:t>A Seção 4203(a)(11) da ESSA estabeleceu um novo requisito para uma entidade intitulada organização externa, que é definida como “uma organização sem fins lucrativos com um histórico de sucesso em executar ou trabalhar com programas e atividades antes e depois da escola (ou recesso de verão) ou, no caso em que não há tal organização, uma organização sem fins lucrativos na comunidade que celebre um contrato por escrito ou parceria com uma organização para receber orientação e orientação na execução ou trabalho com programas e atividades antes e depois da escola (ou recesso de verão)” [Seção 4201(b)(4)]. De acordo com essa nova disposição, os estados são obrigados a pré-selecionar, mediante solicitação, organizações externas que poderiam potencialmente se qualificar e disponibilizar às entidades elegíveis uma lista de organizações externas que concluam com sucesso o processo de pré-seleção. A disposição foi criada para oferecer uma oportunidade para o estado identificar organizações que poderiam ajudar na realização das atividades autorizadas nos termos do Título IV, Parte B.</w:t>
      </w:r>
    </w:p>
    <w:p w14:paraId="39E90980" w14:textId="77777777" w:rsidR="006415C4" w:rsidRPr="00CC1CB4" w:rsidRDefault="00000000" w:rsidP="00C62A4A">
      <w:pPr>
        <w:rPr>
          <w:lang w:val="es-ES"/>
        </w:rPr>
      </w:pPr>
      <w:r>
        <w:rPr>
          <w:rFonts w:eastAsia="Times New Roman" w:cs="Arial"/>
          <w:lang w:val="pt-BR"/>
        </w:rPr>
        <w:t xml:space="preserve">O NJDOE usará os seguintes requisitos de pré-seleção: a organização externa deve ser uma organização operacional sem fins lucrativos em Nova Jersey, conforme determinado pela prova do status 501(c)(3), e </w:t>
      </w:r>
      <w:r>
        <w:rPr>
          <w:rFonts w:eastAsia="Times New Roman" w:cs="Arial"/>
          <w:lang w:val="pt-BR"/>
        </w:rPr>
        <w:lastRenderedPageBreak/>
        <w:t>deve ter no mínimo cinco anos de experiência em operação ou prestação de serviços para programas e atividades fora do horário escolar.</w:t>
      </w:r>
    </w:p>
    <w:p w14:paraId="3C1E3A62" w14:textId="77777777" w:rsidR="00D263DA" w:rsidRPr="00CC1CB4" w:rsidRDefault="00000000" w:rsidP="00C62A4A">
      <w:pPr>
        <w:spacing w:after="120" w:line="259" w:lineRule="auto"/>
        <w:rPr>
          <w:rFonts w:cs="Times New Roman"/>
          <w:lang w:val="es-ES"/>
        </w:rPr>
      </w:pPr>
      <w:r>
        <w:rPr>
          <w:rFonts w:eastAsia="Times New Roman" w:cs="Times New Roman"/>
          <w:lang w:val="pt-BR"/>
        </w:rPr>
        <w:t>Para auxiliar organizações externas interessadas em participar deste processo de pré-seleção, o NJDOE identificou os seguintes itens de ação:</w:t>
      </w:r>
    </w:p>
    <w:p w14:paraId="6EB294FF" w14:textId="77777777" w:rsidR="00D263DA" w:rsidRPr="00CC1CB4" w:rsidRDefault="00000000">
      <w:pPr>
        <w:pStyle w:val="a6"/>
        <w:numPr>
          <w:ilvl w:val="0"/>
          <w:numId w:val="89"/>
        </w:numPr>
        <w:spacing w:after="120" w:line="259" w:lineRule="auto"/>
        <w:contextualSpacing w:val="0"/>
        <w:rPr>
          <w:rFonts w:cs="Times New Roman"/>
          <w:lang w:val="es-ES"/>
        </w:rPr>
      </w:pPr>
      <w:r>
        <w:rPr>
          <w:rFonts w:eastAsia="Times New Roman" w:cs="Times New Roman"/>
          <w:lang w:val="pt-BR"/>
        </w:rPr>
        <w:t>desenvolver um perfil anual de provedor em que os provedores possam solicitar a triagem prévia;</w:t>
      </w:r>
    </w:p>
    <w:p w14:paraId="540ADAD8" w14:textId="77777777" w:rsidR="00D263DA" w:rsidRPr="00CC1CB4" w:rsidRDefault="00000000">
      <w:pPr>
        <w:pStyle w:val="a6"/>
        <w:numPr>
          <w:ilvl w:val="0"/>
          <w:numId w:val="89"/>
        </w:numPr>
        <w:spacing w:after="120" w:line="259" w:lineRule="auto"/>
        <w:contextualSpacing w:val="0"/>
        <w:rPr>
          <w:rFonts w:cs="Times New Roman"/>
          <w:lang w:val="es-ES"/>
        </w:rPr>
      </w:pPr>
      <w:r>
        <w:rPr>
          <w:rFonts w:eastAsia="Times New Roman" w:cs="Times New Roman"/>
          <w:lang w:val="pt-BR"/>
        </w:rPr>
        <w:t>realizar a triagem prévia de organizações externas interessadas em fornecer assistência na realização das atividades exigidas na ESSA de acordo com os requisitos de triagem prévia aprovados;</w:t>
      </w:r>
    </w:p>
    <w:p w14:paraId="3F7A7300" w14:textId="77777777" w:rsidR="006415C4" w:rsidRPr="00CC1CB4" w:rsidRDefault="00000000">
      <w:pPr>
        <w:pStyle w:val="a6"/>
        <w:numPr>
          <w:ilvl w:val="0"/>
          <w:numId w:val="89"/>
        </w:numPr>
        <w:spacing w:line="259" w:lineRule="auto"/>
        <w:rPr>
          <w:rFonts w:cs="Times New Roman"/>
          <w:lang w:val="es-ES"/>
        </w:rPr>
      </w:pPr>
      <w:r>
        <w:rPr>
          <w:rFonts w:eastAsia="Times New Roman" w:cs="Times New Roman"/>
          <w:lang w:val="pt-BR"/>
        </w:rPr>
        <w:t>desenvolver e disponibilizar às entidades elegíveis uma lista de organizações externas que concluem o processo de pré-seleção.</w:t>
      </w:r>
    </w:p>
    <w:p w14:paraId="579A9B5E" w14:textId="77777777" w:rsidR="00D263DA" w:rsidRPr="00CC1CB4" w:rsidRDefault="00000000" w:rsidP="00C62A4A">
      <w:pPr>
        <w:spacing w:after="120"/>
        <w:rPr>
          <w:lang w:val="es-ES"/>
        </w:rPr>
      </w:pPr>
      <w:r>
        <w:rPr>
          <w:rFonts w:eastAsia="Times New Roman" w:cs="Arial"/>
          <w:lang w:val="pt-BR"/>
        </w:rPr>
        <w:t>As organizações interessadas devem ter preenchido e enviado um perfil de provedor ao NJDOE até o prazo estabelecido. O NJDOE publicou a lista de organizações externas pré-selecionadas no site do NJDOE e permitirá que organizações pré-selecionadas com sucesso permaneçam na lista publicada até que o NJDOE determine o próximo prazo de organização externa pré-selecionada. A seguir, uma lista de avisos de isenção de responsabilidade publicados juntamente com o perfil:</w:t>
      </w:r>
    </w:p>
    <w:p w14:paraId="61475337" w14:textId="77777777" w:rsidR="00D263DA" w:rsidRPr="00CC1CB4" w:rsidRDefault="00000000">
      <w:pPr>
        <w:pStyle w:val="a6"/>
        <w:numPr>
          <w:ilvl w:val="0"/>
          <w:numId w:val="90"/>
        </w:numPr>
        <w:spacing w:after="120" w:line="259" w:lineRule="auto"/>
        <w:contextualSpacing w:val="0"/>
        <w:rPr>
          <w:rFonts w:cs="Times New Roman"/>
          <w:lang w:val="es-ES"/>
        </w:rPr>
      </w:pPr>
      <w:r>
        <w:rPr>
          <w:rFonts w:eastAsia="Times New Roman" w:cs="Times New Roman"/>
          <w:lang w:val="pt-BR"/>
        </w:rPr>
        <w:t>nenhum financiamento está diretamente associado ao processo de perfil e a solicitação de perfil não resultará em um contrato com o NJDOE;</w:t>
      </w:r>
    </w:p>
    <w:p w14:paraId="08505EAB" w14:textId="77777777" w:rsidR="00D263DA" w:rsidRPr="00CC1CB4" w:rsidRDefault="00000000">
      <w:pPr>
        <w:pStyle w:val="a6"/>
        <w:numPr>
          <w:ilvl w:val="0"/>
          <w:numId w:val="90"/>
        </w:numPr>
        <w:spacing w:after="120" w:line="259" w:lineRule="auto"/>
        <w:contextualSpacing w:val="0"/>
        <w:rPr>
          <w:rFonts w:cs="Times New Roman"/>
          <w:lang w:val="es-ES"/>
        </w:rPr>
      </w:pPr>
      <w:r>
        <w:rPr>
          <w:rFonts w:eastAsia="Times New Roman" w:cs="Times New Roman"/>
          <w:lang w:val="pt-BR"/>
        </w:rPr>
        <w:t>o NJDOE reserva-se o direito de omitir qualquer organização da lista por não preencher o perfil em sua totalidade;</w:t>
      </w:r>
    </w:p>
    <w:p w14:paraId="0E4C7900" w14:textId="77777777" w:rsidR="00D263DA" w:rsidRPr="00CC1CB4" w:rsidRDefault="00000000">
      <w:pPr>
        <w:pStyle w:val="a6"/>
        <w:numPr>
          <w:ilvl w:val="0"/>
          <w:numId w:val="90"/>
        </w:numPr>
        <w:spacing w:after="120" w:line="259" w:lineRule="auto"/>
        <w:contextualSpacing w:val="0"/>
        <w:rPr>
          <w:rFonts w:cs="Times New Roman"/>
          <w:lang w:val="es-ES"/>
        </w:rPr>
      </w:pPr>
      <w:r>
        <w:rPr>
          <w:rFonts w:eastAsia="Times New Roman" w:cs="Times New Roman"/>
          <w:lang w:val="pt-BR"/>
        </w:rPr>
        <w:t>o NJDOE reserva-se o direito de remover uma organização da lista se ela não atender ao registro mínimo de sucesso;</w:t>
      </w:r>
    </w:p>
    <w:p w14:paraId="26CAB54A" w14:textId="77777777" w:rsidR="00D263DA" w:rsidRPr="00CC1CB4" w:rsidRDefault="00000000">
      <w:pPr>
        <w:pStyle w:val="a6"/>
        <w:numPr>
          <w:ilvl w:val="0"/>
          <w:numId w:val="90"/>
        </w:numPr>
        <w:spacing w:after="120" w:line="259" w:lineRule="auto"/>
        <w:contextualSpacing w:val="0"/>
        <w:rPr>
          <w:rFonts w:cs="Times New Roman"/>
          <w:lang w:val="es-ES"/>
        </w:rPr>
      </w:pPr>
      <w:r>
        <w:rPr>
          <w:rFonts w:eastAsia="Times New Roman" w:cs="Times New Roman"/>
          <w:lang w:val="pt-BR"/>
        </w:rPr>
        <w:t>o NJDOE não garante que qualquer trabalho será dado a qualquer organização incluída na lista;</w:t>
      </w:r>
    </w:p>
    <w:p w14:paraId="4999ABE1" w14:textId="77777777" w:rsidR="00D263DA" w:rsidRPr="00CC1CB4" w:rsidRDefault="00000000">
      <w:pPr>
        <w:pStyle w:val="a6"/>
        <w:numPr>
          <w:ilvl w:val="0"/>
          <w:numId w:val="90"/>
        </w:numPr>
        <w:spacing w:after="120" w:line="259" w:lineRule="auto"/>
        <w:contextualSpacing w:val="0"/>
        <w:rPr>
          <w:rFonts w:cs="Times New Roman"/>
          <w:lang w:val="es-ES"/>
        </w:rPr>
      </w:pPr>
      <w:r>
        <w:rPr>
          <w:rFonts w:eastAsia="Times New Roman" w:cs="Times New Roman"/>
          <w:lang w:val="pt-BR"/>
        </w:rPr>
        <w:t>todas as informações enviadas por uma organização externa em resposta à solicitação de perfil serão consideradas informações públicas, exceto quando isentas de divulgação pública pela Lei de Registros Públicos Abertos (N.J.S.A. 47:1A-1 et seq.) e pela legislação comum;</w:t>
      </w:r>
    </w:p>
    <w:p w14:paraId="2763A1F8" w14:textId="77777777" w:rsidR="00D263DA" w:rsidRPr="00CC1CB4" w:rsidRDefault="00000000">
      <w:pPr>
        <w:pStyle w:val="a6"/>
        <w:numPr>
          <w:ilvl w:val="0"/>
          <w:numId w:val="90"/>
        </w:numPr>
        <w:spacing w:after="120" w:line="259" w:lineRule="auto"/>
        <w:contextualSpacing w:val="0"/>
        <w:rPr>
          <w:rFonts w:cs="Times New Roman"/>
          <w:lang w:val="es-ES"/>
        </w:rPr>
      </w:pPr>
      <w:r>
        <w:rPr>
          <w:rFonts w:eastAsia="Times New Roman" w:cs="Times New Roman"/>
          <w:lang w:val="pt-BR"/>
        </w:rPr>
        <w:t>o NJDOE não certifica a qualidade das atividades fornecidas pelas organizações nem endossa nenhuma organização listada;</w:t>
      </w:r>
    </w:p>
    <w:p w14:paraId="344968A8" w14:textId="77777777" w:rsidR="00D263DA" w:rsidRPr="00CC1CB4" w:rsidRDefault="00000000">
      <w:pPr>
        <w:pStyle w:val="a6"/>
        <w:numPr>
          <w:ilvl w:val="0"/>
          <w:numId w:val="90"/>
        </w:numPr>
        <w:spacing w:after="0" w:line="259" w:lineRule="auto"/>
        <w:rPr>
          <w:rStyle w:val="NJDOEResponse"/>
          <w:rFonts w:eastAsiaTheme="minorHAnsi"/>
          <w:color w:val="auto"/>
          <w:lang w:val="es-ES"/>
        </w:rPr>
      </w:pPr>
      <w:r>
        <w:rPr>
          <w:rFonts w:eastAsia="Times New Roman" w:cs="Times New Roman"/>
          <w:lang w:val="pt-BR"/>
        </w:rPr>
        <w:t>o NJDOE analisará periodicamente a lista pré-selecionada e removerá qualquer organização que tenha sido impedida.</w:t>
      </w:r>
    </w:p>
    <w:p w14:paraId="7F40CC65" w14:textId="77777777" w:rsidR="00D263DA" w:rsidRPr="00CC1CB4" w:rsidRDefault="00000000" w:rsidP="00C62A4A">
      <w:pPr>
        <w:spacing w:before="240"/>
        <w:rPr>
          <w:rStyle w:val="NJDOEResponse"/>
          <w:lang w:val="es-ES"/>
        </w:rPr>
      </w:pPr>
      <w:r>
        <w:rPr>
          <w:rStyle w:val="NJDOEResponse"/>
          <w:rFonts w:eastAsia="Times New Roman"/>
          <w:color w:val="365F91"/>
          <w:lang w:val="pt-BR"/>
        </w:rPr>
        <w:t>[finalizar resposta do NJDOE]</w:t>
      </w:r>
      <w:r>
        <w:rPr>
          <w:rStyle w:val="NJDOEResponse"/>
          <w:rFonts w:eastAsia="Times New Roman"/>
          <w:color w:val="365F91"/>
          <w:lang w:val="pt-BR"/>
        </w:rPr>
        <w:br w:type="page"/>
      </w:r>
    </w:p>
    <w:p w14:paraId="73EE36F3" w14:textId="77777777" w:rsidR="009B56E4" w:rsidRPr="00CC1CB4" w:rsidRDefault="00000000" w:rsidP="009B56E4">
      <w:pPr>
        <w:pStyle w:val="BeginUSED"/>
        <w:rPr>
          <w:lang w:val="es-ES"/>
        </w:rPr>
      </w:pPr>
      <w:r>
        <w:rPr>
          <w:rFonts w:eastAsia="Times New Roman"/>
          <w:color w:val="FFFFFF"/>
          <w:szCs w:val="4"/>
          <w:lang w:val="pt-BR"/>
        </w:rPr>
        <w:lastRenderedPageBreak/>
        <w:t xml:space="preserve">[iniciar o texto do USED] </w:t>
      </w:r>
    </w:p>
    <w:p w14:paraId="14BEF6A6" w14:textId="77777777" w:rsidR="00D263DA" w:rsidRPr="00CC1CB4" w:rsidRDefault="00000000" w:rsidP="008144E1">
      <w:pPr>
        <w:pStyle w:val="1"/>
        <w:rPr>
          <w:rStyle w:val="Boxstatus"/>
          <w:color w:val="074F6A"/>
          <w:lang w:val="es-ES"/>
        </w:rPr>
      </w:pPr>
      <w:bookmarkStart w:id="222" w:name="_Toc211004655"/>
      <w:r>
        <w:rPr>
          <w:rStyle w:val="Boxstatus"/>
          <w:rFonts w:eastAsia="Cambria"/>
          <w:color w:val="074F6A"/>
          <w:szCs w:val="36"/>
          <w:lang w:val="pt-BR"/>
        </w:rPr>
        <w:t>H. Título V, Parte B, Subparte 2: Programa escolar rural e de baixa renda</w:t>
      </w:r>
      <w:bookmarkEnd w:id="222"/>
    </w:p>
    <w:p w14:paraId="7D090735" w14:textId="77777777" w:rsidR="00D263DA" w:rsidRPr="00CC1CB4" w:rsidRDefault="00000000" w:rsidP="009B56E4">
      <w:pPr>
        <w:pStyle w:val="EndUSED"/>
        <w:rPr>
          <w:lang w:val="es-ES"/>
        </w:rPr>
      </w:pPr>
      <w:r>
        <w:rPr>
          <w:rFonts w:eastAsia="Times New Roman"/>
          <w:color w:val="FFFFFF"/>
          <w:szCs w:val="4"/>
          <w:lang w:val="pt-BR"/>
        </w:rPr>
        <w:t>[finalizar texto do USED]</w:t>
      </w:r>
    </w:p>
    <w:p w14:paraId="5E667257" w14:textId="77777777" w:rsidR="00512A29" w:rsidRPr="00CC1CB4" w:rsidRDefault="00000000" w:rsidP="008144E1">
      <w:pPr>
        <w:pStyle w:val="a6"/>
        <w:spacing w:before="240"/>
        <w:ind w:left="0"/>
        <w:rPr>
          <w:rStyle w:val="NJDOEResponse"/>
          <w:lang w:val="es-ES"/>
        </w:rPr>
      </w:pPr>
      <w:r>
        <w:rPr>
          <w:rStyle w:val="NJDOEResponse"/>
          <w:rFonts w:eastAsia="Times New Roman"/>
          <w:color w:val="365F91"/>
          <w:lang w:val="pt-BR"/>
        </w:rPr>
        <w:t>[iniciar a resposta do NJDOE]</w:t>
      </w:r>
    </w:p>
    <w:p w14:paraId="1B3D57A3" w14:textId="77777777" w:rsidR="00D263DA" w:rsidRPr="00856537" w:rsidRDefault="00000000" w:rsidP="00856537">
      <w:pPr>
        <w:pStyle w:val="A20"/>
        <w:spacing w:before="0"/>
      </w:pPr>
      <w:bookmarkStart w:id="223" w:name="_Toc171333316"/>
      <w:bookmarkStart w:id="224" w:name="_Toc199403804"/>
      <w:r>
        <w:t>Visão geral</w:t>
      </w:r>
      <w:bookmarkEnd w:id="223"/>
      <w:bookmarkEnd w:id="224"/>
    </w:p>
    <w:p w14:paraId="1B57CE80" w14:textId="77777777" w:rsidR="00D263DA" w:rsidRPr="00CC1CB4" w:rsidRDefault="00000000" w:rsidP="00D263DA">
      <w:pPr>
        <w:rPr>
          <w:rFonts w:cs="Times New Roman"/>
          <w:lang w:val="es-ES"/>
        </w:rPr>
      </w:pPr>
      <w:r>
        <w:rPr>
          <w:rFonts w:eastAsia="Times New Roman" w:cs="Times New Roman"/>
          <w:lang w:val="pt-BR"/>
        </w:rPr>
        <w:t>O Título V, Parte B da ESSA, foi estabelecido para atender às necessidades exclusivas das escolas rurais e das LEAs. Essas LEAs muitas vezes não têm o pessoal e os recursos necessários para solicitar subsídios federais competitivos e receber subsídios federais baseados em fórmulas que são muito pequenos para serem usados para os fins pretendidos. Observe que Nova Jersey recebe uma alocação muito pequena que suporta apenas algumas LEAs e prevê que este será o caso daqui para frente.</w:t>
      </w:r>
    </w:p>
    <w:p w14:paraId="1299C684" w14:textId="77777777" w:rsidR="00D263DA" w:rsidRPr="00CC1CB4" w:rsidRDefault="00000000" w:rsidP="00D263DA">
      <w:pPr>
        <w:rPr>
          <w:rFonts w:cs="Times New Roman"/>
          <w:lang w:val="es-ES"/>
        </w:rPr>
      </w:pPr>
      <w:r>
        <w:rPr>
          <w:rFonts w:eastAsia="Times New Roman" w:cs="Times New Roman"/>
          <w:lang w:val="pt-BR"/>
        </w:rPr>
        <w:t xml:space="preserve">Nova Jersey recebe fundos de acordo com o Título V, Parte B, por meio de um prêmio de concessão de fórmula. Por sua vez, New Jersey concede subconcessões às LEAs elegíveis de acordo com uma fórmula baseada no número de alunos em média de participação diária atendidos pelas LEAs elegíveis. As LEAs podem utilizar financiamento para atividades autorizadas nos termos do Título I, Título II, Parte A, Título III e Título IV, Parte A da ESEA, bem como atividades de envolvimento dos pais. </w:t>
      </w:r>
    </w:p>
    <w:p w14:paraId="30616A67" w14:textId="77777777" w:rsidR="002E4AE8" w:rsidRPr="00CC1CB4" w:rsidRDefault="00000000" w:rsidP="002E4AE8">
      <w:pPr>
        <w:rPr>
          <w:rFonts w:eastAsia="Times New Roman" w:cs="Times New Roman"/>
          <w:color w:val="030A13"/>
          <w:lang w:val="es-ES"/>
        </w:rPr>
      </w:pPr>
      <w:r>
        <w:rPr>
          <w:rStyle w:val="NJDOEResponse"/>
          <w:rFonts w:eastAsia="Times New Roman"/>
          <w:color w:val="365F91"/>
          <w:lang w:val="pt-BR"/>
        </w:rPr>
        <w:t>[finalizar resposta do NJDOE]</w:t>
      </w:r>
    </w:p>
    <w:p w14:paraId="243BD0F4" w14:textId="77777777" w:rsidR="00D263DA" w:rsidRPr="00CC1CB4" w:rsidRDefault="00000000" w:rsidP="00357E87">
      <w:pPr>
        <w:pStyle w:val="BeginUSED"/>
        <w:rPr>
          <w:rFonts w:cs="Times New Roman"/>
          <w:lang w:val="es-ES"/>
        </w:rPr>
      </w:pPr>
      <w:r>
        <w:rPr>
          <w:rFonts w:eastAsia="Times New Roman"/>
          <w:color w:val="FFFFFF"/>
          <w:szCs w:val="4"/>
          <w:lang w:val="pt-BR"/>
        </w:rPr>
        <w:t xml:space="preserve">[iniciar o texto do USED] </w:t>
      </w:r>
    </w:p>
    <w:p w14:paraId="25CBEAD2" w14:textId="77777777" w:rsidR="00577CED" w:rsidRPr="00856537" w:rsidRDefault="00000000" w:rsidP="00856537">
      <w:pPr>
        <w:pStyle w:val="A20"/>
        <w:spacing w:before="0"/>
      </w:pPr>
      <w:bookmarkStart w:id="225" w:name="_Toc171333317"/>
      <w:bookmarkStart w:id="226" w:name="_Toc199403805"/>
      <w:r>
        <w:t>1. Resultados e objetivos (Seção 5223(b)(1) da ESEA)</w:t>
      </w:r>
      <w:bookmarkEnd w:id="225"/>
      <w:bookmarkEnd w:id="226"/>
    </w:p>
    <w:p w14:paraId="1AFC4D63" w14:textId="77777777" w:rsidR="00D263DA" w:rsidRPr="00CC1CB4" w:rsidRDefault="00000000" w:rsidP="00577CED">
      <w:pPr>
        <w:pStyle w:val="blue"/>
        <w:spacing w:after="0"/>
        <w:ind w:left="0"/>
        <w:rPr>
          <w:lang w:val="es-ES"/>
        </w:rPr>
      </w:pPr>
      <w:r>
        <w:rPr>
          <w:rFonts w:ascii="Cambria" w:eastAsia="Cambria" w:hAnsi="Cambria"/>
          <w:lang w:val="pt-BR"/>
        </w:rPr>
        <w:t xml:space="preserve">Fornecer informações sobre os objetivos e resultados do programa para atividades sob o Título V, Parte B, Subparte 2, incluindo como o SEA usará fundos para ajudar todos os alunos a atender aos padrões acadêmicos estaduais desafiadores. </w:t>
      </w:r>
    </w:p>
    <w:p w14:paraId="5C31934C" w14:textId="77777777" w:rsidR="00357E87" w:rsidRPr="00CC1CB4" w:rsidRDefault="00000000" w:rsidP="00357E87">
      <w:pPr>
        <w:pStyle w:val="EndUSED"/>
        <w:rPr>
          <w:lang w:val="es-ES"/>
        </w:rPr>
      </w:pPr>
      <w:r>
        <w:rPr>
          <w:rFonts w:eastAsia="Times New Roman"/>
          <w:color w:val="FFFFFF"/>
          <w:szCs w:val="4"/>
          <w:lang w:val="pt-BR"/>
        </w:rPr>
        <w:t xml:space="preserve">[finalizar texto do USED] </w:t>
      </w:r>
    </w:p>
    <w:p w14:paraId="74ECBD9F" w14:textId="77777777" w:rsidR="00D263DA" w:rsidRPr="00CC1CB4" w:rsidRDefault="00000000" w:rsidP="001E0C27">
      <w:pPr>
        <w:pStyle w:val="a6"/>
        <w:spacing w:before="240"/>
        <w:ind w:left="0"/>
        <w:rPr>
          <w:rStyle w:val="NJDOEResponse"/>
          <w:lang w:val="es-ES"/>
        </w:rPr>
      </w:pPr>
      <w:r>
        <w:rPr>
          <w:rStyle w:val="NJDOEResponse"/>
          <w:rFonts w:eastAsia="Times New Roman"/>
          <w:color w:val="365F91"/>
          <w:lang w:val="pt-BR"/>
        </w:rPr>
        <w:t>[iniciar a resposta do NJDOE]</w:t>
      </w:r>
    </w:p>
    <w:p w14:paraId="393375FF" w14:textId="77777777" w:rsidR="00D263DA" w:rsidRPr="00CC1CB4" w:rsidRDefault="00000000" w:rsidP="00D263DA">
      <w:pPr>
        <w:rPr>
          <w:rFonts w:cs="Times New Roman"/>
          <w:lang w:val="es-ES"/>
        </w:rPr>
      </w:pPr>
      <w:r>
        <w:rPr>
          <w:rFonts w:eastAsia="Times New Roman" w:cs="Times New Roman"/>
          <w:lang w:val="pt-BR"/>
        </w:rPr>
        <w:t>A aplicação da LEA abordará em quais atividades do programa Escola Rural e de Baixa Renda (Rural and Low-Income School, RLIS) eles participarão e descreverá os objetivos e resultados do programa para abordar especificamente como esses fundos ajudarão os alunos a atender aos padrões acadêmicos estaduais desafiadores.</w:t>
      </w:r>
    </w:p>
    <w:p w14:paraId="06428D95" w14:textId="77777777" w:rsidR="00D263DA" w:rsidRPr="00CC1CB4" w:rsidRDefault="00000000" w:rsidP="00F86F30">
      <w:pPr>
        <w:pStyle w:val="aff0"/>
        <w:rPr>
          <w:lang w:val="es-ES"/>
        </w:rPr>
      </w:pPr>
      <w:r>
        <w:rPr>
          <w:rFonts w:eastAsia="Cambria"/>
          <w:lang w:val="pt-BR"/>
        </w:rPr>
        <w:t xml:space="preserve">Figura H.1: Objetivos e resultados do programa para </w:t>
      </w:r>
      <w:bookmarkStart w:id="227" w:name="_Hlk167300255"/>
      <w:r>
        <w:rPr>
          <w:rFonts w:eastAsia="Cambria"/>
          <w:lang w:val="pt-BR"/>
        </w:rPr>
        <w:t>escolas rurais e de baixa renda</w:t>
      </w:r>
      <w:bookmarkEnd w:id="227"/>
    </w:p>
    <w:tbl>
      <w:tblPr>
        <w:tblStyle w:val="2-1"/>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115" w:type="dxa"/>
        </w:tblCellMar>
        <w:tblLook w:val="0420" w:firstRow="1" w:lastRow="0" w:firstColumn="0" w:lastColumn="0" w:noHBand="0" w:noVBand="1"/>
      </w:tblPr>
      <w:tblGrid>
        <w:gridCol w:w="3690"/>
        <w:gridCol w:w="4000"/>
        <w:gridCol w:w="1670"/>
      </w:tblGrid>
      <w:tr w:rsidR="00C566B2" w14:paraId="08C96A1E" w14:textId="77777777" w:rsidTr="00C566B2">
        <w:trPr>
          <w:cnfStyle w:val="100000000000" w:firstRow="1" w:lastRow="0" w:firstColumn="0" w:lastColumn="0" w:oddVBand="0" w:evenVBand="0" w:oddHBand="0" w:evenHBand="0" w:firstRowFirstColumn="0" w:firstRowLastColumn="0" w:lastRowFirstColumn="0" w:lastRowLastColumn="0"/>
          <w:trHeight w:val="239"/>
          <w:tblHeader/>
        </w:trPr>
        <w:tc>
          <w:tcPr>
            <w:tcW w:w="3745" w:type="dxa"/>
            <w:tcBorders>
              <w:right w:val="single" w:sz="4" w:space="0" w:color="FFFFFF" w:themeColor="background1"/>
            </w:tcBorders>
            <w:shd w:val="clear" w:color="auto" w:fill="244061" w:themeFill="accent1" w:themeFillShade="80"/>
          </w:tcPr>
          <w:p w14:paraId="423E4DB8" w14:textId="77777777" w:rsidR="00D263DA" w:rsidRPr="007F3AF1" w:rsidRDefault="00000000" w:rsidP="004C6E12">
            <w:pPr>
              <w:pStyle w:val="TableText"/>
              <w:jc w:val="center"/>
              <w:rPr>
                <w:b w:val="0"/>
                <w:bCs w:val="0"/>
                <w:color w:val="FFFFFF" w:themeColor="background1"/>
                <w:sz w:val="22"/>
                <w:szCs w:val="24"/>
              </w:rPr>
            </w:pPr>
            <w:r>
              <w:rPr>
                <w:rFonts w:eastAsia="Times New Roman"/>
                <w:color w:val="FFFFFF"/>
                <w:sz w:val="22"/>
                <w:szCs w:val="22"/>
                <w:lang w:val="pt-BR"/>
              </w:rPr>
              <w:t>Objetivo</w:t>
            </w:r>
          </w:p>
        </w:tc>
        <w:tc>
          <w:tcPr>
            <w:tcW w:w="4055" w:type="dxa"/>
            <w:tcBorders>
              <w:left w:val="single" w:sz="4" w:space="0" w:color="FFFFFF" w:themeColor="background1"/>
              <w:right w:val="single" w:sz="4" w:space="0" w:color="FFFFFF" w:themeColor="background1"/>
            </w:tcBorders>
            <w:shd w:val="clear" w:color="auto" w:fill="244061" w:themeFill="accent1" w:themeFillShade="80"/>
          </w:tcPr>
          <w:p w14:paraId="6B385559" w14:textId="77777777" w:rsidR="00D263DA" w:rsidRPr="007F3AF1" w:rsidRDefault="00000000" w:rsidP="004C6E12">
            <w:pPr>
              <w:pStyle w:val="TableText"/>
              <w:jc w:val="center"/>
              <w:rPr>
                <w:b w:val="0"/>
                <w:bCs w:val="0"/>
                <w:color w:val="FFFFFF" w:themeColor="background1"/>
                <w:sz w:val="22"/>
                <w:szCs w:val="24"/>
              </w:rPr>
            </w:pPr>
            <w:r>
              <w:rPr>
                <w:rFonts w:eastAsia="Times New Roman"/>
                <w:color w:val="FFFFFF"/>
                <w:sz w:val="22"/>
                <w:szCs w:val="22"/>
                <w:lang w:val="pt-BR"/>
              </w:rPr>
              <w:t>Resultado</w:t>
            </w:r>
          </w:p>
        </w:tc>
        <w:tc>
          <w:tcPr>
            <w:tcW w:w="1560" w:type="dxa"/>
            <w:tcBorders>
              <w:left w:val="single" w:sz="4" w:space="0" w:color="FFFFFF" w:themeColor="background1"/>
            </w:tcBorders>
            <w:shd w:val="clear" w:color="auto" w:fill="244061" w:themeFill="accent1" w:themeFillShade="80"/>
          </w:tcPr>
          <w:p w14:paraId="6B2F1870" w14:textId="77777777" w:rsidR="00D263DA" w:rsidRPr="007F3AF1" w:rsidRDefault="00000000" w:rsidP="004C6E12">
            <w:pPr>
              <w:pStyle w:val="TableText"/>
              <w:jc w:val="center"/>
              <w:rPr>
                <w:b w:val="0"/>
                <w:bCs w:val="0"/>
                <w:color w:val="FFFFFF" w:themeColor="background1"/>
                <w:sz w:val="22"/>
                <w:szCs w:val="24"/>
              </w:rPr>
            </w:pPr>
            <w:r>
              <w:rPr>
                <w:rFonts w:eastAsia="Times New Roman"/>
                <w:color w:val="FFFFFF"/>
                <w:sz w:val="22"/>
                <w:szCs w:val="22"/>
                <w:lang w:val="pt-BR"/>
              </w:rPr>
              <w:t>Prazo</w:t>
            </w:r>
          </w:p>
        </w:tc>
      </w:tr>
      <w:tr w:rsidR="00C566B2" w14:paraId="727ED4DD" w14:textId="77777777" w:rsidTr="00C566B2">
        <w:trPr>
          <w:cnfStyle w:val="000000100000" w:firstRow="0" w:lastRow="0" w:firstColumn="0" w:lastColumn="0" w:oddVBand="0" w:evenVBand="0" w:oddHBand="1" w:evenHBand="0" w:firstRowFirstColumn="0" w:firstRowLastColumn="0" w:lastRowFirstColumn="0" w:lastRowLastColumn="0"/>
          <w:trHeight w:val="243"/>
        </w:trPr>
        <w:tc>
          <w:tcPr>
            <w:tcW w:w="3745" w:type="dxa"/>
            <w:shd w:val="clear" w:color="auto" w:fill="DBE5F1"/>
          </w:tcPr>
          <w:p w14:paraId="31F8A3E4" w14:textId="77777777" w:rsidR="00D263DA" w:rsidRPr="00CC1CB4" w:rsidRDefault="00000000" w:rsidP="004C6E12">
            <w:pPr>
              <w:pStyle w:val="TableText"/>
              <w:rPr>
                <w:sz w:val="22"/>
                <w:szCs w:val="24"/>
                <w:lang w:val="es-ES"/>
              </w:rPr>
            </w:pPr>
            <w:r>
              <w:rPr>
                <w:rFonts w:eastAsia="Times New Roman"/>
                <w:sz w:val="22"/>
                <w:szCs w:val="22"/>
                <w:lang w:val="pt-BR"/>
              </w:rPr>
              <w:t>Garantir que todas as LEAs elegíveis recebam notificação oportuna de que podem preencher a seção RLIS na aplicação consolidada da ESSA.</w:t>
            </w:r>
          </w:p>
        </w:tc>
        <w:tc>
          <w:tcPr>
            <w:tcW w:w="4055" w:type="dxa"/>
            <w:shd w:val="clear" w:color="auto" w:fill="DBE5F1"/>
          </w:tcPr>
          <w:p w14:paraId="2AB43500" w14:textId="77777777" w:rsidR="00D263DA" w:rsidRPr="00CC1CB4" w:rsidRDefault="00000000" w:rsidP="004C6E12">
            <w:pPr>
              <w:pStyle w:val="TableText"/>
              <w:rPr>
                <w:sz w:val="22"/>
                <w:szCs w:val="24"/>
                <w:lang w:val="es-ES"/>
              </w:rPr>
            </w:pPr>
            <w:r>
              <w:rPr>
                <w:rFonts w:eastAsia="Times New Roman"/>
                <w:sz w:val="22"/>
                <w:szCs w:val="22"/>
                <w:lang w:val="pt-BR"/>
              </w:rPr>
              <w:t>Aumentar a oportunidade para todos os alunos atenderem aos padrões acadêmicos estaduais desafiadores e às metas de desempenho de responsabilidade.</w:t>
            </w:r>
          </w:p>
        </w:tc>
        <w:tc>
          <w:tcPr>
            <w:tcW w:w="1560" w:type="dxa"/>
            <w:shd w:val="clear" w:color="auto" w:fill="DBE5F1"/>
          </w:tcPr>
          <w:p w14:paraId="5E620C4D" w14:textId="77777777" w:rsidR="00D263DA" w:rsidRPr="007F3AF1" w:rsidRDefault="00000000" w:rsidP="004C6E12">
            <w:pPr>
              <w:pStyle w:val="TableText"/>
              <w:rPr>
                <w:sz w:val="22"/>
                <w:szCs w:val="24"/>
              </w:rPr>
            </w:pPr>
            <w:r>
              <w:rPr>
                <w:rFonts w:eastAsia="Times New Roman"/>
                <w:sz w:val="22"/>
                <w:szCs w:val="22"/>
                <w:lang w:val="pt-BR"/>
              </w:rPr>
              <w:t xml:space="preserve">Anualmente </w:t>
            </w:r>
          </w:p>
        </w:tc>
      </w:tr>
      <w:tr w:rsidR="00C566B2" w14:paraId="2FCE6817" w14:textId="77777777" w:rsidTr="00C566B2">
        <w:trPr>
          <w:trHeight w:val="230"/>
        </w:trPr>
        <w:tc>
          <w:tcPr>
            <w:tcW w:w="3745" w:type="dxa"/>
          </w:tcPr>
          <w:p w14:paraId="06B91BE6" w14:textId="77777777" w:rsidR="00D263DA" w:rsidRPr="00CC1CB4" w:rsidRDefault="00000000" w:rsidP="004C6E12">
            <w:pPr>
              <w:pStyle w:val="TableText"/>
              <w:rPr>
                <w:sz w:val="22"/>
                <w:szCs w:val="24"/>
                <w:lang w:val="es-ES"/>
              </w:rPr>
            </w:pPr>
            <w:r>
              <w:rPr>
                <w:rFonts w:eastAsia="Times New Roman"/>
                <w:sz w:val="22"/>
                <w:szCs w:val="22"/>
                <w:lang w:val="pt-BR"/>
              </w:rPr>
              <w:lastRenderedPageBreak/>
              <w:t>Garantir que as RLIS das LEAs sejam monitoradas quanto ao alinhamento entre a solicitação de subsídio e o uso de fundos para atividades autorizadas e o progresso em direção às metas.</w:t>
            </w:r>
          </w:p>
        </w:tc>
        <w:tc>
          <w:tcPr>
            <w:tcW w:w="4055" w:type="dxa"/>
          </w:tcPr>
          <w:p w14:paraId="066FF28B" w14:textId="77777777" w:rsidR="00D263DA" w:rsidRPr="00CC1CB4" w:rsidRDefault="00000000" w:rsidP="004C6E12">
            <w:pPr>
              <w:pStyle w:val="TableText"/>
              <w:rPr>
                <w:sz w:val="22"/>
                <w:szCs w:val="24"/>
                <w:lang w:val="es-ES"/>
              </w:rPr>
            </w:pPr>
            <w:r>
              <w:rPr>
                <w:rFonts w:eastAsia="Times New Roman"/>
                <w:sz w:val="22"/>
                <w:szCs w:val="22"/>
                <w:lang w:val="pt-BR"/>
              </w:rPr>
              <w:t>Recomendações para melhoria para apoiar o uso apropriado de fundos e metas e/ou recomendações de aplicação.</w:t>
            </w:r>
          </w:p>
        </w:tc>
        <w:tc>
          <w:tcPr>
            <w:tcW w:w="1560" w:type="dxa"/>
          </w:tcPr>
          <w:p w14:paraId="0FB86384" w14:textId="77777777" w:rsidR="00D263DA" w:rsidRPr="007F3AF1" w:rsidRDefault="00000000" w:rsidP="004C6E12">
            <w:pPr>
              <w:pStyle w:val="TableText"/>
              <w:rPr>
                <w:sz w:val="22"/>
                <w:szCs w:val="24"/>
              </w:rPr>
            </w:pPr>
            <w:r>
              <w:rPr>
                <w:rFonts w:eastAsia="Times New Roman"/>
                <w:sz w:val="22"/>
                <w:szCs w:val="22"/>
                <w:lang w:val="pt-BR"/>
              </w:rPr>
              <w:t xml:space="preserve">Anualmente </w:t>
            </w:r>
          </w:p>
        </w:tc>
      </w:tr>
      <w:tr w:rsidR="00C566B2" w14:paraId="79F5E394" w14:textId="77777777" w:rsidTr="00C566B2">
        <w:trPr>
          <w:cnfStyle w:val="000000100000" w:firstRow="0" w:lastRow="0" w:firstColumn="0" w:lastColumn="0" w:oddVBand="0" w:evenVBand="0" w:oddHBand="1" w:evenHBand="0" w:firstRowFirstColumn="0" w:firstRowLastColumn="0" w:lastRowFirstColumn="0" w:lastRowLastColumn="0"/>
          <w:trHeight w:val="243"/>
        </w:trPr>
        <w:tc>
          <w:tcPr>
            <w:tcW w:w="3745" w:type="dxa"/>
            <w:shd w:val="clear" w:color="auto" w:fill="DBE5F1"/>
          </w:tcPr>
          <w:p w14:paraId="1C7C097B" w14:textId="77777777" w:rsidR="00D263DA" w:rsidRPr="00CC1CB4" w:rsidRDefault="00000000" w:rsidP="004C6E12">
            <w:pPr>
              <w:pStyle w:val="TableText"/>
              <w:rPr>
                <w:sz w:val="22"/>
                <w:szCs w:val="24"/>
                <w:lang w:val="es-ES"/>
              </w:rPr>
            </w:pPr>
            <w:r>
              <w:rPr>
                <w:rFonts w:eastAsia="Times New Roman"/>
                <w:sz w:val="22"/>
                <w:szCs w:val="22"/>
                <w:lang w:val="pt-BR"/>
              </w:rPr>
              <w:t>Garantir que as RLIS das LEAs definam metas de desempenho.</w:t>
            </w:r>
          </w:p>
        </w:tc>
        <w:tc>
          <w:tcPr>
            <w:tcW w:w="4055" w:type="dxa"/>
            <w:shd w:val="clear" w:color="auto" w:fill="DBE5F1"/>
          </w:tcPr>
          <w:p w14:paraId="5D848654" w14:textId="77777777" w:rsidR="00D263DA" w:rsidRPr="00CC1CB4" w:rsidRDefault="00000000" w:rsidP="004C6E12">
            <w:pPr>
              <w:pStyle w:val="TableText"/>
              <w:rPr>
                <w:sz w:val="22"/>
                <w:szCs w:val="24"/>
                <w:lang w:val="es-ES"/>
              </w:rPr>
            </w:pPr>
            <w:r>
              <w:rPr>
                <w:rFonts w:eastAsia="Times New Roman"/>
                <w:sz w:val="22"/>
                <w:szCs w:val="22"/>
                <w:lang w:val="pt-BR"/>
              </w:rPr>
              <w:t>Medição para monitorar o progresso de todos os alunos para atender aos padrões acadêmicos estaduais desafiadores e metas de desempenho de responsabilidade.</w:t>
            </w:r>
          </w:p>
        </w:tc>
        <w:tc>
          <w:tcPr>
            <w:tcW w:w="1560" w:type="dxa"/>
            <w:shd w:val="clear" w:color="auto" w:fill="DBE5F1"/>
          </w:tcPr>
          <w:p w14:paraId="40222BC4" w14:textId="77777777" w:rsidR="00D263DA" w:rsidRPr="007F3AF1" w:rsidRDefault="00000000" w:rsidP="004C6E12">
            <w:pPr>
              <w:pStyle w:val="TableText"/>
              <w:rPr>
                <w:sz w:val="22"/>
                <w:szCs w:val="24"/>
              </w:rPr>
            </w:pPr>
            <w:r>
              <w:rPr>
                <w:rFonts w:eastAsia="Times New Roman"/>
                <w:sz w:val="22"/>
                <w:szCs w:val="22"/>
                <w:lang w:val="pt-BR"/>
              </w:rPr>
              <w:t xml:space="preserve">Anualmente </w:t>
            </w:r>
          </w:p>
        </w:tc>
      </w:tr>
      <w:tr w:rsidR="00C566B2" w:rsidRPr="00C04CDD" w14:paraId="2797AB81" w14:textId="77777777" w:rsidTr="00C566B2">
        <w:trPr>
          <w:trHeight w:val="243"/>
        </w:trPr>
        <w:tc>
          <w:tcPr>
            <w:tcW w:w="3745" w:type="dxa"/>
            <w:shd w:val="clear" w:color="auto" w:fill="auto"/>
          </w:tcPr>
          <w:p w14:paraId="69289BC0" w14:textId="77777777" w:rsidR="00D263DA" w:rsidRPr="00CC1CB4" w:rsidRDefault="00000000" w:rsidP="004C6E12">
            <w:pPr>
              <w:pStyle w:val="TableText"/>
              <w:rPr>
                <w:sz w:val="22"/>
                <w:szCs w:val="24"/>
                <w:lang w:val="es-ES"/>
              </w:rPr>
            </w:pPr>
            <w:r>
              <w:rPr>
                <w:rFonts w:eastAsia="Times New Roman"/>
                <w:sz w:val="22"/>
                <w:szCs w:val="22"/>
                <w:lang w:val="pt-BR"/>
              </w:rPr>
              <w:t>Envolver as RLIS das LEAs em uma discussão colaborativa e contínua para determinar as necessidades.</w:t>
            </w:r>
          </w:p>
        </w:tc>
        <w:tc>
          <w:tcPr>
            <w:tcW w:w="4055" w:type="dxa"/>
            <w:shd w:val="clear" w:color="auto" w:fill="auto"/>
          </w:tcPr>
          <w:p w14:paraId="55EBFFAC" w14:textId="77777777" w:rsidR="00D263DA" w:rsidRPr="00CC1CB4" w:rsidRDefault="00000000" w:rsidP="004C6E12">
            <w:pPr>
              <w:pStyle w:val="TableText"/>
              <w:rPr>
                <w:sz w:val="22"/>
                <w:szCs w:val="24"/>
                <w:lang w:val="es-ES"/>
              </w:rPr>
            </w:pPr>
            <w:r>
              <w:rPr>
                <w:rFonts w:eastAsia="Times New Roman"/>
                <w:sz w:val="22"/>
                <w:szCs w:val="22"/>
                <w:lang w:val="pt-BR"/>
              </w:rPr>
              <w:t>Fornecer assistência técnica e/ou recursos apropriados.</w:t>
            </w:r>
          </w:p>
        </w:tc>
        <w:tc>
          <w:tcPr>
            <w:tcW w:w="1560" w:type="dxa"/>
            <w:shd w:val="clear" w:color="auto" w:fill="auto"/>
          </w:tcPr>
          <w:p w14:paraId="59BC4B0A" w14:textId="77777777" w:rsidR="00D263DA" w:rsidRPr="00CC1CB4" w:rsidRDefault="00000000" w:rsidP="004C6E12">
            <w:pPr>
              <w:pStyle w:val="TableText"/>
              <w:rPr>
                <w:sz w:val="22"/>
                <w:szCs w:val="24"/>
                <w:lang w:val="es-ES"/>
              </w:rPr>
            </w:pPr>
            <w:r>
              <w:rPr>
                <w:rFonts w:eastAsia="Times New Roman"/>
                <w:sz w:val="22"/>
                <w:szCs w:val="22"/>
                <w:lang w:val="pt-BR"/>
              </w:rPr>
              <w:t>Trimestralmente e mediante solicitação da LEA</w:t>
            </w:r>
          </w:p>
        </w:tc>
      </w:tr>
    </w:tbl>
    <w:p w14:paraId="009B4AC9" w14:textId="77777777" w:rsidR="00D263DA" w:rsidRPr="00CC1CB4" w:rsidRDefault="00000000" w:rsidP="00D263DA">
      <w:pPr>
        <w:spacing w:before="240"/>
        <w:rPr>
          <w:rStyle w:val="NJDOEResponse"/>
          <w:lang w:val="es-ES"/>
        </w:rPr>
      </w:pPr>
      <w:r>
        <w:rPr>
          <w:rStyle w:val="NJDOEResponse"/>
          <w:rFonts w:eastAsia="Times New Roman"/>
          <w:color w:val="365F91"/>
          <w:lang w:val="pt-BR"/>
        </w:rPr>
        <w:t>[finalizar resposta do NJDOE]</w:t>
      </w:r>
    </w:p>
    <w:p w14:paraId="6090A91B" w14:textId="77777777" w:rsidR="00D263DA" w:rsidRPr="00CC1CB4" w:rsidRDefault="00000000" w:rsidP="00357E87">
      <w:pPr>
        <w:pStyle w:val="BeginUSED"/>
        <w:rPr>
          <w:rFonts w:cs="Times New Roman"/>
          <w:color w:val="183C5C"/>
          <w:lang w:val="es-ES"/>
        </w:rPr>
      </w:pPr>
      <w:r>
        <w:rPr>
          <w:rFonts w:eastAsia="Times New Roman"/>
          <w:color w:val="FFFFFF"/>
          <w:szCs w:val="4"/>
          <w:lang w:val="pt-BR"/>
        </w:rPr>
        <w:t>[iniciar o texto do USED]</w:t>
      </w:r>
    </w:p>
    <w:p w14:paraId="28B45178" w14:textId="77777777" w:rsidR="00F37CBD" w:rsidRPr="00856537" w:rsidRDefault="00000000" w:rsidP="00856537">
      <w:pPr>
        <w:pStyle w:val="A20"/>
        <w:spacing w:before="0"/>
      </w:pPr>
      <w:bookmarkStart w:id="228" w:name="_Toc171333318"/>
      <w:bookmarkStart w:id="229" w:name="_Toc199403806"/>
      <w:r>
        <w:t>2. Assistência técnica (Seção 5223(b)(3) da ESEA)</w:t>
      </w:r>
      <w:bookmarkEnd w:id="228"/>
      <w:bookmarkEnd w:id="229"/>
    </w:p>
    <w:p w14:paraId="28A633AC" w14:textId="77777777" w:rsidR="00D263DA" w:rsidRPr="00CC1CB4" w:rsidRDefault="00000000" w:rsidP="00F37CBD">
      <w:pPr>
        <w:pStyle w:val="blue"/>
        <w:spacing w:after="0"/>
        <w:ind w:left="0"/>
        <w:rPr>
          <w:lang w:val="es-ES"/>
        </w:rPr>
      </w:pPr>
      <w:r>
        <w:rPr>
          <w:rFonts w:ascii="Cambria" w:eastAsia="Cambria" w:hAnsi="Cambria"/>
          <w:lang w:val="pt-BR"/>
        </w:rPr>
        <w:t>Descrever como o SEA fornecerá assistência técnica às LEAs elegíveis para ajudar tais agências a implementar as atividades descritas na seção 5222 da ESEA.</w:t>
      </w:r>
    </w:p>
    <w:p w14:paraId="0B19277A" w14:textId="77777777" w:rsidR="00357E87" w:rsidRPr="00CC1CB4" w:rsidRDefault="00000000" w:rsidP="00357E87">
      <w:pPr>
        <w:pStyle w:val="EndUSED"/>
        <w:rPr>
          <w:lang w:val="es-ES"/>
        </w:rPr>
      </w:pPr>
      <w:r>
        <w:rPr>
          <w:rFonts w:eastAsia="Times New Roman"/>
          <w:color w:val="FFFFFF"/>
          <w:szCs w:val="4"/>
          <w:lang w:val="pt-BR"/>
        </w:rPr>
        <w:t xml:space="preserve">[finalizar texto do USED] </w:t>
      </w:r>
    </w:p>
    <w:p w14:paraId="5F0C2C90" w14:textId="77777777" w:rsidR="00D263DA" w:rsidRPr="00CC1CB4" w:rsidRDefault="00000000" w:rsidP="00D263DA">
      <w:pPr>
        <w:spacing w:before="240"/>
        <w:rPr>
          <w:rStyle w:val="NJDOEResponse"/>
          <w:lang w:val="es-ES"/>
        </w:rPr>
      </w:pPr>
      <w:r>
        <w:rPr>
          <w:rStyle w:val="NJDOEResponse"/>
          <w:rFonts w:eastAsia="Times New Roman"/>
          <w:color w:val="365F91"/>
          <w:lang w:val="pt-BR"/>
        </w:rPr>
        <w:t>[iniciar a resposta do NJDOE]</w:t>
      </w:r>
    </w:p>
    <w:p w14:paraId="711687D2" w14:textId="77777777" w:rsidR="00D263DA" w:rsidRPr="00CC1CB4" w:rsidRDefault="00000000" w:rsidP="00D263DA">
      <w:pPr>
        <w:spacing w:line="240" w:lineRule="auto"/>
        <w:rPr>
          <w:rFonts w:cs="Times New Roman"/>
          <w:lang w:val="es-ES"/>
        </w:rPr>
      </w:pPr>
      <w:r>
        <w:rPr>
          <w:rFonts w:eastAsia="Times New Roman" w:cs="Times New Roman"/>
          <w:lang w:val="pt-BR"/>
        </w:rPr>
        <w:t>Conforme indicado no gráfico acima, o NJDOE envolverá os poucos as LEAs que recebem apoio neste título com discussões colaborativas e contínuas para determinar suas necessidades trimestralmente e mediante solicitação da LEA. Com base nas necessidades identificadas, o NJDOE encontrará e/ou fornecerá diretamente assistência técnica e/ou recursos apropriados.</w:t>
      </w:r>
    </w:p>
    <w:p w14:paraId="086578A1" w14:textId="77777777" w:rsidR="00D263DA" w:rsidRPr="00CC1CB4" w:rsidRDefault="00000000" w:rsidP="00A9535A">
      <w:pPr>
        <w:spacing w:before="240"/>
        <w:rPr>
          <w:rFonts w:eastAsia="Aptos" w:cs="Times New Roman"/>
          <w:color w:val="365F91" w:themeColor="accent1" w:themeShade="BF"/>
          <w:lang w:val="es-ES"/>
        </w:rPr>
      </w:pPr>
      <w:r>
        <w:rPr>
          <w:rStyle w:val="NJDOEResponse"/>
          <w:rFonts w:eastAsia="Times New Roman"/>
          <w:color w:val="365F91"/>
          <w:lang w:val="pt-BR"/>
        </w:rPr>
        <w:t>[finalizar resposta do NJDOE]</w:t>
      </w:r>
      <w:r>
        <w:rPr>
          <w:rStyle w:val="NJDOEResponse"/>
          <w:rFonts w:eastAsia="Times New Roman"/>
          <w:color w:val="365F91"/>
          <w:lang w:val="pt-BR"/>
        </w:rPr>
        <w:br w:type="page"/>
      </w:r>
    </w:p>
    <w:p w14:paraId="37D17D59" w14:textId="77777777" w:rsidR="00357E87" w:rsidRPr="00CC1CB4" w:rsidRDefault="00000000" w:rsidP="00357E87">
      <w:pPr>
        <w:pStyle w:val="BeginUSED"/>
        <w:rPr>
          <w:lang w:val="es-ES"/>
        </w:rPr>
      </w:pPr>
      <w:r>
        <w:rPr>
          <w:rFonts w:eastAsia="Times New Roman"/>
          <w:color w:val="FFFFFF"/>
          <w:szCs w:val="4"/>
          <w:lang w:val="pt-BR"/>
        </w:rPr>
        <w:lastRenderedPageBreak/>
        <w:t xml:space="preserve">[iniciar o texto do USED] </w:t>
      </w:r>
    </w:p>
    <w:p w14:paraId="7AC29665" w14:textId="77777777" w:rsidR="00D263DA" w:rsidRPr="00CC1CB4" w:rsidRDefault="00000000" w:rsidP="001E0C27">
      <w:pPr>
        <w:pStyle w:val="1"/>
        <w:rPr>
          <w:lang w:val="es-ES"/>
        </w:rPr>
      </w:pPr>
      <w:bookmarkStart w:id="230" w:name="_Toc211004656"/>
      <w:r>
        <w:rPr>
          <w:rFonts w:eastAsia="Cambria"/>
          <w:szCs w:val="36"/>
          <w:lang w:val="pt-BR"/>
        </w:rPr>
        <w:t>I. Programa de educação para crianças e jovens sem-teto, McKinney-Vento Homeless Assistance Act, Título VII, Subtítulo B</w:t>
      </w:r>
      <w:bookmarkEnd w:id="230"/>
    </w:p>
    <w:p w14:paraId="1610A372" w14:textId="77777777" w:rsidR="00D263DA" w:rsidRPr="00CC1CB4" w:rsidRDefault="00000000" w:rsidP="00357E87">
      <w:pPr>
        <w:pStyle w:val="EndUSED"/>
        <w:rPr>
          <w:lang w:val="es-ES"/>
        </w:rPr>
      </w:pPr>
      <w:r>
        <w:rPr>
          <w:rFonts w:eastAsia="Times New Roman"/>
          <w:color w:val="FFFFFF"/>
          <w:szCs w:val="4"/>
          <w:lang w:val="pt-BR"/>
        </w:rPr>
        <w:t>[finalizar texto do USED]</w:t>
      </w:r>
    </w:p>
    <w:p w14:paraId="175AFE8B" w14:textId="77777777" w:rsidR="001536DC" w:rsidRPr="00CC1CB4" w:rsidRDefault="00000000" w:rsidP="001536DC">
      <w:pPr>
        <w:spacing w:before="240"/>
        <w:rPr>
          <w:rFonts w:cs="Times New Roman"/>
          <w:color w:val="365F91" w:themeColor="accent1" w:themeShade="BF"/>
          <w:lang w:val="es-ES"/>
        </w:rPr>
      </w:pPr>
      <w:r>
        <w:rPr>
          <w:rStyle w:val="NJDOEResponse"/>
          <w:rFonts w:eastAsia="Times New Roman"/>
          <w:color w:val="365F91"/>
          <w:lang w:val="pt-BR"/>
        </w:rPr>
        <w:t>[iniciar a resposta do NJDOE]</w:t>
      </w:r>
    </w:p>
    <w:p w14:paraId="18E3E1D5" w14:textId="77777777" w:rsidR="00D263DA" w:rsidRPr="00856537" w:rsidRDefault="00000000" w:rsidP="00856537">
      <w:pPr>
        <w:pStyle w:val="A20"/>
        <w:spacing w:before="0"/>
      </w:pPr>
      <w:bookmarkStart w:id="231" w:name="_Toc171333320"/>
      <w:bookmarkStart w:id="232" w:name="_Toc199403808"/>
      <w:r>
        <w:t>Visão geral</w:t>
      </w:r>
      <w:bookmarkEnd w:id="231"/>
      <w:bookmarkEnd w:id="232"/>
    </w:p>
    <w:p w14:paraId="795B58DB" w14:textId="77777777" w:rsidR="00D263DA" w:rsidRPr="00CC1CB4" w:rsidRDefault="00000000" w:rsidP="00D263DA">
      <w:pPr>
        <w:rPr>
          <w:rFonts w:cs="Times New Roman"/>
          <w:lang w:val="es-ES"/>
        </w:rPr>
      </w:pPr>
      <w:r>
        <w:rPr>
          <w:rFonts w:eastAsia="Times New Roman" w:cs="Times New Roman"/>
          <w:lang w:val="pt-BR"/>
        </w:rPr>
        <w:t xml:space="preserve">O programa de educação para crianças e jovens sem-teto da McKinney-Vento (McKinney-Vento), autorizado pela Lei de Assistência aos Sem-teto da McKinney-Vento (McKinney-Vento Act), foi projetado para garantir que os alunos que passam por falta de moradia recebam o apoio e os serviços adicionais de que precisam para serem bem-sucedidos. Esses suportes e serviços suplementares são fornecidos acima e além dos serviços que todos os alunos recebem para garantir que os alunos que passam por falta de moradia tenham acesso igual para se matricular e frequentar a escola, concluir seu ensino médio, alcançar o sucesso após a formação e ajudá-los a evitar a pobreza e a falta de moradia quando adultos. As áreas de apoio direto incluem garantir o acesso e a remoção de barreiras da matrícula na escola, atividades extracurriculares, programas acadêmicos e programas nutricionais e relacionados à saúde que, de outra forma, poderiam ser desafiadores devido à falta de um endereço residencial. </w:t>
      </w:r>
    </w:p>
    <w:p w14:paraId="406CB767" w14:textId="77777777" w:rsidR="00D263DA" w:rsidRPr="00CC1CB4" w:rsidRDefault="00000000" w:rsidP="00D263DA">
      <w:pPr>
        <w:rPr>
          <w:rFonts w:cs="Times New Roman"/>
          <w:lang w:val="es-ES"/>
        </w:rPr>
      </w:pPr>
      <w:bookmarkStart w:id="233" w:name="_Hlk68775208"/>
      <w:r>
        <w:rPr>
          <w:rFonts w:eastAsia="Times New Roman" w:cs="Times New Roman"/>
          <w:lang w:val="pt-BR"/>
        </w:rPr>
        <w:t>Em Nova Jersey, o</w:t>
      </w:r>
      <w:r>
        <w:rPr>
          <w:rFonts w:eastAsia="Times New Roman" w:cs="Times New Roman"/>
          <w:b/>
          <w:bCs/>
          <w:lang w:val="pt-BR"/>
        </w:rPr>
        <w:t xml:space="preserve"> </w:t>
      </w:r>
      <w:r>
        <w:rPr>
          <w:rFonts w:eastAsia="Times New Roman" w:cs="Times New Roman"/>
          <w:lang w:val="pt-BR"/>
        </w:rPr>
        <w:t>programa McKinney-Vento apoia esforços federais por meio de projetos de parceria regional que atendem crianças e jovens sem-teto em todos os 21 condados de Nova Jersey. Na medida do possível, espera-se que todas as crianças e jovens sem-teto identificados na região sejam servidos. Para esse fim, o NJDOE estabeleceu um programa de subvenção limitado e competitivo de três anos para criar parcerias entre as LEAs e agências de serviço estrategicamente localizadas em cada região do estado com o objetivo de coordenar e fornecer programas acadêmicos suplementares e serviços de apoio a crianças e jovens sem-teto que residem na área regional da parceria. Além da prestação de assistência técnica às LEAs, os projetos regionais da McKinney-Vento também</w:t>
      </w:r>
      <w:bookmarkEnd w:id="233"/>
      <w:r>
        <w:rPr>
          <w:rFonts w:eastAsia="Times New Roman" w:cs="Times New Roman"/>
          <w:lang w:val="pt-BR"/>
        </w:rPr>
        <w:t xml:space="preserve"> </w:t>
      </w:r>
      <w:bookmarkStart w:id="234" w:name="_Hlk68775220"/>
      <w:r>
        <w:rPr>
          <w:rFonts w:eastAsia="Times New Roman" w:cs="Times New Roman"/>
          <w:lang w:val="pt-BR"/>
        </w:rPr>
        <w:t>identificam e estabelecem parcerias com provedores de serviços regionais, recursos estaduais e municipais, e organizações de serviços sociais e baseados na comunidade, para ajudar as LEAs a fornecer serviços suplementares e fazer referências às agências apropriadas, garantindo assim que todas as crianças e jovens sem-teto na área regional da parceria possam atender aos desafiadores padrões estaduais de conteúdo e desempenho dos alunos.</w:t>
      </w:r>
      <w:bookmarkEnd w:id="234"/>
      <w:r>
        <w:rPr>
          <w:rFonts w:eastAsia="Times New Roman" w:cs="Times New Roman"/>
          <w:lang w:val="pt-BR"/>
        </w:rPr>
        <w:t xml:space="preserve"> </w:t>
      </w:r>
    </w:p>
    <w:p w14:paraId="25C4CF59" w14:textId="77777777" w:rsidR="00D263DA" w:rsidRPr="00CC1CB4" w:rsidRDefault="00000000" w:rsidP="00D263DA">
      <w:pPr>
        <w:rPr>
          <w:rFonts w:cs="Times New Roman"/>
          <w:lang w:val="es-ES"/>
        </w:rPr>
      </w:pPr>
      <w:r>
        <w:rPr>
          <w:rFonts w:eastAsia="Times New Roman" w:cs="Times New Roman"/>
          <w:lang w:val="pt-BR"/>
        </w:rPr>
        <w:t xml:space="preserve">Em 2024, o NJDOE está realizando uma avaliação abrangente de necessidades em todo o estado para analisar lacunas no atendimento a seus alunos que estão vivenciando falta de moradia. A avaliação será usada para ajudar a desenvolver uma abordagem estratégica aprimorada para fornecer serviços educacionais e de apoio aos alunos que estão sem-teto. Se a revisão identificar suportes adicionais necessários, o NJDOE enviará uma emenda ao plano especificamente em relação a esses suportes. </w:t>
      </w:r>
    </w:p>
    <w:p w14:paraId="0A535683" w14:textId="77777777" w:rsidR="00BC66E3" w:rsidRPr="00CC1CB4" w:rsidRDefault="00000000" w:rsidP="00BC66E3">
      <w:pPr>
        <w:rPr>
          <w:rFonts w:cs="Times New Roman"/>
          <w:lang w:val="es-ES"/>
        </w:rPr>
      </w:pPr>
      <w:r>
        <w:rPr>
          <w:rFonts w:eastAsia="Times New Roman" w:cs="Times New Roman"/>
          <w:lang w:val="pt-BR"/>
        </w:rPr>
        <w:t xml:space="preserve">Para melhorar o monitoramento de conformidade e o suporte às LEAs, o NJDOE atualizou o processo de identificação das LEAs com maior risco de não conformidade com os requisitos da McKinney-Vento, criando uma ferramenta de avaliação de risco. Especificamente, a avaliação depende de uma combinação de indicadores de desempenho e programa relacionados à McKinney-Vento para avaliar a implementação </w:t>
      </w:r>
      <w:r>
        <w:rPr>
          <w:rFonts w:eastAsia="Times New Roman" w:cs="Times New Roman"/>
          <w:lang w:val="pt-BR"/>
        </w:rPr>
        <w:lastRenderedPageBreak/>
        <w:t>de cada programa da LEA e identificar LEAs que precisam de suportes programáticos adicionais. Os pontos são atribuídos às LEAs com indicadores de risco, como subidentificação, taxas de formação insatisfatórias e absenteísmo crônico de alunos que estão sem-teto.</w:t>
      </w:r>
    </w:p>
    <w:p w14:paraId="3A2A9683" w14:textId="77777777" w:rsidR="00BC66E3" w:rsidRPr="00CC1CB4" w:rsidRDefault="00000000" w:rsidP="00BC66E3">
      <w:pPr>
        <w:rPr>
          <w:rFonts w:cs="Times New Roman"/>
          <w:lang w:val="es-ES"/>
        </w:rPr>
      </w:pPr>
      <w:r>
        <w:rPr>
          <w:rFonts w:eastAsia="Times New Roman" w:cs="Times New Roman"/>
          <w:lang w:val="pt-BR"/>
        </w:rPr>
        <w:t xml:space="preserve">As LEAs são divididas em cinco grupos com base no tamanho geral da inscrição. A LEA com pontuação mais alta em cada grupo de inscrição com base em todos os indicadores aplicáveis receberá suporte adicional por meio de atividades de monitoramento conduzidas pelo Escritório de Programas Educacionais Suplementares do NJDOE, a menos que tenham passado por monitoramento intensivo colaborativo ou de mesa colaborativa nos últimos três anos. </w:t>
      </w:r>
    </w:p>
    <w:p w14:paraId="0EDCFEE7" w14:textId="77777777" w:rsidR="00D263DA" w:rsidRPr="00CC1CB4" w:rsidRDefault="00000000" w:rsidP="00D263DA">
      <w:pPr>
        <w:rPr>
          <w:rFonts w:cs="Times New Roman"/>
          <w:lang w:val="es-ES"/>
        </w:rPr>
      </w:pPr>
      <w:r>
        <w:rPr>
          <w:rFonts w:eastAsia="Times New Roman" w:cs="Times New Roman"/>
          <w:lang w:val="pt-BR"/>
        </w:rPr>
        <w:t>Esta seção descreve como o NJDOE cumprirá os requisitos da Lei McKinney-Vento relacionados a:</w:t>
      </w:r>
    </w:p>
    <w:p w14:paraId="4F2B9931" w14:textId="77777777" w:rsidR="00D263DA" w:rsidRDefault="00000000">
      <w:pPr>
        <w:pStyle w:val="a6"/>
        <w:numPr>
          <w:ilvl w:val="1"/>
          <w:numId w:val="82"/>
        </w:numPr>
        <w:spacing w:after="120"/>
        <w:contextualSpacing w:val="0"/>
        <w:rPr>
          <w:rFonts w:cs="Times New Roman"/>
        </w:rPr>
      </w:pPr>
      <w:r>
        <w:rPr>
          <w:rFonts w:eastAsia="Times New Roman" w:cs="Times New Roman"/>
          <w:lang w:val="pt-BR"/>
        </w:rPr>
        <w:t>identificação do estudante;</w:t>
      </w:r>
    </w:p>
    <w:p w14:paraId="56A0CC42" w14:textId="77777777" w:rsidR="00D263DA" w:rsidRDefault="00000000">
      <w:pPr>
        <w:pStyle w:val="a6"/>
        <w:numPr>
          <w:ilvl w:val="1"/>
          <w:numId w:val="82"/>
        </w:numPr>
        <w:rPr>
          <w:rFonts w:cs="Times New Roman"/>
        </w:rPr>
      </w:pPr>
      <w:r>
        <w:rPr>
          <w:rFonts w:eastAsia="Times New Roman" w:cs="Times New Roman"/>
          <w:lang w:val="pt-BR"/>
        </w:rPr>
        <w:t xml:space="preserve">resolução de disputas; </w:t>
      </w:r>
    </w:p>
    <w:p w14:paraId="71C8E98C" w14:textId="77777777" w:rsidR="00D263DA" w:rsidRPr="00CC1CB4" w:rsidRDefault="00000000">
      <w:pPr>
        <w:pStyle w:val="a6"/>
        <w:numPr>
          <w:ilvl w:val="1"/>
          <w:numId w:val="82"/>
        </w:numPr>
        <w:spacing w:after="120"/>
        <w:contextualSpacing w:val="0"/>
        <w:rPr>
          <w:rFonts w:cs="Times New Roman"/>
          <w:lang w:val="es-ES"/>
        </w:rPr>
      </w:pPr>
      <w:r>
        <w:rPr>
          <w:rFonts w:eastAsia="Times New Roman" w:cs="Times New Roman"/>
          <w:lang w:val="pt-BR"/>
        </w:rPr>
        <w:t xml:space="preserve">apoio ao pessoal da escola e acesso aos serviços; </w:t>
      </w:r>
    </w:p>
    <w:p w14:paraId="43B49D70" w14:textId="77777777" w:rsidR="00D263DA" w:rsidRDefault="00000000">
      <w:pPr>
        <w:pStyle w:val="a6"/>
        <w:numPr>
          <w:ilvl w:val="1"/>
          <w:numId w:val="82"/>
        </w:numPr>
        <w:rPr>
          <w:rFonts w:cs="Times New Roman"/>
        </w:rPr>
      </w:pPr>
      <w:r>
        <w:rPr>
          <w:rFonts w:eastAsia="Times New Roman" w:cs="Times New Roman"/>
          <w:lang w:val="pt-BR"/>
        </w:rPr>
        <w:t xml:space="preserve">acesso aos serviços </w:t>
      </w:r>
    </w:p>
    <w:p w14:paraId="0308BC04" w14:textId="77777777" w:rsidR="00D30560" w:rsidRPr="00D30560" w:rsidRDefault="00000000" w:rsidP="00D30560">
      <w:pPr>
        <w:spacing w:before="240"/>
        <w:rPr>
          <w:rFonts w:eastAsia="Aptos" w:cs="Times New Roman"/>
          <w:color w:val="365F91" w:themeColor="accent1" w:themeShade="BF"/>
        </w:rPr>
      </w:pPr>
      <w:r>
        <w:rPr>
          <w:rFonts w:eastAsia="Times New Roman" w:cs="Times New Roman"/>
          <w:color w:val="365F91"/>
          <w:lang w:val="pt-BR"/>
        </w:rPr>
        <w:t>[finalizar resposta do NJDOE]</w:t>
      </w:r>
    </w:p>
    <w:p w14:paraId="01218F44" w14:textId="77777777" w:rsidR="00D263DA" w:rsidRPr="00CC1CB4" w:rsidRDefault="00000000" w:rsidP="00357E87">
      <w:pPr>
        <w:pStyle w:val="BeginUSED"/>
        <w:rPr>
          <w:rStyle w:val="40"/>
          <w:rFonts w:ascii="Times New Roman" w:eastAsiaTheme="minorHAnsi" w:hAnsi="Times New Roman" w:cs="Times New Roman"/>
          <w:i/>
          <w:iCs/>
          <w:color w:val="auto"/>
          <w:lang w:val="es-ES"/>
        </w:rPr>
      </w:pPr>
      <w:r>
        <w:rPr>
          <w:rFonts w:eastAsia="Times New Roman"/>
          <w:color w:val="FFFFFF"/>
          <w:szCs w:val="4"/>
          <w:lang w:val="pt-BR"/>
        </w:rPr>
        <w:t>[iniciar o texto do USED]</w:t>
      </w:r>
    </w:p>
    <w:p w14:paraId="7F81E4D1" w14:textId="77777777" w:rsidR="000A05F9" w:rsidRPr="00856537" w:rsidRDefault="00000000" w:rsidP="00856537">
      <w:pPr>
        <w:pStyle w:val="A20"/>
        <w:spacing w:before="0"/>
      </w:pPr>
      <w:bookmarkStart w:id="235" w:name="_Toc171333321"/>
      <w:bookmarkStart w:id="236" w:name="_Toc199403809"/>
      <w:r>
        <w:t>1. Identificação do aluno (722(g)(1)(B) da Lei McKinney-Vento)</w:t>
      </w:r>
      <w:bookmarkEnd w:id="235"/>
      <w:bookmarkEnd w:id="236"/>
    </w:p>
    <w:p w14:paraId="353410D8" w14:textId="77777777" w:rsidR="00D263DA" w:rsidRPr="00CC1CB4" w:rsidRDefault="00000000" w:rsidP="005C07C7">
      <w:pPr>
        <w:pStyle w:val="blue"/>
        <w:spacing w:after="0"/>
        <w:ind w:left="0"/>
        <w:rPr>
          <w:lang w:val="es-ES"/>
        </w:rPr>
      </w:pPr>
      <w:r>
        <w:rPr>
          <w:rFonts w:ascii="Cambria" w:eastAsia="Cambria" w:hAnsi="Cambria"/>
          <w:lang w:val="pt-BR"/>
        </w:rPr>
        <w:t>Descrever os procedimentos que o SEA usará para identificar crianças e jovens sem-teto no estado e para avaliar suas necessidades.</w:t>
      </w:r>
    </w:p>
    <w:p w14:paraId="2976FCEC" w14:textId="77777777" w:rsidR="00357E87" w:rsidRPr="00CC1CB4" w:rsidRDefault="00000000" w:rsidP="00357E87">
      <w:pPr>
        <w:pStyle w:val="EndUSED"/>
        <w:rPr>
          <w:lang w:val="es-ES"/>
        </w:rPr>
      </w:pPr>
      <w:r>
        <w:rPr>
          <w:rFonts w:eastAsia="Times New Roman"/>
          <w:color w:val="FFFFFF"/>
          <w:szCs w:val="4"/>
          <w:lang w:val="pt-BR"/>
        </w:rPr>
        <w:t xml:space="preserve">[finalizar texto do USED] </w:t>
      </w:r>
    </w:p>
    <w:p w14:paraId="54D1A407" w14:textId="77777777" w:rsidR="00D263DA" w:rsidRPr="00CC1CB4" w:rsidRDefault="00000000" w:rsidP="007B6555">
      <w:pPr>
        <w:spacing w:before="240"/>
        <w:rPr>
          <w:rStyle w:val="NJDOEResponse"/>
          <w:lang w:val="es-ES"/>
        </w:rPr>
      </w:pPr>
      <w:r>
        <w:rPr>
          <w:rStyle w:val="NJDOEResponse"/>
          <w:rFonts w:eastAsia="Times New Roman"/>
          <w:color w:val="365F91"/>
          <w:lang w:val="pt-BR"/>
        </w:rPr>
        <w:t>[iniciar a resposta do NJDOE]</w:t>
      </w:r>
    </w:p>
    <w:p w14:paraId="098E8686" w14:textId="77777777" w:rsidR="00D263DA" w:rsidRPr="00CC1CB4" w:rsidRDefault="00000000" w:rsidP="00D263DA">
      <w:pPr>
        <w:spacing w:after="160" w:line="257" w:lineRule="auto"/>
        <w:ind w:left="-20" w:right="-20"/>
        <w:rPr>
          <w:rFonts w:eastAsia="Times New Roman" w:cs="Times New Roman"/>
          <w:lang w:val="es-ES"/>
        </w:rPr>
      </w:pPr>
      <w:r>
        <w:rPr>
          <w:rFonts w:eastAsia="Times New Roman" w:cs="Times New Roman"/>
          <w:lang w:val="pt-BR"/>
        </w:rPr>
        <w:t xml:space="preserve">O NJDOE fornece apostilas de dados de contagens de sem-teto para as LEAs anualmente para apoiar a identificação de alunos e jovens que passam por desabrigados. As pastas de trabalho compilam dados de cada LEA sobre a identificação e o desempenho de alunos que passam por falta de moradia e fornecem comparações com Nova Jersey e médias nacionais, quando possível. O pessoal da LEA pode usar esses dados para identificar pontos fortes e fracos em sua identificação e apoio aos alunos que estão sem-teto. Os projetos regionais também podem usar as pastas de trabalho para fornecer assistência técnica às LEAs. </w:t>
      </w:r>
    </w:p>
    <w:p w14:paraId="3BCB7E53" w14:textId="77777777" w:rsidR="00D263DA" w:rsidRPr="00CC1CB4" w:rsidRDefault="00000000" w:rsidP="00D263DA">
      <w:pPr>
        <w:rPr>
          <w:rFonts w:cs="Times New Roman"/>
          <w:lang w:val="es-ES"/>
        </w:rPr>
      </w:pPr>
      <w:r>
        <w:rPr>
          <w:rFonts w:eastAsia="Times New Roman" w:cs="Times New Roman"/>
          <w:lang w:val="pt-BR"/>
        </w:rPr>
        <w:t>Para garantir que os funcionários da escola estejam cientes de suas obrigações em relação a crianças e jovens que estão vivenciando falta de moradia, os contatos da LEA devem treinar seus respectivos administradores escolares, professores e equipe de apoio no reconhecimento de possíveis indicadores de falta de moradia e fatores que determinam a elegibilidade da McKinney-Vento. Simultaneamente, as LEAs devem ter formulários de registro e inscrição que permitam que pais, responsáveis e jovens desacompanhados identifiquem suas situações de vida de maneira amigável e não ameaçadora.</w:t>
      </w:r>
    </w:p>
    <w:p w14:paraId="08BA001C" w14:textId="77777777" w:rsidR="00D263DA" w:rsidRPr="00CC1CB4" w:rsidRDefault="00000000" w:rsidP="00D263DA">
      <w:pPr>
        <w:rPr>
          <w:rFonts w:cs="Times New Roman"/>
          <w:lang w:val="es-ES"/>
        </w:rPr>
      </w:pPr>
      <w:r>
        <w:rPr>
          <w:rFonts w:eastAsia="Times New Roman" w:cs="Times New Roman"/>
          <w:lang w:val="pt-BR"/>
        </w:rPr>
        <w:t>O NJDOE e os projetos de parceria regional colaboram com programas fugitivos e juvenis sem-teto, juntamente com outros programas. Essas parcerias auxiliam na identificação de jovens que precisam de serviços e fornecem apoio por meio de alcance de rua, abrigos de emergência, vida transicional e programas domésticos em grupo de maternidade para jovens que passam por falta de moradia. O objetivo é proteger e apoiar</w:t>
      </w:r>
      <w:r>
        <w:rPr>
          <w:rFonts w:eastAsia="Times New Roman" w:cs="Times New Roman"/>
          <w:color w:val="FF0000"/>
          <w:lang w:val="pt-BR"/>
        </w:rPr>
        <w:t xml:space="preserve"> </w:t>
      </w:r>
      <w:r>
        <w:rPr>
          <w:rFonts w:eastAsia="Times New Roman" w:cs="Times New Roman"/>
          <w:lang w:val="pt-BR"/>
        </w:rPr>
        <w:t xml:space="preserve">indivíduos vulneráveis. Por meio de parcerias e colaboração entre agências, como </w:t>
      </w:r>
      <w:r>
        <w:rPr>
          <w:rFonts w:eastAsia="Times New Roman" w:cs="Times New Roman"/>
          <w:lang w:val="pt-BR"/>
        </w:rPr>
        <w:lastRenderedPageBreak/>
        <w:t>pesquisas pontuais ou questionários sobre habitação e oportunidades de treinamento entre setores, são descritos e implementados procedimentos para identificar e atender às necessidades das crianças e jovens de Nova Jersey que passam por falta de moradia.</w:t>
      </w:r>
    </w:p>
    <w:p w14:paraId="62A2F05C" w14:textId="77777777" w:rsidR="00D263DA" w:rsidRPr="00CC1CB4" w:rsidRDefault="00000000" w:rsidP="00D263DA">
      <w:pPr>
        <w:rPr>
          <w:rStyle w:val="NJDOEResponse"/>
          <w:lang w:val="es-ES"/>
        </w:rPr>
      </w:pPr>
      <w:r>
        <w:rPr>
          <w:rStyle w:val="NJDOEResponse"/>
          <w:rFonts w:eastAsia="Times New Roman"/>
          <w:color w:val="365F91"/>
          <w:lang w:val="pt-BR"/>
        </w:rPr>
        <w:t>[finalizar resposta do NJDOE]</w:t>
      </w:r>
    </w:p>
    <w:p w14:paraId="1FEBF07C" w14:textId="77777777" w:rsidR="00D263DA" w:rsidRPr="00CC1CB4" w:rsidRDefault="00000000" w:rsidP="00815DA5">
      <w:pPr>
        <w:pStyle w:val="BeginUSED"/>
        <w:rPr>
          <w:rStyle w:val="NJDOEResponse"/>
          <w:lang w:val="es-ES"/>
        </w:rPr>
      </w:pPr>
      <w:r>
        <w:rPr>
          <w:rFonts w:eastAsia="Times New Roman"/>
          <w:color w:val="FFFFFF"/>
          <w:szCs w:val="4"/>
          <w:lang w:val="pt-BR"/>
        </w:rPr>
        <w:t xml:space="preserve">[iniciar o texto do USED] </w:t>
      </w:r>
    </w:p>
    <w:p w14:paraId="39759093" w14:textId="77777777" w:rsidR="002613A7" w:rsidRPr="00856537" w:rsidRDefault="00000000" w:rsidP="00856537">
      <w:pPr>
        <w:pStyle w:val="A20"/>
        <w:spacing w:before="0"/>
      </w:pPr>
      <w:bookmarkStart w:id="237" w:name="_Toc171333322"/>
      <w:bookmarkStart w:id="238" w:name="_Toc199403810"/>
      <w:r>
        <w:t>2. Resolução de disputas (722(g)(1)(C) da Lei McKinney-Vento)</w:t>
      </w:r>
      <w:bookmarkEnd w:id="237"/>
      <w:bookmarkEnd w:id="238"/>
    </w:p>
    <w:p w14:paraId="6E3834D6" w14:textId="77777777" w:rsidR="00D263DA" w:rsidRPr="00CC1CB4" w:rsidRDefault="00000000" w:rsidP="002613A7">
      <w:pPr>
        <w:pStyle w:val="blue"/>
        <w:spacing w:after="0"/>
        <w:ind w:left="0"/>
        <w:rPr>
          <w:lang w:val="es-ES"/>
        </w:rPr>
      </w:pPr>
      <w:r>
        <w:rPr>
          <w:rFonts w:ascii="Cambria" w:eastAsia="Cambria" w:hAnsi="Cambria"/>
          <w:lang w:val="pt-BR"/>
        </w:rPr>
        <w:t xml:space="preserve">Descrever procedimentos para a resolução imediata de disputas sobre a colocação educacional de crianças e jovens sem-teto. </w:t>
      </w:r>
    </w:p>
    <w:p w14:paraId="7D4FE2FC" w14:textId="77777777" w:rsidR="00357E87" w:rsidRPr="00CC1CB4" w:rsidRDefault="00000000" w:rsidP="00815DA5">
      <w:pPr>
        <w:pStyle w:val="EndUSED"/>
        <w:rPr>
          <w:rStyle w:val="40"/>
          <w:rFonts w:ascii="Cambria" w:hAnsi="Cambria"/>
          <w:b w:val="0"/>
          <w:i/>
          <w:lang w:val="es-ES"/>
        </w:rPr>
      </w:pPr>
      <w:r>
        <w:rPr>
          <w:rFonts w:eastAsia="Times New Roman"/>
          <w:color w:val="FFFFFF"/>
          <w:szCs w:val="4"/>
          <w:lang w:val="pt-BR"/>
        </w:rPr>
        <w:t>[finalizar texto do USED]</w:t>
      </w:r>
    </w:p>
    <w:p w14:paraId="7CC3D774" w14:textId="77777777" w:rsidR="00D263DA" w:rsidRPr="00CC1CB4" w:rsidRDefault="00000000" w:rsidP="00D22B06">
      <w:pPr>
        <w:spacing w:before="240"/>
        <w:rPr>
          <w:rStyle w:val="NJDOEResponse"/>
          <w:lang w:val="es-ES"/>
        </w:rPr>
      </w:pPr>
      <w:r>
        <w:rPr>
          <w:rStyle w:val="NJDOEResponse"/>
          <w:rFonts w:eastAsia="Times New Roman"/>
          <w:color w:val="365F91"/>
          <w:lang w:val="pt-BR"/>
        </w:rPr>
        <w:t>[iniciar a resposta do NJDOE]</w:t>
      </w:r>
    </w:p>
    <w:p w14:paraId="002D6B5D" w14:textId="77777777" w:rsidR="00D263DA" w:rsidRPr="00CC1CB4" w:rsidRDefault="00000000" w:rsidP="00D263DA">
      <w:pPr>
        <w:rPr>
          <w:rFonts w:cs="Times New Roman"/>
          <w:lang w:val="es-ES"/>
        </w:rPr>
      </w:pPr>
      <w:r>
        <w:rPr>
          <w:rFonts w:eastAsia="Times New Roman" w:cs="Times New Roman"/>
          <w:lang w:val="pt-BR"/>
        </w:rPr>
        <w:t xml:space="preserve">O NJDOE tem um procedimento descrito, de acordo com o N.J.A.C. 6A:17-2.7, Disputas e Recursos, para garantir que as disputas sobre a colocação educacional de crianças e jovens que estão passando por falta de moradia sejam resolvidas dentro de 48 horas do recebimento da disputa. As regras são divulgadas ao pessoal da escola, diretores e outros líderes da escola, agentes de frequência, professores, pessoal de matrícula e pessoal especializado de apoio instrucional como parte dos treinamentos regionais e do NJDOE, e disponibilizadas a todas as partes interessadas no site do NJDOE: </w:t>
      </w:r>
      <w:hyperlink r:id="rId44" w:history="1">
        <w:r w:rsidR="00D263DA">
          <w:rPr>
            <w:rFonts w:eastAsia="Times New Roman" w:cs="Times New Roman"/>
            <w:color w:val="0000FF"/>
            <w:u w:val="single"/>
            <w:lang w:val="pt-BR"/>
          </w:rPr>
          <w:t>N.J.A.C. 6A:17 (PDF)</w:t>
        </w:r>
      </w:hyperlink>
    </w:p>
    <w:p w14:paraId="697C89C0" w14:textId="77777777" w:rsidR="008541C2" w:rsidRPr="00CC1CB4" w:rsidRDefault="00000000">
      <w:pPr>
        <w:rPr>
          <w:rFonts w:cs="Times New Roman"/>
          <w:noProof/>
          <w:sz w:val="28"/>
          <w:szCs w:val="28"/>
          <w:lang w:val="es-ES"/>
        </w:rPr>
      </w:pPr>
      <w:r>
        <w:rPr>
          <w:rStyle w:val="NJDOEResponse"/>
          <w:rFonts w:eastAsia="Times New Roman"/>
          <w:color w:val="365F91"/>
          <w:lang w:val="pt-BR"/>
        </w:rPr>
        <w:t>[finalizar resposta do NJDOE]</w:t>
      </w:r>
      <w:r>
        <w:rPr>
          <w:rStyle w:val="NJDOEResponse"/>
          <w:rFonts w:eastAsia="Times New Roman"/>
          <w:color w:val="auto"/>
          <w:sz w:val="28"/>
          <w:szCs w:val="28"/>
          <w:lang w:val="pt-BR"/>
        </w:rPr>
        <w:t xml:space="preserve"> </w:t>
      </w:r>
    </w:p>
    <w:p w14:paraId="69BD8914" w14:textId="77777777" w:rsidR="00D263DA" w:rsidRPr="00CC1CB4" w:rsidRDefault="00000000" w:rsidP="00815DA5">
      <w:pPr>
        <w:pStyle w:val="BeginUSED"/>
        <w:rPr>
          <w:rFonts w:cs="Times New Roman"/>
          <w:color w:val="183C5C"/>
          <w:lang w:val="es-ES"/>
        </w:rPr>
      </w:pPr>
      <w:r>
        <w:rPr>
          <w:rFonts w:eastAsia="Times New Roman"/>
          <w:color w:val="FFFFFF"/>
          <w:szCs w:val="4"/>
          <w:lang w:val="pt-BR"/>
        </w:rPr>
        <w:t xml:space="preserve">[iniciar o texto do USED] </w:t>
      </w:r>
    </w:p>
    <w:p w14:paraId="2740B5EF" w14:textId="77777777" w:rsidR="00F626FC" w:rsidRPr="00856537" w:rsidRDefault="00000000" w:rsidP="00856537">
      <w:pPr>
        <w:pStyle w:val="A20"/>
        <w:spacing w:before="0"/>
      </w:pPr>
      <w:bookmarkStart w:id="239" w:name="_Toc171333323"/>
      <w:bookmarkStart w:id="240" w:name="_Toc199403811"/>
      <w:r>
        <w:t>3. Apoio ao pessoal escolar (722(g)(1)(D) da Lei McKinney-Vento)</w:t>
      </w:r>
      <w:bookmarkEnd w:id="239"/>
      <w:bookmarkEnd w:id="240"/>
    </w:p>
    <w:p w14:paraId="78905A5A" w14:textId="77777777" w:rsidR="00D263DA" w:rsidRPr="00CC1CB4" w:rsidRDefault="00000000" w:rsidP="00BA34FD">
      <w:pPr>
        <w:pStyle w:val="blue"/>
        <w:spacing w:after="0"/>
        <w:ind w:left="0"/>
        <w:rPr>
          <w:lang w:val="es-ES"/>
        </w:rPr>
      </w:pPr>
      <w:r>
        <w:rPr>
          <w:rFonts w:ascii="Cambria" w:eastAsia="Cambria" w:hAnsi="Cambria"/>
          <w:lang w:val="pt-BR"/>
        </w:rPr>
        <w:t xml:space="preserve">Descrever programas para o pessoal da escola (incluindo os contatos da LEA para crianças e jovens sem-teto, diretores e outros líderes da escola, agentes de frequência, professores, pessoal de matrícula e pessoal especializado em apoio instrucional) para aumentar a conscientização desse pessoal da escola sobre as necessidades específicas de crianças e jovens sem-teto, incluindo crianças e jovens desabrigados. </w:t>
      </w:r>
    </w:p>
    <w:p w14:paraId="54E7284E" w14:textId="77777777" w:rsidR="00D263DA" w:rsidRPr="00CC1CB4" w:rsidRDefault="00000000" w:rsidP="00815DA5">
      <w:pPr>
        <w:pStyle w:val="EndUSED"/>
        <w:rPr>
          <w:rStyle w:val="NJDOEResponse"/>
          <w:lang w:val="es-ES"/>
        </w:rPr>
      </w:pPr>
      <w:r>
        <w:rPr>
          <w:rFonts w:eastAsia="Times New Roman"/>
          <w:color w:val="FFFFFF"/>
          <w:szCs w:val="4"/>
          <w:lang w:val="pt-BR"/>
        </w:rPr>
        <w:t>[finalizar texto do USED]</w:t>
      </w:r>
    </w:p>
    <w:p w14:paraId="43020AAF" w14:textId="77777777" w:rsidR="00D263DA" w:rsidRPr="00CC1CB4" w:rsidRDefault="00000000" w:rsidP="00D22B06">
      <w:pPr>
        <w:spacing w:before="240"/>
        <w:rPr>
          <w:rStyle w:val="NJDOEResponse"/>
          <w:lang w:val="es-ES"/>
        </w:rPr>
      </w:pPr>
      <w:r>
        <w:rPr>
          <w:rStyle w:val="NJDOEResponse"/>
          <w:rFonts w:eastAsia="Times New Roman"/>
          <w:color w:val="365F91"/>
          <w:lang w:val="pt-BR"/>
        </w:rPr>
        <w:t>[iniciar a resposta do NJDOE]</w:t>
      </w:r>
    </w:p>
    <w:p w14:paraId="4060A6F4" w14:textId="77777777" w:rsidR="00683749" w:rsidRPr="00CC1CB4" w:rsidRDefault="00000000" w:rsidP="00223B04">
      <w:pPr>
        <w:rPr>
          <w:rFonts w:cs="Times New Roman"/>
          <w:lang w:val="es-ES"/>
        </w:rPr>
      </w:pPr>
      <w:r>
        <w:rPr>
          <w:rFonts w:eastAsia="Times New Roman" w:cs="Times New Roman"/>
          <w:lang w:val="pt-BR"/>
        </w:rPr>
        <w:t>Por meio de seus projetos regionais McKinney-Vento, o NJDOE atende crianças e jovens que passam por desabrigados nos 21 condados de Nova Jersey. Por meio do desenvolvimento profissional necessário para as LEAs em seus respectivos municípios, os projetos aumentam a conscientização do pessoal da escola e da LEA sobre as necessidades específicas de crianças e jovens fugitivos. Em seu NGO para potenciais sub-beneficiários dos fundos da McKinney-Vento, o NJDOE comunica os requisitos para a implementação bem-sucedida de programas e serviços para estudantes que estão vivenciando falta de moradia. Uma atividade obrigatória para os beneficiários é a implementação de desenvolvimento profissional para a escola e para os funcionários da LEA que se concentra em:</w:t>
      </w:r>
    </w:p>
    <w:p w14:paraId="56F1AE23" w14:textId="77777777" w:rsidR="00BA34FD" w:rsidRPr="00CC1CB4" w:rsidRDefault="00000000" w:rsidP="00E80319">
      <w:pPr>
        <w:pStyle w:val="CallOut"/>
        <w:ind w:left="450" w:right="450"/>
        <w:rPr>
          <w:lang w:val="es-ES"/>
        </w:rPr>
      </w:pPr>
      <w:r>
        <w:rPr>
          <w:rFonts w:eastAsia="Times New Roman"/>
          <w:szCs w:val="24"/>
          <w:lang w:val="pt-BR"/>
        </w:rPr>
        <w:lastRenderedPageBreak/>
        <w:t>Desenvolvimento profissional e assistência técnica para administradores, pessoal instrucional e pessoal não instrucional para desenvolver conscientização e aumentar a compreensão e a sensibilidade às necessidades e direitos de crianças e jovens que estão passando por falta de moradia, e às necessidades educacionais específicas de fuga e jovens que estão passando por falta de moradia.</w:t>
      </w:r>
    </w:p>
    <w:p w14:paraId="10B26A35" w14:textId="77777777" w:rsidR="00D263DA" w:rsidRPr="00CC1CB4" w:rsidRDefault="00000000" w:rsidP="00223B04">
      <w:pPr>
        <w:rPr>
          <w:rFonts w:cs="Times New Roman"/>
          <w:lang w:val="es-ES"/>
        </w:rPr>
      </w:pPr>
      <w:r>
        <w:rPr>
          <w:rFonts w:eastAsia="Times New Roman" w:cs="Times New Roman"/>
          <w:lang w:val="pt-BR"/>
        </w:rPr>
        <w:t>O NGO também articula o uso de fundos para:</w:t>
      </w:r>
    </w:p>
    <w:p w14:paraId="27A11F8A" w14:textId="77777777" w:rsidR="00D263DA" w:rsidRPr="00CC1CB4" w:rsidRDefault="00000000" w:rsidP="00223B04">
      <w:pPr>
        <w:pStyle w:val="CallOut"/>
        <w:spacing w:after="200" w:line="276" w:lineRule="auto"/>
        <w:ind w:left="432" w:right="432"/>
        <w:rPr>
          <w:sz w:val="22"/>
          <w:szCs w:val="22"/>
          <w:lang w:val="pt-BR"/>
        </w:rPr>
      </w:pPr>
      <w:r>
        <w:rPr>
          <w:rFonts w:eastAsia="Times New Roman"/>
          <w:sz w:val="22"/>
          <w:szCs w:val="22"/>
          <w:lang w:val="pt-BR"/>
        </w:rPr>
        <w:t>Programas que coordenam serviços prestados por escolas e outras agências a alunos elegíveis para expandir e aprimorar tais serviços. A coordenação com programas financiados pela Lei de Jovens Fugitivos e Sem-teto (Runaway and Homeless Youth Act) deve ser incluída neste esforço.</w:t>
      </w:r>
    </w:p>
    <w:p w14:paraId="6B43B205" w14:textId="77777777" w:rsidR="00D263DA" w:rsidRPr="00CC1CB4" w:rsidRDefault="00000000" w:rsidP="00223B04">
      <w:pPr>
        <w:rPr>
          <w:rFonts w:cs="Times New Roman"/>
          <w:lang w:val="es-ES"/>
        </w:rPr>
      </w:pPr>
      <w:r>
        <w:rPr>
          <w:rFonts w:eastAsia="Times New Roman" w:cs="Times New Roman"/>
          <w:lang w:val="pt-BR"/>
        </w:rPr>
        <w:t>Para aumentar ainda mais a conscientização dos funcionários da escola sobre as necessidades específicas de crianças e jovens desabrigados que passam por falta de moradia, o NJDOE inclui o compartilhamento mais frequente de informações de representantes de organizações que atendem a desabrigados e jovens que passam por desabrigados, como a Covenant House.</w:t>
      </w:r>
    </w:p>
    <w:p w14:paraId="1F114F32" w14:textId="77777777" w:rsidR="00D263DA" w:rsidRPr="00CC1CB4" w:rsidRDefault="00000000" w:rsidP="00223B04">
      <w:pPr>
        <w:rPr>
          <w:rFonts w:cs="Times New Roman"/>
          <w:lang w:val="es-ES"/>
        </w:rPr>
      </w:pPr>
      <w:r>
        <w:rPr>
          <w:rFonts w:eastAsia="Times New Roman" w:cs="Times New Roman"/>
          <w:lang w:val="pt-BR"/>
        </w:rPr>
        <w:t>Os projetos do NJDOE e regionais da McKinney-Vento continuarão a oferecer treinamento ao pessoal da LEA com responsabilidades pelo programa. O cronograma atual de oportunidades de desenvolvimento profissional inclui o horário de expediente mensal para os contatos sem-teto do distrito/LEA, treinamento regional oferecido trimestralmente por cada agência líder regional e durante as reuniões do diretor de projeto da agência líder. O NJDOE também implementou um processo de certificação de contatos da LEA para reconhecer a obtenção de conhecimento específico do programa. As estratégias adicionais do NJDOE incluem a disseminação de lembretes anuais às LEAs sobre a identificação e inscrição de alunos elegíveis da McKinney-Vento. A conformidade é monitorada por meio de visitas de monitoramento no escritório e no centro.</w:t>
      </w:r>
    </w:p>
    <w:p w14:paraId="761801DC" w14:textId="77777777" w:rsidR="00D263DA" w:rsidRPr="00CC1CB4" w:rsidRDefault="00000000" w:rsidP="00D263DA">
      <w:pPr>
        <w:rPr>
          <w:rStyle w:val="NJDOEResponse"/>
          <w:lang w:val="es-ES"/>
        </w:rPr>
      </w:pPr>
      <w:r>
        <w:rPr>
          <w:rStyle w:val="NJDOEResponse"/>
          <w:rFonts w:eastAsia="Times New Roman"/>
          <w:color w:val="365F91"/>
          <w:lang w:val="pt-BR"/>
        </w:rPr>
        <w:t>[finalizar resposta do NJDOE]</w:t>
      </w:r>
    </w:p>
    <w:p w14:paraId="120C46D1" w14:textId="77777777" w:rsidR="00D263DA" w:rsidRPr="00CC1CB4" w:rsidRDefault="00000000" w:rsidP="00815DA5">
      <w:pPr>
        <w:pStyle w:val="BeginUSED"/>
        <w:rPr>
          <w:rStyle w:val="NJDOEResponse"/>
          <w:lang w:val="es-ES"/>
        </w:rPr>
      </w:pPr>
      <w:r>
        <w:rPr>
          <w:rFonts w:eastAsia="Times New Roman"/>
          <w:color w:val="FFFFFF"/>
          <w:szCs w:val="4"/>
          <w:lang w:val="pt-BR"/>
        </w:rPr>
        <w:t>[iniciar o texto do USED]</w:t>
      </w:r>
    </w:p>
    <w:p w14:paraId="7C0576FF" w14:textId="77777777" w:rsidR="00BA34FD" w:rsidRPr="00856537" w:rsidRDefault="00000000" w:rsidP="00856537">
      <w:pPr>
        <w:pStyle w:val="A20"/>
        <w:spacing w:before="0"/>
      </w:pPr>
      <w:bookmarkStart w:id="241" w:name="_Toc171333324"/>
      <w:bookmarkStart w:id="242" w:name="_Toc199403812"/>
      <w:r>
        <w:t>4. Acesso aos serviços (722(g)(1)(F) da Lei McKinney-Vento</w:t>
      </w:r>
      <w:bookmarkEnd w:id="241"/>
      <w:bookmarkEnd w:id="242"/>
    </w:p>
    <w:p w14:paraId="78B301E1" w14:textId="77777777" w:rsidR="00D263DA" w:rsidRPr="00CC1CB4" w:rsidRDefault="00000000" w:rsidP="00BA34FD">
      <w:pPr>
        <w:pStyle w:val="blue"/>
        <w:spacing w:after="120"/>
        <w:ind w:left="0"/>
        <w:rPr>
          <w:lang w:val="es-ES"/>
        </w:rPr>
      </w:pPr>
      <w:r>
        <w:rPr>
          <w:rFonts w:ascii="Cambria" w:eastAsia="Cambria" w:hAnsi="Cambria"/>
          <w:lang w:val="pt-BR"/>
        </w:rPr>
        <w:t>Descrever procedimentos que garantam que:</w:t>
      </w:r>
    </w:p>
    <w:p w14:paraId="065C0EA7" w14:textId="77777777" w:rsidR="00D263DA" w:rsidRPr="00CC1CB4" w:rsidRDefault="00000000">
      <w:pPr>
        <w:pStyle w:val="blue"/>
        <w:numPr>
          <w:ilvl w:val="0"/>
          <w:numId w:val="194"/>
        </w:numPr>
        <w:spacing w:after="120"/>
        <w:ind w:left="432" w:hanging="144"/>
        <w:rPr>
          <w:lang w:val="es-ES"/>
        </w:rPr>
      </w:pPr>
      <w:r>
        <w:rPr>
          <w:rFonts w:ascii="Cambria" w:eastAsia="Cambria" w:hAnsi="Cambria"/>
          <w:lang w:val="pt-BR"/>
        </w:rPr>
        <w:t>Crianças sem-teto tenham acesso a programas públicos de pré-escola, administrados pelo SEA ou pela LEA, conforme fornecido a outras crianças no estado;</w:t>
      </w:r>
    </w:p>
    <w:p w14:paraId="14AABE2A" w14:textId="77777777" w:rsidR="00D263DA" w:rsidRPr="00CC1CB4" w:rsidRDefault="00000000">
      <w:pPr>
        <w:pStyle w:val="blue"/>
        <w:numPr>
          <w:ilvl w:val="0"/>
          <w:numId w:val="194"/>
        </w:numPr>
        <w:spacing w:after="120"/>
        <w:ind w:left="432" w:hanging="144"/>
        <w:rPr>
          <w:lang w:val="es-ES"/>
        </w:rPr>
      </w:pPr>
      <w:r>
        <w:rPr>
          <w:rFonts w:ascii="Cambria" w:eastAsia="Cambria" w:hAnsi="Cambria"/>
          <w:lang w:val="pt-BR"/>
        </w:rPr>
        <w:t xml:space="preserve">Jovens sem-teto e jovens separados de escolas públicas sejam identificados e recebam acesso igualitário aos serviços adequados de educação secundária e apoio, incluindo a identificação e remoção de barreiras que impedem que os jovens descritos nesta cláusula recebam crédito adequado por cursos completos ou parciais satisfatoriamente concluídos enquanto frequentam uma escola anterior, de acordo com as políticas estaduais, locais e escolares; </w:t>
      </w:r>
    </w:p>
    <w:p w14:paraId="754E0C26" w14:textId="77777777" w:rsidR="00D263DA" w:rsidRPr="00CC1CB4" w:rsidRDefault="00000000">
      <w:pPr>
        <w:pStyle w:val="blue"/>
        <w:numPr>
          <w:ilvl w:val="0"/>
          <w:numId w:val="194"/>
        </w:numPr>
        <w:spacing w:after="120"/>
        <w:ind w:left="432" w:hanging="144"/>
        <w:rPr>
          <w:lang w:val="es-ES"/>
        </w:rPr>
      </w:pPr>
      <w:r>
        <w:rPr>
          <w:rFonts w:ascii="Cambria" w:eastAsia="Cambria" w:hAnsi="Cambria"/>
          <w:lang w:val="pt-BR"/>
        </w:rPr>
        <w:t xml:space="preserve">Crianças e jovens sem-teto que atendam aos critérios de elegibilidade relevantes não enfrentem barreiras para acessar atividades acadêmicas e extracurriculares, incluindo escola de ímãs, </w:t>
      </w:r>
      <w:r>
        <w:rPr>
          <w:rFonts w:ascii="Cambria" w:eastAsia="Cambria" w:hAnsi="Cambria"/>
          <w:lang w:val="pt-BR"/>
        </w:rPr>
        <w:lastRenderedPageBreak/>
        <w:t xml:space="preserve">escola de verão, formação profissional e técnica, colocação avançada, aprendizado online e programas de fretamento escolar, se tais programas estiverem disponíveis nos níveis estadual e local. </w:t>
      </w:r>
    </w:p>
    <w:p w14:paraId="4E35052A" w14:textId="21275B14" w:rsidR="008E203F" w:rsidRPr="00CC1CB4" w:rsidRDefault="00000000" w:rsidP="008E203F">
      <w:pPr>
        <w:pStyle w:val="EndUSED"/>
        <w:rPr>
          <w:rStyle w:val="NJDOEResponse"/>
          <w:rFonts w:eastAsia="Calibri"/>
          <w:color w:val="FFFFFF" w:themeColor="background1"/>
          <w:lang w:val="es-ES"/>
        </w:rPr>
      </w:pPr>
      <w:r>
        <w:rPr>
          <w:rFonts w:eastAsia="Times New Roman"/>
          <w:color w:val="FFFFFF"/>
          <w:szCs w:val="4"/>
          <w:lang w:val="pt-BR"/>
        </w:rPr>
        <w:t>[finalizar texto do USED]</w:t>
      </w:r>
    </w:p>
    <w:p w14:paraId="631403BB" w14:textId="77777777" w:rsidR="00D263DA" w:rsidRPr="00CC1CB4" w:rsidRDefault="00000000" w:rsidP="008E203F">
      <w:pPr>
        <w:rPr>
          <w:rStyle w:val="NJDOEResponse"/>
          <w:lang w:val="es-ES"/>
        </w:rPr>
      </w:pPr>
      <w:r>
        <w:rPr>
          <w:rStyle w:val="NJDOEResponse"/>
          <w:rFonts w:eastAsia="Times New Roman"/>
          <w:color w:val="365F91"/>
          <w:lang w:val="pt-BR"/>
        </w:rPr>
        <w:t>[iniciar a resposta do NJDOE]</w:t>
      </w:r>
    </w:p>
    <w:p w14:paraId="11E01738" w14:textId="77777777" w:rsidR="00D263DA" w:rsidRPr="00CC1CB4" w:rsidRDefault="00000000" w:rsidP="00856537">
      <w:pPr>
        <w:pStyle w:val="A30"/>
      </w:pPr>
      <w:bookmarkStart w:id="243" w:name="_Toc199403813"/>
      <w:r>
        <w:t>i</w:t>
      </w:r>
      <w:r>
        <w:rPr>
          <w:b w:val="0"/>
          <w:bCs w:val="0"/>
        </w:rPr>
        <w:t>.</w:t>
      </w:r>
      <w:r>
        <w:t xml:space="preserve"> Garantindo o acesso a programas pré-escolares</w:t>
      </w:r>
      <w:bookmarkEnd w:id="243"/>
      <w:r>
        <w:t xml:space="preserve"> </w:t>
      </w:r>
    </w:p>
    <w:p w14:paraId="5CE7839A" w14:textId="77777777" w:rsidR="00D263DA" w:rsidRPr="00CC1CB4" w:rsidRDefault="00000000" w:rsidP="00917C32">
      <w:pPr>
        <w:pStyle w:val="a6"/>
        <w:tabs>
          <w:tab w:val="left" w:pos="180"/>
        </w:tabs>
        <w:ind w:left="0"/>
        <w:rPr>
          <w:rStyle w:val="af7"/>
          <w:lang w:val="es-ES"/>
        </w:rPr>
      </w:pPr>
      <w:r>
        <w:rPr>
          <w:rFonts w:eastAsia="Times New Roman" w:cs="Times New Roman"/>
          <w:lang w:val="pt-BR"/>
        </w:rPr>
        <w:t xml:space="preserve">O NJDOE descreveu um procedimento, de acordo com o N.J.A.C. 6A:17-2.4, Designação de contatos da LEA e suas responsabilidades, que exige que as LEAs garantam que todas as famílias, crianças e jovens sem-teto recebam serviços educacionais aos quais são elegíveis, incluindo programas de início de carreira e programas pré-escolares administrados pela LEA. As regras são divulgadas ao pessoal da escola, diretores e outros líderes da escola, agentes de frequência, professores, pessoal de matrícula e pessoal especializado de apoio instrucional como parte dos treinamentos regionais e do NJDOE e estão disponíveis publicamente no site dos Códigos Administrativos e Estatutos para o </w:t>
      </w:r>
      <w:hyperlink r:id="rId45" w:history="1">
        <w:r w:rsidR="00D263DA">
          <w:rPr>
            <w:rFonts w:eastAsia="Times New Roman" w:cs="Times New Roman"/>
            <w:color w:val="0000FF"/>
            <w:u w:val="single"/>
            <w:lang w:val="pt-BR"/>
          </w:rPr>
          <w:t>Capítulo 17</w:t>
        </w:r>
      </w:hyperlink>
      <w:r>
        <w:rPr>
          <w:rFonts w:eastAsia="Times New Roman" w:cs="Times New Roman"/>
          <w:lang w:val="pt-BR"/>
        </w:rPr>
        <w:t xml:space="preserve"> do NJDOE.</w:t>
      </w:r>
    </w:p>
    <w:p w14:paraId="38B096FE" w14:textId="77777777" w:rsidR="00D263DA" w:rsidRPr="00CC1CB4" w:rsidRDefault="00000000" w:rsidP="00917C32">
      <w:pPr>
        <w:rPr>
          <w:rFonts w:cs="Times New Roman"/>
          <w:lang w:val="es-ES"/>
        </w:rPr>
      </w:pPr>
      <w:r>
        <w:rPr>
          <w:rFonts w:eastAsia="Times New Roman" w:cs="Times New Roman"/>
          <w:lang w:val="pt-BR"/>
        </w:rPr>
        <w:t>O NJDOE também realiza o monitoramento no local das políticas de inscrição e participação de estudantes das LEAs. Durante o monitoramento, o NJDOE analisa a documentação apropriada e fornece assistência técnica sobre barreiras reais e percebidas ao acesso de crianças sem-teto a programas públicos de pré-escola.</w:t>
      </w:r>
    </w:p>
    <w:p w14:paraId="699D6543" w14:textId="77777777" w:rsidR="00D263DA" w:rsidRPr="00CC1CB4" w:rsidRDefault="00000000" w:rsidP="00917C32">
      <w:pPr>
        <w:rPr>
          <w:rFonts w:cs="Times New Roman"/>
          <w:lang w:val="es-ES"/>
        </w:rPr>
      </w:pPr>
      <w:r>
        <w:rPr>
          <w:rFonts w:eastAsia="Times New Roman" w:cs="Times New Roman"/>
          <w:lang w:val="pt-BR"/>
        </w:rPr>
        <w:t>Por fim, o coordenador de serviços educacionais para estudantes sem-teto do NJDOE é membro do New Jersey Council for Young Children. O conselho, que inclui diversas partes interessadas na educação infantil, serve como um grupo consultivo para recomendações que informam o gabinete do governador sobre normas e financiamento para a educação infantil. A inclusão do coordenador estadual garante que as políticas e procedimentos estejam em vigor para abordar as barreiras à matrícula pré-escolar para crianças sem-teto.</w:t>
      </w:r>
    </w:p>
    <w:p w14:paraId="5642B71F" w14:textId="77777777" w:rsidR="00D263DA" w:rsidRPr="00CC1CB4" w:rsidRDefault="00000000" w:rsidP="00856537">
      <w:pPr>
        <w:pStyle w:val="A30"/>
      </w:pPr>
      <w:bookmarkStart w:id="244" w:name="_Toc199403814"/>
      <w:r>
        <w:t>ii. Garantindo o acesso ao ensino médio e aos serviços de suporte</w:t>
      </w:r>
      <w:bookmarkEnd w:id="244"/>
      <w:r>
        <w:t xml:space="preserve"> </w:t>
      </w:r>
    </w:p>
    <w:p w14:paraId="5877FCCC" w14:textId="77777777" w:rsidR="00D263DA" w:rsidRPr="00CC1CB4" w:rsidRDefault="00000000" w:rsidP="00D263DA">
      <w:pPr>
        <w:rPr>
          <w:rFonts w:cs="Times New Roman"/>
          <w:lang w:val="es-ES"/>
        </w:rPr>
      </w:pPr>
      <w:r>
        <w:rPr>
          <w:rFonts w:eastAsia="Times New Roman" w:cs="Times New Roman"/>
          <w:lang w:val="pt-BR"/>
        </w:rPr>
        <w:t xml:space="preserve">Os projetos do NJDOE e da LOA regional coordenam-se com vários programas vitais para jovens (por exemplo, preparação aprimorada para fornecer a uma plataforma de tutoria virtual; navegadores bilíngues de serviços sociais e de saúde; e organizações religiosas que prestam serviços gratuitos de lavanderia) para garantir o acesso a uma educação pública gratuita e apropriada em ambientes não segregados e sem barreiras, juntamente com os serviços de apoio acadêmico e social necessários. Os projetos regionais também fazem parceria com instituições de ensino superior para apoiar a transição bem-sucedida dessa população estudantil. Uma LOA formal e uma parceria de faculdade comunitária estão atualmente sendo testadas. </w:t>
      </w:r>
    </w:p>
    <w:p w14:paraId="0E2A0477" w14:textId="77777777" w:rsidR="00D263DA" w:rsidRPr="00CC1CB4" w:rsidRDefault="00000000" w:rsidP="00D263DA">
      <w:pPr>
        <w:rPr>
          <w:rFonts w:cs="Times New Roman"/>
          <w:lang w:val="es-ES"/>
        </w:rPr>
      </w:pPr>
      <w:r>
        <w:rPr>
          <w:rFonts w:eastAsia="Times New Roman" w:cs="Times New Roman"/>
          <w:lang w:val="pt-BR"/>
        </w:rPr>
        <w:t xml:space="preserve">Essas parcerias envolvem aumentar a identificação de alunos que se qualificam para os serviços da McKinney-Vento e abordar o apoio exclusivo necessário para que os jovens deslocados tenham sucesso além dos anos do ensino médio. As áreas específicas abordadas são conclusão de crédito, apoio na navegação pela transferência de créditos de escolas frequentadas anteriormente, acesso a faculdades e aconselhamento sobre candidaturas, e processo de candidatura a ajuda financeira. </w:t>
      </w:r>
    </w:p>
    <w:p w14:paraId="7CFA0159" w14:textId="77777777" w:rsidR="00D263DA" w:rsidRPr="00CC1CB4" w:rsidRDefault="00000000" w:rsidP="00856537">
      <w:pPr>
        <w:pStyle w:val="A30"/>
      </w:pPr>
      <w:bookmarkStart w:id="245" w:name="_Toc199403815"/>
      <w:r>
        <w:lastRenderedPageBreak/>
        <w:t>iii. Garantindo o acesso a atividades acadêmicas e extracurriculares</w:t>
      </w:r>
      <w:bookmarkEnd w:id="245"/>
      <w:r>
        <w:t xml:space="preserve"> </w:t>
      </w:r>
    </w:p>
    <w:p w14:paraId="1E12B569" w14:textId="77777777" w:rsidR="00D263DA" w:rsidRPr="00CC1CB4" w:rsidRDefault="00000000" w:rsidP="00D263DA">
      <w:pPr>
        <w:spacing w:after="120"/>
        <w:rPr>
          <w:rFonts w:cs="Times New Roman"/>
          <w:lang w:val="es-ES"/>
        </w:rPr>
      </w:pPr>
      <w:r>
        <w:rPr>
          <w:rFonts w:eastAsia="Times New Roman" w:cs="Times New Roman"/>
          <w:lang w:val="pt-BR"/>
        </w:rPr>
        <w:t>Anualmente, o NJDOE realiza o monitoramento no local de todas as LEAs que recebem fundos da McKinney-Vento e uma amostragem das LEAs que não recebem fundos da McKinney-Vento, que inclui escolas de fretamento e LEAs técnico-vocacionais do condado. O monitoramento de todas as LEAs não participantes inclui uma revisão das práticas e políticas da LEA para garantir que os alunos sem-teto recebam acesso a serviços/programas comparáveis aos recebidos por outros alunos. O protocolo de monitoramento especifica o acesso a alguns dos seguintes serviços/programas:</w:t>
      </w:r>
    </w:p>
    <w:p w14:paraId="4EC63D35" w14:textId="77777777" w:rsidR="00D263DA" w:rsidRPr="0045153F" w:rsidRDefault="00000000" w:rsidP="008E203F">
      <w:pPr>
        <w:pStyle w:val="a6"/>
        <w:numPr>
          <w:ilvl w:val="0"/>
          <w:numId w:val="27"/>
        </w:numPr>
        <w:spacing w:after="100" w:line="259" w:lineRule="auto"/>
        <w:contextualSpacing w:val="0"/>
        <w:rPr>
          <w:rFonts w:cs="Times New Roman"/>
        </w:rPr>
      </w:pPr>
      <w:r>
        <w:rPr>
          <w:rFonts w:eastAsia="Times New Roman" w:cs="Times New Roman"/>
          <w:lang w:val="pt-BR"/>
        </w:rPr>
        <w:t>cursos avançados/acelerados;</w:t>
      </w:r>
    </w:p>
    <w:p w14:paraId="2626FFB5" w14:textId="77777777" w:rsidR="00D263DA" w:rsidRPr="0045153F" w:rsidRDefault="00000000" w:rsidP="008E203F">
      <w:pPr>
        <w:pStyle w:val="a6"/>
        <w:numPr>
          <w:ilvl w:val="0"/>
          <w:numId w:val="27"/>
        </w:numPr>
        <w:spacing w:after="100" w:line="259" w:lineRule="auto"/>
        <w:contextualSpacing w:val="0"/>
        <w:rPr>
          <w:rFonts w:cs="Times New Roman"/>
        </w:rPr>
      </w:pPr>
      <w:r>
        <w:rPr>
          <w:rFonts w:eastAsia="Times New Roman" w:cs="Times New Roman"/>
          <w:lang w:val="pt-BR"/>
        </w:rPr>
        <w:t>educação vocacional/técnica;</w:t>
      </w:r>
    </w:p>
    <w:p w14:paraId="412C9A58" w14:textId="77777777" w:rsidR="00D263DA" w:rsidRPr="0045153F" w:rsidRDefault="00000000" w:rsidP="008E203F">
      <w:pPr>
        <w:pStyle w:val="a6"/>
        <w:numPr>
          <w:ilvl w:val="0"/>
          <w:numId w:val="27"/>
        </w:numPr>
        <w:spacing w:after="100" w:line="259" w:lineRule="auto"/>
        <w:contextualSpacing w:val="0"/>
        <w:rPr>
          <w:rFonts w:cs="Times New Roman"/>
        </w:rPr>
      </w:pPr>
      <w:r>
        <w:rPr>
          <w:rFonts w:eastAsia="Times New Roman" w:cs="Times New Roman"/>
          <w:lang w:val="pt-BR"/>
        </w:rPr>
        <w:t xml:space="preserve">educação talentosa; </w:t>
      </w:r>
    </w:p>
    <w:p w14:paraId="672A08C5" w14:textId="77777777" w:rsidR="00D263DA" w:rsidRPr="00CC1CB4" w:rsidRDefault="00000000" w:rsidP="008E203F">
      <w:pPr>
        <w:pStyle w:val="a6"/>
        <w:numPr>
          <w:ilvl w:val="0"/>
          <w:numId w:val="27"/>
        </w:numPr>
        <w:spacing w:after="100" w:line="259" w:lineRule="auto"/>
        <w:contextualSpacing w:val="0"/>
        <w:rPr>
          <w:rFonts w:cs="Times New Roman"/>
          <w:lang w:val="es-ES"/>
        </w:rPr>
      </w:pPr>
      <w:r>
        <w:rPr>
          <w:rFonts w:eastAsia="Times New Roman" w:cs="Times New Roman"/>
          <w:lang w:val="pt-BR"/>
        </w:rPr>
        <w:t>programas de dia/ano estendidos;</w:t>
      </w:r>
    </w:p>
    <w:p w14:paraId="529F4F7F" w14:textId="77777777" w:rsidR="00D263DA" w:rsidRPr="00CC1CB4" w:rsidRDefault="00000000">
      <w:pPr>
        <w:pStyle w:val="a6"/>
        <w:numPr>
          <w:ilvl w:val="0"/>
          <w:numId w:val="27"/>
        </w:numPr>
        <w:spacing w:after="240" w:line="259" w:lineRule="auto"/>
        <w:rPr>
          <w:rFonts w:cs="Times New Roman"/>
          <w:lang w:val="es-ES"/>
        </w:rPr>
      </w:pPr>
      <w:r>
        <w:rPr>
          <w:rFonts w:eastAsia="Times New Roman" w:cs="Times New Roman"/>
          <w:lang w:val="pt-BR"/>
        </w:rPr>
        <w:t>programas especiais de admissão (por exemplo, escolas magnet).</w:t>
      </w:r>
    </w:p>
    <w:p w14:paraId="44B9A47C" w14:textId="77777777" w:rsidR="00D263DA" w:rsidRPr="00CC1CB4" w:rsidRDefault="00000000" w:rsidP="00D263DA">
      <w:pPr>
        <w:rPr>
          <w:rFonts w:cs="Times New Roman"/>
          <w:lang w:val="es-ES"/>
        </w:rPr>
      </w:pPr>
      <w:r>
        <w:rPr>
          <w:rFonts w:eastAsia="Times New Roman" w:cs="Times New Roman"/>
          <w:lang w:val="pt-BR"/>
        </w:rPr>
        <w:t xml:space="preserve">Se houver barreiras para acessar atividades acadêmicas e extracurriculares, os pais/responsáveis e outras partes interessadas são orientados a comunicar preocupações aos respectivos funcionários da escola, diretores e/ou outros líderes da escola. Se não for resolvido no nível da LEA, os </w:t>
      </w:r>
      <w:hyperlink r:id="rId46" w:history="1">
        <w:r w:rsidR="00D263DA">
          <w:rPr>
            <w:rFonts w:eastAsia="Times New Roman" w:cs="Times New Roman"/>
            <w:color w:val="0000FF"/>
            <w:u w:val="single"/>
            <w:lang w:val="pt-BR"/>
          </w:rPr>
          <w:t>diretores regionais ou escritórios do condado do EHCY</w:t>
        </w:r>
      </w:hyperlink>
      <w:r>
        <w:rPr>
          <w:rFonts w:eastAsia="Times New Roman" w:cs="Times New Roman"/>
          <w:lang w:val="pt-BR"/>
        </w:rPr>
        <w:t xml:space="preserve"> devem ser contatados para orientação. </w:t>
      </w:r>
      <w:hyperlink r:id="rId47" w:history="1"/>
      <w:r>
        <w:rPr>
          <w:rFonts w:eastAsia="Times New Roman" w:cs="Times New Roman"/>
          <w:lang w:val="pt-BR"/>
        </w:rPr>
        <w:t xml:space="preserve"> Além disso, o NJDOE McKinney-Vento também está disponível em: </w:t>
      </w:r>
      <w:hyperlink r:id="rId48" w:history="1">
        <w:r w:rsidR="00D263DA">
          <w:rPr>
            <w:rFonts w:eastAsia="Times New Roman" w:cs="Times New Roman"/>
            <w:color w:val="0000FF"/>
            <w:u w:val="single"/>
            <w:lang w:val="pt-BR"/>
          </w:rPr>
          <w:t>Mckinney.Vento@doe.nj.gov</w:t>
        </w:r>
      </w:hyperlink>
      <w:r>
        <w:rPr>
          <w:rFonts w:eastAsia="Times New Roman" w:cs="Times New Roman"/>
          <w:lang w:val="pt-BR"/>
        </w:rPr>
        <w:t xml:space="preserve"> para fornecer suporte.</w:t>
      </w:r>
    </w:p>
    <w:p w14:paraId="20E811B9" w14:textId="77777777" w:rsidR="00D263DA" w:rsidRPr="00CC1CB4" w:rsidRDefault="00000000" w:rsidP="00856537">
      <w:pPr>
        <w:pStyle w:val="A30"/>
      </w:pPr>
      <w:bookmarkStart w:id="246" w:name="_Toc199403816"/>
      <w:r>
        <w:t>Garantindo o acesso aos programas nutricionais</w:t>
      </w:r>
      <w:bookmarkEnd w:id="246"/>
    </w:p>
    <w:p w14:paraId="01FCB689" w14:textId="77777777" w:rsidR="00D263DA" w:rsidRPr="00CC1CB4" w:rsidRDefault="00000000" w:rsidP="008E203F">
      <w:pPr>
        <w:spacing w:after="120"/>
        <w:rPr>
          <w:rFonts w:cs="Times New Roman"/>
          <w:lang w:val="es-ES"/>
        </w:rPr>
      </w:pPr>
      <w:r>
        <w:rPr>
          <w:rFonts w:eastAsia="Times New Roman" w:cs="Times New Roman"/>
          <w:lang w:val="pt-BR"/>
        </w:rPr>
        <w:t>O NJDOE transmite correspondência e lembretes de matrícula para as LEAs a fim de informar aos funcionários da escola, diretores e outros líderes da escola que crianças e jovens da McKinney-Vento são categoricamente elegíveis para receber almoço gratuito. As LEAs também são avisadas de que os sistemas da LEA devem garantir, uma vez que os alunos sejam considerados elegíveis, que o pessoal de serviço de alimentação apropriado seja comunicado para garantir a participação imediata em programas de nutrição federais, estaduais e locais.</w:t>
      </w:r>
    </w:p>
    <w:p w14:paraId="56F34E74" w14:textId="77777777" w:rsidR="00D263DA" w:rsidRPr="00CC1CB4" w:rsidRDefault="00000000" w:rsidP="00D263DA">
      <w:pPr>
        <w:rPr>
          <w:rStyle w:val="NJDOEResponse"/>
          <w:lang w:val="es-ES"/>
        </w:rPr>
      </w:pPr>
      <w:r>
        <w:rPr>
          <w:rStyle w:val="NJDOEResponse"/>
          <w:rFonts w:eastAsia="Times New Roman"/>
          <w:color w:val="365F91"/>
          <w:lang w:val="pt-BR"/>
        </w:rPr>
        <w:t>[finalizar resposta do NJDOE]</w:t>
      </w:r>
    </w:p>
    <w:p w14:paraId="4F15AA2F" w14:textId="77777777" w:rsidR="00815DA5" w:rsidRPr="00CC1CB4" w:rsidRDefault="00000000" w:rsidP="00815DA5">
      <w:pPr>
        <w:pStyle w:val="BeginUSED"/>
        <w:rPr>
          <w:rFonts w:eastAsia="Times New Roman" w:cs="Times New Roman"/>
          <w:color w:val="030A13"/>
          <w:lang w:val="es-ES"/>
        </w:rPr>
      </w:pPr>
      <w:r>
        <w:rPr>
          <w:rFonts w:eastAsia="Times New Roman"/>
          <w:color w:val="FFFFFF"/>
          <w:szCs w:val="4"/>
          <w:lang w:val="pt-BR"/>
        </w:rPr>
        <w:t>[iniciar o texto do USED]</w:t>
      </w:r>
    </w:p>
    <w:p w14:paraId="0D2EA917" w14:textId="77777777" w:rsidR="00C3596A" w:rsidRPr="00856537" w:rsidRDefault="00000000" w:rsidP="00856537">
      <w:pPr>
        <w:pStyle w:val="A20"/>
        <w:spacing w:before="0"/>
      </w:pPr>
      <w:bookmarkStart w:id="247" w:name="_Toc171333325"/>
      <w:bookmarkStart w:id="248" w:name="_Toc199403817"/>
      <w:r>
        <w:t>5</w:t>
      </w:r>
      <w:r w:rsidRPr="00856537">
        <w:t>.</w:t>
      </w:r>
      <w:r>
        <w:t xml:space="preserve"> Estratégias para abordar outros problemas (722(g)(1)(H) da Lei McKinney-Vento)</w:t>
      </w:r>
      <w:bookmarkEnd w:id="247"/>
      <w:bookmarkEnd w:id="248"/>
    </w:p>
    <w:p w14:paraId="52198CEE" w14:textId="77777777" w:rsidR="00D263DA" w:rsidRPr="00CC1CB4" w:rsidRDefault="00000000" w:rsidP="008E203F">
      <w:pPr>
        <w:spacing w:after="100"/>
        <w:rPr>
          <w:color w:val="244061"/>
          <w:lang w:val="es-ES"/>
        </w:rPr>
      </w:pPr>
      <w:r>
        <w:rPr>
          <w:rFonts w:eastAsia="Times New Roman" w:cs="Arial"/>
          <w:color w:val="244061"/>
          <w:lang w:val="pt-BR"/>
        </w:rPr>
        <w:t>Fornecer estratégias para abordar outros problemas com relação à educação de crianças e jovens sem-teto, incluindo problemas resultantes de atrasos na matrícula causados por:</w:t>
      </w:r>
    </w:p>
    <w:p w14:paraId="39405B6E" w14:textId="77777777" w:rsidR="00D263DA" w:rsidRPr="00CC1CB4" w:rsidRDefault="00000000" w:rsidP="008E203F">
      <w:pPr>
        <w:pStyle w:val="a6"/>
        <w:numPr>
          <w:ilvl w:val="0"/>
          <w:numId w:val="195"/>
        </w:numPr>
        <w:spacing w:after="100"/>
        <w:contextualSpacing w:val="0"/>
        <w:rPr>
          <w:color w:val="244061"/>
          <w:lang w:val="es-ES"/>
        </w:rPr>
      </w:pPr>
      <w:r>
        <w:rPr>
          <w:rFonts w:eastAsia="Times New Roman" w:cs="Arial"/>
          <w:color w:val="244061"/>
          <w:lang w:val="pt-BR"/>
        </w:rPr>
        <w:t>requisitos de imunização e outros registros de saúde exigidos;</w:t>
      </w:r>
    </w:p>
    <w:p w14:paraId="7500640C" w14:textId="77777777" w:rsidR="00D263DA" w:rsidRPr="003031BB" w:rsidRDefault="00000000" w:rsidP="008E203F">
      <w:pPr>
        <w:pStyle w:val="a6"/>
        <w:numPr>
          <w:ilvl w:val="0"/>
          <w:numId w:val="195"/>
        </w:numPr>
        <w:spacing w:after="100"/>
        <w:contextualSpacing w:val="0"/>
        <w:rPr>
          <w:color w:val="244061"/>
        </w:rPr>
      </w:pPr>
      <w:r>
        <w:rPr>
          <w:rFonts w:eastAsia="Times New Roman" w:cs="Arial"/>
          <w:color w:val="244061"/>
          <w:lang w:val="pt-BR"/>
        </w:rPr>
        <w:t>requisitos de residência;</w:t>
      </w:r>
    </w:p>
    <w:p w14:paraId="2B0B1F70" w14:textId="77777777" w:rsidR="00D263DA" w:rsidRPr="00CC1CB4" w:rsidRDefault="00000000" w:rsidP="008E203F">
      <w:pPr>
        <w:pStyle w:val="a6"/>
        <w:numPr>
          <w:ilvl w:val="0"/>
          <w:numId w:val="195"/>
        </w:numPr>
        <w:spacing w:after="100"/>
        <w:contextualSpacing w:val="0"/>
        <w:rPr>
          <w:color w:val="244061"/>
          <w:lang w:val="es-ES"/>
        </w:rPr>
      </w:pPr>
      <w:r>
        <w:rPr>
          <w:rFonts w:eastAsia="Times New Roman" w:cs="Arial"/>
          <w:color w:val="244061"/>
          <w:lang w:val="pt-BR"/>
        </w:rPr>
        <w:t>falta de certidões de nascimento, registros escolares ou outra documentação;</w:t>
      </w:r>
    </w:p>
    <w:p w14:paraId="64C1E7EC" w14:textId="77777777" w:rsidR="00D263DA" w:rsidRPr="00CC1CB4" w:rsidRDefault="00000000">
      <w:pPr>
        <w:pStyle w:val="a6"/>
        <w:numPr>
          <w:ilvl w:val="0"/>
          <w:numId w:val="195"/>
        </w:numPr>
        <w:spacing w:after="0"/>
        <w:rPr>
          <w:color w:val="244061"/>
          <w:lang w:val="es-ES"/>
        </w:rPr>
      </w:pPr>
      <w:r>
        <w:rPr>
          <w:rFonts w:eastAsia="Times New Roman" w:cs="Arial"/>
          <w:color w:val="244061"/>
          <w:lang w:val="pt-BR"/>
        </w:rPr>
        <w:t>problemas de guarda; ou requisitos de código de uniforme ou vestuário.</w:t>
      </w:r>
    </w:p>
    <w:p w14:paraId="7DEB3993" w14:textId="77777777" w:rsidR="00815DA5" w:rsidRPr="00CC1CB4" w:rsidRDefault="00000000" w:rsidP="00815DA5">
      <w:pPr>
        <w:pStyle w:val="EndUSED"/>
        <w:rPr>
          <w:lang w:val="es-ES"/>
        </w:rPr>
      </w:pPr>
      <w:r>
        <w:rPr>
          <w:rFonts w:eastAsia="Times New Roman"/>
          <w:color w:val="FFFFFF"/>
          <w:szCs w:val="4"/>
          <w:lang w:val="pt-BR"/>
        </w:rPr>
        <w:t xml:space="preserve">[finalizar texto do USED] </w:t>
      </w:r>
    </w:p>
    <w:p w14:paraId="440CAB5F" w14:textId="77777777" w:rsidR="006415C4" w:rsidRPr="00CC1CB4" w:rsidRDefault="00000000" w:rsidP="00EB56D4">
      <w:pPr>
        <w:pStyle w:val="a6"/>
        <w:spacing w:before="240"/>
        <w:ind w:left="0"/>
        <w:rPr>
          <w:rStyle w:val="NJDOEResponse"/>
          <w:lang w:val="es-ES"/>
        </w:rPr>
      </w:pPr>
      <w:r>
        <w:rPr>
          <w:rStyle w:val="NJDOEResponse"/>
          <w:rFonts w:eastAsia="Times New Roman"/>
          <w:color w:val="365F91"/>
          <w:lang w:val="pt-BR"/>
        </w:rPr>
        <w:t>[iniciar a resposta do NJDOE]</w:t>
      </w:r>
    </w:p>
    <w:p w14:paraId="351735CD" w14:textId="77777777" w:rsidR="00692C4D" w:rsidRPr="00CC1CB4" w:rsidRDefault="00000000" w:rsidP="008E203F">
      <w:pPr>
        <w:pStyle w:val="a6"/>
        <w:spacing w:after="120"/>
        <w:ind w:left="0"/>
        <w:contextualSpacing w:val="0"/>
        <w:rPr>
          <w:rFonts w:cs="Times New Roman"/>
          <w:lang w:val="es-ES"/>
        </w:rPr>
      </w:pPr>
      <w:r>
        <w:rPr>
          <w:rFonts w:eastAsia="Times New Roman" w:cs="Times New Roman"/>
          <w:lang w:val="pt-BR"/>
        </w:rPr>
        <w:lastRenderedPageBreak/>
        <w:t xml:space="preserve">O NJDOE descreveu um procedimento, de acordo com o N.J.A.C. 6A:17-2.5, Inscrição na LEA, que exige explicitamente que a LEA selecionada inscreva imediatamente a criança ou jovem sem-teto, mesmo que ele não consiga produzir registros normalmente necessários para inscrição, como registros acadêmicos anteriores, registros médicos, comprovantes de residência ou outra documentação. De acordo com o N.J.A.C. 6A:17-2.4, os contatos da LEA são necessários para garantir que não haja barreiras resultantes de problemas de guarda ou requisitos de código de uniforme e/ou vestuário. Se houver barreiras, os pais/responsáveis e outras partes interessadas são orientados a comunicar preocupações ao respectivo pessoal da escola, diretores e/ou outros líderes da escola. Se não forem resolvidos no nível da LEA, os escritórios do condado e os contatos do escritório do programa do NJDOE podem ser encontrados na página de </w:t>
      </w:r>
      <w:hyperlink r:id="rId49">
        <w:r w:rsidR="00692C4D">
          <w:rPr>
            <w:rFonts w:eastAsia="Times New Roman" w:cs="Times New Roman"/>
            <w:color w:val="0000FF"/>
            <w:u w:val="single"/>
            <w:lang w:val="pt-BR"/>
          </w:rPr>
          <w:t>Educação para sem-teto</w:t>
        </w:r>
      </w:hyperlink>
      <w:r>
        <w:rPr>
          <w:rFonts w:eastAsia="Times New Roman" w:cs="Times New Roman"/>
          <w:lang w:val="pt-BR"/>
        </w:rPr>
        <w:t xml:space="preserve"> ou direcionados para o NJDOE por e-mail em: </w:t>
      </w:r>
      <w:hyperlink r:id="rId50" w:history="1">
        <w:r w:rsidR="00692C4D">
          <w:rPr>
            <w:rFonts w:eastAsia="Times New Roman" w:cs="Arial"/>
            <w:color w:val="0000FF"/>
            <w:u w:val="single"/>
            <w:lang w:val="pt-BR"/>
          </w:rPr>
          <w:t>McKinney.Vento@doe.nj.gov</w:t>
        </w:r>
      </w:hyperlink>
      <w:r>
        <w:rPr>
          <w:rFonts w:eastAsia="Times New Roman" w:cs="Times New Roman"/>
          <w:lang w:val="pt-BR"/>
        </w:rPr>
        <w:t>.</w:t>
      </w:r>
    </w:p>
    <w:p w14:paraId="5677CE97" w14:textId="77777777" w:rsidR="00815DA5" w:rsidRPr="00CC1CB4" w:rsidRDefault="00000000" w:rsidP="00D263DA">
      <w:pPr>
        <w:pStyle w:val="a6"/>
        <w:ind w:left="0"/>
        <w:rPr>
          <w:rStyle w:val="NJDOEResponse"/>
          <w:lang w:val="es-ES"/>
        </w:rPr>
      </w:pPr>
      <w:r>
        <w:rPr>
          <w:rStyle w:val="NJDOEResponse"/>
          <w:rFonts w:eastAsia="Times New Roman"/>
          <w:color w:val="365F91"/>
          <w:lang w:val="pt-BR"/>
        </w:rPr>
        <w:t>[finalizar resposta do NJDOE]</w:t>
      </w:r>
    </w:p>
    <w:p w14:paraId="4D3D5DE2" w14:textId="77777777" w:rsidR="00D263DA" w:rsidRPr="00CC1CB4" w:rsidRDefault="00000000" w:rsidP="00815DA5">
      <w:pPr>
        <w:pStyle w:val="BeginUSED"/>
        <w:rPr>
          <w:rFonts w:eastAsia="Times New Roman"/>
          <w:b/>
          <w:color w:val="030A13"/>
          <w:lang w:val="es-ES"/>
        </w:rPr>
      </w:pPr>
      <w:r>
        <w:rPr>
          <w:rFonts w:eastAsia="Times New Roman"/>
          <w:color w:val="FFFFFF"/>
          <w:szCs w:val="4"/>
          <w:lang w:val="pt-BR"/>
        </w:rPr>
        <w:t>[iniciar o texto do USED]</w:t>
      </w:r>
      <w:r>
        <w:rPr>
          <w:rFonts w:eastAsia="Times New Roman"/>
          <w:color w:val="FFFFFF"/>
          <w:szCs w:val="4"/>
          <w:lang w:val="pt-BR"/>
        </w:rPr>
        <w:br/>
      </w:r>
    </w:p>
    <w:p w14:paraId="46477793" w14:textId="77777777" w:rsidR="0000339D" w:rsidRPr="00856537" w:rsidRDefault="00000000" w:rsidP="00856537">
      <w:pPr>
        <w:pStyle w:val="A20"/>
        <w:spacing w:before="0"/>
      </w:pPr>
      <w:bookmarkStart w:id="249" w:name="_Toc171333326"/>
      <w:bookmarkStart w:id="250" w:name="_Toc199403818"/>
      <w:r>
        <w:t>6. Políticas para remover barreiras (722(g)(1)(I) da Lei McKinney-Vento)</w:t>
      </w:r>
      <w:bookmarkEnd w:id="249"/>
      <w:bookmarkEnd w:id="250"/>
    </w:p>
    <w:p w14:paraId="3EC31F64" w14:textId="77777777" w:rsidR="00D263DA" w:rsidRPr="00CC1CB4" w:rsidRDefault="00000000" w:rsidP="00FA5BE9">
      <w:pPr>
        <w:pStyle w:val="blue"/>
        <w:spacing w:after="0"/>
        <w:ind w:left="0"/>
        <w:rPr>
          <w:lang w:val="es-ES"/>
        </w:rPr>
      </w:pPr>
      <w:r>
        <w:rPr>
          <w:rFonts w:ascii="Cambria" w:eastAsia="Cambria" w:hAnsi="Cambria"/>
          <w:lang w:val="pt-BR"/>
        </w:rPr>
        <w:t>Demonstrar que o SEA e as LEAs no estado desenvolveram e revisarão políticas para remover barreiras à identificação de crianças e jovens sem-teto, e a inscrição e retenção de crianças e jovens sem-teto em escolas no estado, incluindo barreiras à inscrição e retenção devido a taxas ou multas pendentes, ou ausências.</w:t>
      </w:r>
    </w:p>
    <w:p w14:paraId="5E9802C3" w14:textId="77777777" w:rsidR="00D263DA" w:rsidRPr="00CC1CB4" w:rsidRDefault="00000000" w:rsidP="00815DA5">
      <w:pPr>
        <w:pStyle w:val="EndUSED"/>
        <w:rPr>
          <w:rStyle w:val="NJDOEResponse"/>
          <w:lang w:val="es-ES"/>
        </w:rPr>
      </w:pPr>
      <w:r>
        <w:rPr>
          <w:rFonts w:eastAsia="Times New Roman"/>
          <w:color w:val="FFFFFF"/>
          <w:szCs w:val="4"/>
          <w:lang w:val="pt-BR"/>
        </w:rPr>
        <w:t>[finalizar texto do USED]</w:t>
      </w:r>
    </w:p>
    <w:p w14:paraId="08AEDEF7" w14:textId="77777777" w:rsidR="00D263DA" w:rsidRPr="00CC1CB4" w:rsidRDefault="00000000" w:rsidP="00EB56D4">
      <w:pPr>
        <w:spacing w:before="240"/>
        <w:rPr>
          <w:rStyle w:val="NJDOEResponse"/>
          <w:lang w:val="es-ES"/>
        </w:rPr>
      </w:pPr>
      <w:r>
        <w:rPr>
          <w:rStyle w:val="NJDOEResponse"/>
          <w:rFonts w:eastAsia="Times New Roman"/>
          <w:color w:val="365F91"/>
          <w:lang w:val="pt-BR"/>
        </w:rPr>
        <w:t>[iniciar a resposta do NJDOE]</w:t>
      </w:r>
    </w:p>
    <w:p w14:paraId="37AC6154" w14:textId="77777777" w:rsidR="00D263DA" w:rsidRPr="00CC1CB4" w:rsidRDefault="00000000" w:rsidP="00D263DA">
      <w:pPr>
        <w:rPr>
          <w:rFonts w:cs="Times New Roman"/>
          <w:lang w:val="es-ES"/>
        </w:rPr>
      </w:pPr>
      <w:r>
        <w:rPr>
          <w:rFonts w:eastAsia="Times New Roman" w:cs="Times New Roman"/>
          <w:lang w:val="pt-BR"/>
        </w:rPr>
        <w:t>A promulgação de políticas sobre o uso de taxas, multas ou ausências pendentes é feita no nível da LEA. No entanto, no nível do SEA, o monitoramento de LOAs e LEAs pelo NJDOE com e sem financiamento da McKinney Vento, para conformidade com o Programa McKinney-Vento, a Lei McKinney-Vento e os regulamentos estaduais sobre a educação de crianças sem-teto aborda o uso de taxas, multas ou ausências pendentes pelas LEAs e seu impacto adverso na matrícula e retenção de alunos que passam por falta de moradia. Especificamente, o protocolo de monitoramento do NJDOE inclui um indicador para a LEA “analisar e revisar políticas e procedimentos que poderiam atuar como barreiras para a inscrição, participação, participação e sucesso de crianças e jovens sem-teto”.</w:t>
      </w:r>
    </w:p>
    <w:p w14:paraId="6B1EA4CF" w14:textId="77777777" w:rsidR="00D263DA" w:rsidRPr="00CC1CB4" w:rsidRDefault="00000000" w:rsidP="00D263DA">
      <w:pPr>
        <w:rPr>
          <w:rFonts w:cs="Times New Roman"/>
          <w:lang w:val="es-ES"/>
        </w:rPr>
      </w:pPr>
      <w:r>
        <w:rPr>
          <w:rFonts w:eastAsia="Times New Roman" w:cs="Times New Roman"/>
          <w:lang w:val="pt-BR"/>
        </w:rPr>
        <w:t>Além disso, em sua carta anual às LEAs sobre sua responsabilidade de matricular alunos que passam por falta de moradia, o NJDOE lembra as LEAs de revisar suas políticas sobre sanções para alunos com taxas, multas ou ausências pendentes. A carta também orienta as LEAs a revisar tais políticas para evitar colocar barreiras à inscrição de crianças e jovens sem-teto.</w:t>
      </w:r>
    </w:p>
    <w:p w14:paraId="11A59C7A" w14:textId="77777777" w:rsidR="00D263DA" w:rsidRPr="00CC1CB4" w:rsidRDefault="00000000" w:rsidP="00C02064">
      <w:pPr>
        <w:rPr>
          <w:rStyle w:val="NJDOEResponse"/>
          <w:lang w:val="es-ES"/>
        </w:rPr>
      </w:pPr>
      <w:r>
        <w:rPr>
          <w:rStyle w:val="NJDOEResponse"/>
          <w:rFonts w:eastAsia="Times New Roman"/>
          <w:color w:val="365F91"/>
          <w:lang w:val="pt-BR"/>
        </w:rPr>
        <w:t>[finalizar resposta do NJDOE]</w:t>
      </w:r>
    </w:p>
    <w:p w14:paraId="1970B0CA" w14:textId="77777777" w:rsidR="00815DA5" w:rsidRPr="00CC1CB4" w:rsidRDefault="00000000" w:rsidP="00815DA5">
      <w:pPr>
        <w:pStyle w:val="BeginUSED"/>
        <w:rPr>
          <w:rStyle w:val="NJDOEResponse"/>
          <w:lang w:val="es-ES"/>
        </w:rPr>
      </w:pPr>
      <w:r>
        <w:rPr>
          <w:rFonts w:eastAsia="Times New Roman"/>
          <w:color w:val="FFFFFF"/>
          <w:szCs w:val="4"/>
          <w:lang w:val="pt-BR"/>
        </w:rPr>
        <w:t>[iniciar o texto do USED]</w:t>
      </w:r>
    </w:p>
    <w:p w14:paraId="133AFF44" w14:textId="77777777" w:rsidR="006C6621" w:rsidRPr="00856537" w:rsidRDefault="00000000" w:rsidP="00856537">
      <w:pPr>
        <w:pStyle w:val="A20"/>
        <w:spacing w:before="0"/>
      </w:pPr>
      <w:bookmarkStart w:id="251" w:name="_Toc171333327"/>
      <w:bookmarkStart w:id="252" w:name="_Toc199403819"/>
      <w:r>
        <w:lastRenderedPageBreak/>
        <w:t>7</w:t>
      </w:r>
      <w:r w:rsidRPr="00856537">
        <w:t>.</w:t>
      </w:r>
      <w:r>
        <w:t xml:space="preserve"> Assistência de conselheiros (722(g)(1)(K))</w:t>
      </w:r>
      <w:bookmarkEnd w:id="251"/>
      <w:bookmarkEnd w:id="252"/>
    </w:p>
    <w:p w14:paraId="595F8AED" w14:textId="77777777" w:rsidR="00D263DA" w:rsidRPr="00CC1CB4" w:rsidRDefault="00000000" w:rsidP="006C6621">
      <w:pPr>
        <w:pStyle w:val="blue"/>
        <w:spacing w:after="0"/>
        <w:ind w:left="0"/>
        <w:rPr>
          <w:lang w:val="es-ES"/>
        </w:rPr>
      </w:pPr>
      <w:r>
        <w:rPr>
          <w:rFonts w:ascii="Cambria" w:eastAsia="Cambria" w:hAnsi="Cambria"/>
          <w:lang w:val="pt-BR"/>
        </w:rPr>
        <w:t xml:space="preserve">Uma descrição de como os jovens descritos na seção 725(2) receberão assistência de conselheiros para aconselhar esses jovens, e preparar e melhorar a prontidão desses jovens para a faculdade. </w:t>
      </w:r>
    </w:p>
    <w:p w14:paraId="41617AEB" w14:textId="77777777" w:rsidR="00D263DA" w:rsidRPr="00CC1CB4" w:rsidRDefault="00000000" w:rsidP="00815DA5">
      <w:pPr>
        <w:pStyle w:val="EndUSED"/>
        <w:rPr>
          <w:rStyle w:val="NJDOEResponse"/>
          <w:lang w:val="es-ES"/>
        </w:rPr>
      </w:pPr>
      <w:r>
        <w:rPr>
          <w:rFonts w:eastAsia="Times New Roman"/>
          <w:color w:val="FFFFFF"/>
          <w:szCs w:val="4"/>
          <w:lang w:val="pt-BR"/>
        </w:rPr>
        <w:t>[finalizar texto do USED]</w:t>
      </w:r>
    </w:p>
    <w:p w14:paraId="53B55486" w14:textId="77777777" w:rsidR="00D263DA" w:rsidRPr="00CC1CB4" w:rsidRDefault="00000000" w:rsidP="00EB56D4">
      <w:pPr>
        <w:spacing w:before="240"/>
        <w:rPr>
          <w:rStyle w:val="NJDOEResponse"/>
          <w:lang w:val="es-ES"/>
        </w:rPr>
      </w:pPr>
      <w:r>
        <w:rPr>
          <w:rStyle w:val="NJDOEResponse"/>
          <w:rFonts w:eastAsia="Times New Roman"/>
          <w:color w:val="365F91"/>
          <w:lang w:val="pt-BR"/>
        </w:rPr>
        <w:t>[iniciar a resposta do NJDOE]</w:t>
      </w:r>
    </w:p>
    <w:p w14:paraId="6E7879A2" w14:textId="7DDDDB70" w:rsidR="00D263DA" w:rsidRPr="00CC1CB4" w:rsidRDefault="00000000" w:rsidP="00D263DA">
      <w:pPr>
        <w:pStyle w:val="aff5"/>
        <w:kinsoku w:val="0"/>
        <w:overflowPunct w:val="0"/>
        <w:spacing w:line="259" w:lineRule="auto"/>
        <w:ind w:right="316"/>
        <w:rPr>
          <w:rFonts w:cs="Times New Roman"/>
          <w:lang w:val="es-ES"/>
        </w:rPr>
      </w:pPr>
      <w:r>
        <w:rPr>
          <w:rFonts w:eastAsia="Times New Roman" w:cs="Times New Roman"/>
          <w:lang w:val="pt-BR"/>
        </w:rPr>
        <w:t xml:space="preserve">O sucesso acadêmico da juventude de Nova Jersey depende muito da capacidade do sistema de educação e serviço social de colaborar de forma mais eficaz para fornecer apoio essencial aos jovens deslocados durante o período de necessidade. O programa McKinney-Vento é encarregado de ajudar os jovens que estão sem-teto a buscar o ensino superior após o ensino médio. Os contatos de sem-teto do distrito local/LEA devem fornecer informações para apoiar os jovens desacompanhados e desabrigados a terem sucesso em oportunidades de ensino superior. </w:t>
      </w:r>
    </w:p>
    <w:p w14:paraId="1EDF3DB4" w14:textId="77777777" w:rsidR="00D263DA" w:rsidRPr="00CC1CB4" w:rsidRDefault="00000000" w:rsidP="00D263DA">
      <w:pPr>
        <w:pStyle w:val="aff5"/>
        <w:kinsoku w:val="0"/>
        <w:overflowPunct w:val="0"/>
        <w:spacing w:line="259" w:lineRule="auto"/>
        <w:ind w:right="291"/>
        <w:rPr>
          <w:rFonts w:cs="Times New Roman"/>
          <w:lang w:val="es-ES"/>
        </w:rPr>
      </w:pPr>
      <w:r>
        <w:rPr>
          <w:rFonts w:eastAsia="Times New Roman" w:cs="Times New Roman"/>
          <w:lang w:val="pt-BR"/>
        </w:rPr>
        <w:t xml:space="preserve">Uma nova iniciativa universitária está sendo atualmente testada por uma das LOAs regionais do NJDOE. A LOA forjou uma parceria formal com uma faculdade comunitária líder que é responsável por: </w:t>
      </w:r>
    </w:p>
    <w:p w14:paraId="754EF3FC" w14:textId="77777777" w:rsidR="00D263DA" w:rsidRPr="00CC1CB4" w:rsidRDefault="00000000">
      <w:pPr>
        <w:pStyle w:val="aff5"/>
        <w:widowControl w:val="0"/>
        <w:numPr>
          <w:ilvl w:val="0"/>
          <w:numId w:val="92"/>
        </w:numPr>
        <w:kinsoku w:val="0"/>
        <w:overflowPunct w:val="0"/>
        <w:autoSpaceDE w:val="0"/>
        <w:autoSpaceDN w:val="0"/>
        <w:adjustRightInd w:val="0"/>
        <w:spacing w:line="259" w:lineRule="auto"/>
        <w:ind w:right="291"/>
        <w:rPr>
          <w:rFonts w:cs="Times New Roman"/>
          <w:lang w:val="es-ES"/>
        </w:rPr>
      </w:pPr>
      <w:r>
        <w:rPr>
          <w:rFonts w:eastAsia="Times New Roman" w:cs="Times New Roman"/>
          <w:lang w:val="pt-BR"/>
        </w:rPr>
        <w:t xml:space="preserve">estabelecer uma ligação universitária para interação direta com ligações de sem-teto do distrito/LEA; </w:t>
      </w:r>
    </w:p>
    <w:p w14:paraId="70F30354" w14:textId="77777777" w:rsidR="00D263DA" w:rsidRPr="00CC1CB4" w:rsidRDefault="00000000">
      <w:pPr>
        <w:pStyle w:val="a6"/>
        <w:numPr>
          <w:ilvl w:val="0"/>
          <w:numId w:val="92"/>
        </w:numPr>
        <w:spacing w:after="120" w:line="259" w:lineRule="auto"/>
        <w:contextualSpacing w:val="0"/>
        <w:rPr>
          <w:rFonts w:cs="Times New Roman"/>
          <w:lang w:val="es-ES"/>
        </w:rPr>
      </w:pPr>
      <w:bookmarkStart w:id="253" w:name="_Hlk155856286"/>
      <w:r>
        <w:rPr>
          <w:rFonts w:eastAsia="Times New Roman" w:cs="Times New Roman"/>
          <w:lang w:val="pt-BR"/>
        </w:rPr>
        <w:t>fornecer treinamento para o pessoal de ensino superior/LEA circundante;</w:t>
      </w:r>
    </w:p>
    <w:p w14:paraId="35D3A63A" w14:textId="77777777" w:rsidR="00D263DA" w:rsidRPr="00CC1CB4" w:rsidRDefault="00000000">
      <w:pPr>
        <w:pStyle w:val="a6"/>
        <w:numPr>
          <w:ilvl w:val="0"/>
          <w:numId w:val="92"/>
        </w:numPr>
        <w:spacing w:after="120" w:line="259" w:lineRule="auto"/>
        <w:contextualSpacing w:val="0"/>
        <w:rPr>
          <w:rFonts w:cs="Times New Roman"/>
          <w:lang w:val="es-ES"/>
        </w:rPr>
      </w:pPr>
      <w:r>
        <w:rPr>
          <w:rFonts w:eastAsia="Times New Roman" w:cs="Times New Roman"/>
          <w:lang w:val="pt-BR"/>
        </w:rPr>
        <w:t>fornecer treinamento na identificação de estudantes sem-teto do ensino superior;</w:t>
      </w:r>
    </w:p>
    <w:p w14:paraId="139CCA87" w14:textId="77777777" w:rsidR="00D263DA" w:rsidRPr="00CC1CB4" w:rsidRDefault="00000000">
      <w:pPr>
        <w:pStyle w:val="a6"/>
        <w:numPr>
          <w:ilvl w:val="0"/>
          <w:numId w:val="92"/>
        </w:numPr>
        <w:spacing w:after="120" w:line="259" w:lineRule="auto"/>
        <w:contextualSpacing w:val="0"/>
        <w:rPr>
          <w:rFonts w:cs="Times New Roman"/>
          <w:lang w:val="es-ES"/>
        </w:rPr>
      </w:pPr>
      <w:r>
        <w:rPr>
          <w:rFonts w:eastAsia="Times New Roman" w:cs="Times New Roman"/>
          <w:lang w:val="pt-BR"/>
        </w:rPr>
        <w:t xml:space="preserve">estabelecer provedores de moradia estudantil/banco de alimentos/despensas para sem-teto; </w:t>
      </w:r>
    </w:p>
    <w:p w14:paraId="01124D27" w14:textId="77777777" w:rsidR="00D263DA" w:rsidRPr="00CC1CB4" w:rsidRDefault="00000000">
      <w:pPr>
        <w:pStyle w:val="a6"/>
        <w:numPr>
          <w:ilvl w:val="0"/>
          <w:numId w:val="92"/>
        </w:numPr>
        <w:spacing w:after="120" w:line="259" w:lineRule="auto"/>
        <w:contextualSpacing w:val="0"/>
        <w:rPr>
          <w:rFonts w:cs="Times New Roman"/>
          <w:lang w:val="es-ES"/>
        </w:rPr>
      </w:pPr>
      <w:r>
        <w:rPr>
          <w:rFonts w:eastAsia="Times New Roman" w:cs="Times New Roman"/>
          <w:lang w:val="pt-BR"/>
        </w:rPr>
        <w:t xml:space="preserve">estabelecer procedimentos/assistência de conclusão de FAFSA sem barreiras; </w:t>
      </w:r>
    </w:p>
    <w:p w14:paraId="362675CF" w14:textId="77777777" w:rsidR="00D263DA" w:rsidRPr="00CC1CB4" w:rsidRDefault="00000000">
      <w:pPr>
        <w:pStyle w:val="a6"/>
        <w:numPr>
          <w:ilvl w:val="0"/>
          <w:numId w:val="92"/>
        </w:numPr>
        <w:spacing w:after="160" w:line="259" w:lineRule="auto"/>
        <w:rPr>
          <w:rFonts w:cs="Times New Roman"/>
          <w:lang w:val="es-ES"/>
        </w:rPr>
      </w:pPr>
      <w:r>
        <w:rPr>
          <w:rFonts w:eastAsia="Times New Roman" w:cs="Times New Roman"/>
          <w:lang w:val="pt-BR"/>
        </w:rPr>
        <w:t xml:space="preserve">implementação de formulários e procedimentos de auxílio financeiro/apoio/admissão para ensino superior. </w:t>
      </w:r>
    </w:p>
    <w:bookmarkEnd w:id="253"/>
    <w:p w14:paraId="7C825938" w14:textId="77777777" w:rsidR="00D263DA" w:rsidRPr="00CC1CB4" w:rsidRDefault="00000000" w:rsidP="00D263DA">
      <w:pPr>
        <w:pStyle w:val="aff5"/>
        <w:kinsoku w:val="0"/>
        <w:overflowPunct w:val="0"/>
        <w:spacing w:line="259" w:lineRule="auto"/>
        <w:ind w:right="291"/>
        <w:rPr>
          <w:rFonts w:cs="Times New Roman"/>
          <w:lang w:val="es-ES"/>
        </w:rPr>
      </w:pPr>
      <w:r>
        <w:rPr>
          <w:rFonts w:eastAsia="Times New Roman" w:cs="Times New Roman"/>
          <w:lang w:val="pt-BR"/>
        </w:rPr>
        <w:t>Cada ligação de distrito/sem-teto da LEA trabalhará em estreita colaboração com o contato da faculdade no início do semestre para ajudar os alunos com seu caminho acadêmico. Os alunos deslocados também terão acesso total a conselheiros e conselheiros universitários para garantir o sucesso acadêmico.</w:t>
      </w:r>
    </w:p>
    <w:p w14:paraId="2FA5A88A" w14:textId="43385B56" w:rsidR="00A17CC7" w:rsidRPr="00CC1CB4" w:rsidRDefault="00000000">
      <w:pPr>
        <w:rPr>
          <w:rFonts w:eastAsiaTheme="majorEastAsia" w:cs="Times New Roman"/>
          <w:color w:val="365F91" w:themeColor="accent1" w:themeShade="BF"/>
          <w:sz w:val="28"/>
          <w:szCs w:val="28"/>
          <w:lang w:val="es-ES"/>
        </w:rPr>
      </w:pPr>
      <w:r>
        <w:rPr>
          <w:rStyle w:val="NJDOEResponse"/>
          <w:rFonts w:eastAsia="Times New Roman"/>
          <w:color w:val="365F91"/>
          <w:lang w:val="pt-BR"/>
        </w:rPr>
        <w:t>[finalizar resposta do NJDOE]</w:t>
      </w:r>
    </w:p>
    <w:p w14:paraId="597FFB46" w14:textId="77777777" w:rsidR="00BE57EC" w:rsidRPr="00C04CDD" w:rsidRDefault="00BE57EC" w:rsidP="00856537">
      <w:pPr>
        <w:rPr>
          <w:lang w:val="it-CH"/>
        </w:rPr>
      </w:pPr>
    </w:p>
    <w:p w14:paraId="013F7EE4" w14:textId="77777777" w:rsidR="00856537" w:rsidRPr="00856537" w:rsidRDefault="00856537" w:rsidP="00856537">
      <w:pPr>
        <w:rPr>
          <w:lang w:val="es-ES"/>
        </w:rPr>
        <w:sectPr w:rsidR="00856537" w:rsidRPr="00856537" w:rsidSect="00A7404A">
          <w:footerReference w:type="default" r:id="rId51"/>
          <w:footerReference w:type="first" r:id="rId52"/>
          <w:pgSz w:w="12240" w:h="15840"/>
          <w:pgMar w:top="1440" w:right="1440" w:bottom="1440" w:left="1440" w:header="864" w:footer="864" w:gutter="0"/>
          <w:cols w:space="720"/>
          <w:noEndnote/>
          <w:titlePg/>
          <w:docGrid w:linePitch="299"/>
        </w:sectPr>
      </w:pPr>
    </w:p>
    <w:p w14:paraId="7BF3B29D" w14:textId="77777777" w:rsidR="006415C4" w:rsidRPr="00CC1CB4" w:rsidRDefault="00000000" w:rsidP="00280150">
      <w:pPr>
        <w:pStyle w:val="1"/>
        <w:rPr>
          <w:lang w:val="es-ES"/>
        </w:rPr>
      </w:pPr>
      <w:bookmarkStart w:id="254" w:name="_Toc211004657"/>
      <w:r>
        <w:rPr>
          <w:rFonts w:eastAsia="Cambria"/>
          <w:szCs w:val="36"/>
          <w:lang w:val="pt-BR"/>
        </w:rPr>
        <w:lastRenderedPageBreak/>
        <w:t>Anexo A: Medições do progresso provisório</w:t>
      </w:r>
      <w:bookmarkEnd w:id="254"/>
    </w:p>
    <w:p w14:paraId="4F181D4F" w14:textId="77777777" w:rsidR="00D409E8" w:rsidRPr="00856537" w:rsidRDefault="00000000" w:rsidP="00856537">
      <w:pPr>
        <w:pStyle w:val="A20"/>
        <w:spacing w:before="0"/>
      </w:pPr>
      <w:bookmarkStart w:id="255" w:name="_Toc171333329"/>
      <w:bookmarkStart w:id="256" w:name="_Toc199403821"/>
      <w:r>
        <w:t>Instruções</w:t>
      </w:r>
      <w:bookmarkEnd w:id="255"/>
      <w:bookmarkEnd w:id="256"/>
    </w:p>
    <w:p w14:paraId="6B2930D8" w14:textId="77777777" w:rsidR="006415C4" w:rsidRPr="00CC1CB4" w:rsidRDefault="00000000" w:rsidP="00D409E8">
      <w:pPr>
        <w:rPr>
          <w:lang w:val="es-ES"/>
        </w:rPr>
      </w:pPr>
      <w:r>
        <w:rPr>
          <w:rFonts w:eastAsia="Times New Roman" w:cs="Arial"/>
          <w:lang w:val="pt-BR"/>
        </w:rPr>
        <w:t>Cada SEA deve incluir as medidas do progresso provisório para atingir as metas de longo prazo para realização acadêmica, taxas de formação e proficiência em inglês, estabelecidas na resposta do estado ao Título I, Parte A, pergunta 4.iii, para todos os alunos e separadamente para cada subgrupo de alunos, incluindo aqueles listados em resposta à pergunta 4.i.a. deste documento. Para as taxas de formação e realização acadêmica, as medições do estado do progresso provisório devem levar em conta a melhoria necessária em tais medidas para fazer progresso significativo no fechamento de lacunas de proficiência e taxa de formação em todo o estado.</w:t>
      </w:r>
    </w:p>
    <w:p w14:paraId="2643C3CF" w14:textId="77777777" w:rsidR="00597FBE" w:rsidRPr="00856537" w:rsidRDefault="00000000" w:rsidP="00856537">
      <w:pPr>
        <w:pStyle w:val="A20"/>
        <w:spacing w:before="0"/>
      </w:pPr>
      <w:bookmarkStart w:id="257" w:name="_Toc171333330"/>
      <w:bookmarkStart w:id="258" w:name="_Toc199403822"/>
      <w:r>
        <w:t>A. Realização acadêmica</w:t>
      </w:r>
      <w:bookmarkEnd w:id="257"/>
      <w:bookmarkEnd w:id="258"/>
    </w:p>
    <w:p w14:paraId="10BBA110" w14:textId="77777777" w:rsidR="00597FBE" w:rsidRPr="00CC1CB4" w:rsidRDefault="00000000" w:rsidP="00F86F30">
      <w:pPr>
        <w:pStyle w:val="aff0"/>
        <w:rPr>
          <w:lang w:val="es-ES"/>
        </w:rPr>
      </w:pPr>
      <w:r>
        <w:rPr>
          <w:rFonts w:eastAsia="Cambria"/>
          <w:lang w:val="pt-BR"/>
        </w:rPr>
        <w:t>Figura Anexo.A.1: Metas de realização acadêmica em inglês</w:t>
      </w:r>
    </w:p>
    <w:tbl>
      <w:tblPr>
        <w:tblStyle w:val="4-10"/>
        <w:tblW w:w="12721"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CellMar>
          <w:top w:w="58" w:type="dxa"/>
          <w:bottom w:w="58" w:type="dxa"/>
        </w:tblCellMar>
        <w:tblLook w:val="04A0" w:firstRow="1" w:lastRow="0" w:firstColumn="1" w:lastColumn="0" w:noHBand="0" w:noVBand="1"/>
      </w:tblPr>
      <w:tblGrid>
        <w:gridCol w:w="3374"/>
        <w:gridCol w:w="1335"/>
        <w:gridCol w:w="1335"/>
        <w:gridCol w:w="1335"/>
        <w:gridCol w:w="1335"/>
        <w:gridCol w:w="1335"/>
        <w:gridCol w:w="1335"/>
        <w:gridCol w:w="1337"/>
      </w:tblGrid>
      <w:tr w:rsidR="00C566B2" w14:paraId="29628272" w14:textId="77777777" w:rsidTr="00C566B2">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3374" w:type="dxa"/>
            <w:tcBorders>
              <w:right w:val="single" w:sz="4" w:space="0" w:color="FFFFFF" w:themeColor="background1"/>
            </w:tcBorders>
            <w:shd w:val="clear" w:color="auto" w:fill="215868"/>
            <w:vAlign w:val="center"/>
          </w:tcPr>
          <w:p w14:paraId="091E9385" w14:textId="77777777" w:rsidR="00597FBE" w:rsidRPr="007F3AF1" w:rsidRDefault="00000000" w:rsidP="00D409E8">
            <w:pPr>
              <w:rPr>
                <w:rFonts w:cs="Times New Roman"/>
                <w:bCs w:val="0"/>
              </w:rPr>
            </w:pPr>
            <w:r>
              <w:rPr>
                <w:rFonts w:eastAsia="Times New Roman" w:cs="Times New Roman"/>
                <w:color w:val="FFFFFF"/>
                <w:lang w:val="pt-BR"/>
              </w:rPr>
              <w:t>Grupo de estudantes</w:t>
            </w:r>
          </w:p>
        </w:tc>
        <w:tc>
          <w:tcPr>
            <w:tcW w:w="1335" w:type="dxa"/>
            <w:tcBorders>
              <w:left w:val="single" w:sz="4" w:space="0" w:color="FFFFFF" w:themeColor="background1"/>
              <w:right w:val="single" w:sz="4" w:space="0" w:color="FFFFFF" w:themeColor="background1"/>
            </w:tcBorders>
            <w:shd w:val="clear" w:color="auto" w:fill="215868"/>
            <w:vAlign w:val="center"/>
          </w:tcPr>
          <w:p w14:paraId="750E0B56" w14:textId="77777777" w:rsidR="00597FBE" w:rsidRPr="007F3AF1" w:rsidRDefault="00000000" w:rsidP="00D409E8">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lang w:val="pt-BR"/>
              </w:rPr>
              <w:t>Avaliação inicial de 2022-2023</w:t>
            </w:r>
          </w:p>
        </w:tc>
        <w:tc>
          <w:tcPr>
            <w:tcW w:w="1335" w:type="dxa"/>
            <w:tcBorders>
              <w:left w:val="single" w:sz="4" w:space="0" w:color="FFFFFF" w:themeColor="background1"/>
              <w:right w:val="single" w:sz="4" w:space="0" w:color="FFFFFF" w:themeColor="background1"/>
            </w:tcBorders>
            <w:shd w:val="clear" w:color="auto" w:fill="215868"/>
            <w:vAlign w:val="center"/>
          </w:tcPr>
          <w:p w14:paraId="36D5E106" w14:textId="77777777" w:rsidR="00597FBE" w:rsidRPr="007F3AF1" w:rsidRDefault="00000000" w:rsidP="00D409E8">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lang w:val="pt-BR"/>
              </w:rPr>
              <w:t>Meta de 2023-2024</w:t>
            </w:r>
          </w:p>
        </w:tc>
        <w:tc>
          <w:tcPr>
            <w:tcW w:w="1335" w:type="dxa"/>
            <w:tcBorders>
              <w:left w:val="single" w:sz="4" w:space="0" w:color="FFFFFF" w:themeColor="background1"/>
              <w:right w:val="single" w:sz="4" w:space="0" w:color="FFFFFF" w:themeColor="background1"/>
            </w:tcBorders>
            <w:shd w:val="clear" w:color="auto" w:fill="215868"/>
            <w:vAlign w:val="center"/>
          </w:tcPr>
          <w:p w14:paraId="4626638B" w14:textId="77777777" w:rsidR="00597FBE" w:rsidRPr="007F3AF1" w:rsidRDefault="00000000" w:rsidP="00D409E8">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lang w:val="pt-BR"/>
              </w:rPr>
              <w:t>Meta de 2024-2025</w:t>
            </w:r>
          </w:p>
        </w:tc>
        <w:tc>
          <w:tcPr>
            <w:tcW w:w="1335" w:type="dxa"/>
            <w:tcBorders>
              <w:left w:val="single" w:sz="4" w:space="0" w:color="FFFFFF" w:themeColor="background1"/>
              <w:right w:val="single" w:sz="4" w:space="0" w:color="FFFFFF" w:themeColor="background1"/>
            </w:tcBorders>
            <w:shd w:val="clear" w:color="auto" w:fill="215868"/>
            <w:vAlign w:val="center"/>
          </w:tcPr>
          <w:p w14:paraId="49C5A675" w14:textId="77777777" w:rsidR="00597FBE" w:rsidRPr="007F3AF1" w:rsidRDefault="00000000" w:rsidP="00D409E8">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lang w:val="pt-BR"/>
              </w:rPr>
              <w:t>Meta de 2025-2026</w:t>
            </w:r>
          </w:p>
        </w:tc>
        <w:tc>
          <w:tcPr>
            <w:tcW w:w="1335" w:type="dxa"/>
            <w:tcBorders>
              <w:left w:val="single" w:sz="4" w:space="0" w:color="FFFFFF" w:themeColor="background1"/>
              <w:right w:val="single" w:sz="4" w:space="0" w:color="FFFFFF" w:themeColor="background1"/>
            </w:tcBorders>
            <w:shd w:val="clear" w:color="auto" w:fill="215868"/>
            <w:vAlign w:val="center"/>
          </w:tcPr>
          <w:p w14:paraId="3E8FC3F9" w14:textId="77777777" w:rsidR="00597FBE" w:rsidRPr="007F3AF1" w:rsidRDefault="00000000" w:rsidP="00D409E8">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lang w:val="pt-BR"/>
              </w:rPr>
              <w:t>Meta de 2026-2027</w:t>
            </w:r>
          </w:p>
        </w:tc>
        <w:tc>
          <w:tcPr>
            <w:tcW w:w="1335" w:type="dxa"/>
            <w:tcBorders>
              <w:left w:val="single" w:sz="4" w:space="0" w:color="FFFFFF" w:themeColor="background1"/>
              <w:right w:val="single" w:sz="4" w:space="0" w:color="FFFFFF" w:themeColor="background1"/>
            </w:tcBorders>
            <w:shd w:val="clear" w:color="auto" w:fill="215868"/>
            <w:vAlign w:val="center"/>
          </w:tcPr>
          <w:p w14:paraId="2C5E0FC2" w14:textId="77777777" w:rsidR="00597FBE" w:rsidRPr="007F3AF1" w:rsidRDefault="00000000" w:rsidP="00D409E8">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lang w:val="pt-BR"/>
              </w:rPr>
              <w:t>Meta de 2027-2028</w:t>
            </w:r>
          </w:p>
        </w:tc>
        <w:tc>
          <w:tcPr>
            <w:tcW w:w="1337" w:type="dxa"/>
            <w:tcBorders>
              <w:left w:val="single" w:sz="4" w:space="0" w:color="FFFFFF" w:themeColor="background1"/>
            </w:tcBorders>
            <w:shd w:val="clear" w:color="auto" w:fill="215868"/>
            <w:vAlign w:val="center"/>
          </w:tcPr>
          <w:p w14:paraId="2F8F5953" w14:textId="77777777" w:rsidR="00597FBE" w:rsidRPr="007F3AF1" w:rsidRDefault="00000000" w:rsidP="00D409E8">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lang w:val="pt-BR"/>
              </w:rPr>
              <w:t>Meta de 2028-2029</w:t>
            </w:r>
          </w:p>
        </w:tc>
      </w:tr>
      <w:tr w:rsidR="00C566B2" w14:paraId="34F77592" w14:textId="77777777" w:rsidTr="00C566B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43331938" w14:textId="77777777" w:rsidR="00597FBE" w:rsidRPr="007F3AF1" w:rsidRDefault="00000000" w:rsidP="00D409E8">
            <w:pPr>
              <w:rPr>
                <w:b w:val="0"/>
                <w:bCs w:val="0"/>
              </w:rPr>
            </w:pPr>
            <w:r>
              <w:rPr>
                <w:rStyle w:val="normaltextrun"/>
                <w:rFonts w:eastAsia="Times New Roman" w:cs="Times New Roman"/>
                <w:b w:val="0"/>
                <w:bCs w:val="0"/>
                <w:lang w:val="pt-BR"/>
              </w:rPr>
              <w:t xml:space="preserve">Todos os alunos </w:t>
            </w:r>
          </w:p>
        </w:tc>
        <w:tc>
          <w:tcPr>
            <w:tcW w:w="1335" w:type="dxa"/>
          </w:tcPr>
          <w:p w14:paraId="1A5B4FF7"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51,3</w:t>
            </w:r>
          </w:p>
        </w:tc>
        <w:tc>
          <w:tcPr>
            <w:tcW w:w="1335" w:type="dxa"/>
          </w:tcPr>
          <w:p w14:paraId="3C17694F"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52,9</w:t>
            </w:r>
          </w:p>
        </w:tc>
        <w:tc>
          <w:tcPr>
            <w:tcW w:w="1335" w:type="dxa"/>
          </w:tcPr>
          <w:p w14:paraId="692FC67A"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54,5</w:t>
            </w:r>
          </w:p>
        </w:tc>
        <w:tc>
          <w:tcPr>
            <w:tcW w:w="1335" w:type="dxa"/>
          </w:tcPr>
          <w:p w14:paraId="68DE1ACC"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56,2</w:t>
            </w:r>
          </w:p>
        </w:tc>
        <w:tc>
          <w:tcPr>
            <w:tcW w:w="1335" w:type="dxa"/>
          </w:tcPr>
          <w:p w14:paraId="2BB6F434"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57,8</w:t>
            </w:r>
          </w:p>
        </w:tc>
        <w:tc>
          <w:tcPr>
            <w:tcW w:w="1335" w:type="dxa"/>
          </w:tcPr>
          <w:p w14:paraId="24C33E8B"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59,4</w:t>
            </w:r>
          </w:p>
        </w:tc>
        <w:tc>
          <w:tcPr>
            <w:tcW w:w="1337" w:type="dxa"/>
          </w:tcPr>
          <w:p w14:paraId="71431131"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61</w:t>
            </w:r>
          </w:p>
        </w:tc>
      </w:tr>
      <w:tr w:rsidR="00C566B2" w14:paraId="703C3A06" w14:textId="77777777" w:rsidTr="00C566B2">
        <w:trPr>
          <w:trHeight w:val="28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146623C1" w14:textId="77777777" w:rsidR="00597FBE" w:rsidRPr="00CC1CB4" w:rsidRDefault="00000000" w:rsidP="00D409E8">
            <w:pPr>
              <w:rPr>
                <w:b w:val="0"/>
                <w:bCs w:val="0"/>
                <w:lang w:val="es-ES"/>
              </w:rPr>
            </w:pPr>
            <w:r>
              <w:rPr>
                <w:rStyle w:val="normaltextrun"/>
                <w:rFonts w:eastAsia="Times New Roman" w:cs="Times New Roman"/>
                <w:b w:val="0"/>
                <w:bCs w:val="0"/>
                <w:lang w:val="pt-BR"/>
              </w:rPr>
              <w:t xml:space="preserve">Indígena americano ou nativo do Alasca </w:t>
            </w:r>
          </w:p>
        </w:tc>
        <w:tc>
          <w:tcPr>
            <w:tcW w:w="1335" w:type="dxa"/>
          </w:tcPr>
          <w:p w14:paraId="2D76620E"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52,7</w:t>
            </w:r>
          </w:p>
        </w:tc>
        <w:tc>
          <w:tcPr>
            <w:tcW w:w="1335" w:type="dxa"/>
          </w:tcPr>
          <w:p w14:paraId="319C7CBE"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54,3</w:t>
            </w:r>
          </w:p>
        </w:tc>
        <w:tc>
          <w:tcPr>
            <w:tcW w:w="1335" w:type="dxa"/>
          </w:tcPr>
          <w:p w14:paraId="5B6A4DB4"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55,9</w:t>
            </w:r>
          </w:p>
        </w:tc>
        <w:tc>
          <w:tcPr>
            <w:tcW w:w="1335" w:type="dxa"/>
          </w:tcPr>
          <w:p w14:paraId="1833D393"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57,4</w:t>
            </w:r>
          </w:p>
        </w:tc>
        <w:tc>
          <w:tcPr>
            <w:tcW w:w="1335" w:type="dxa"/>
          </w:tcPr>
          <w:p w14:paraId="1748786F"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59</w:t>
            </w:r>
          </w:p>
        </w:tc>
        <w:tc>
          <w:tcPr>
            <w:tcW w:w="1335" w:type="dxa"/>
          </w:tcPr>
          <w:p w14:paraId="5240FF7B"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60,6</w:t>
            </w:r>
          </w:p>
        </w:tc>
        <w:tc>
          <w:tcPr>
            <w:tcW w:w="1337" w:type="dxa"/>
          </w:tcPr>
          <w:p w14:paraId="229604A0"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62,2</w:t>
            </w:r>
          </w:p>
        </w:tc>
      </w:tr>
      <w:tr w:rsidR="00C566B2" w14:paraId="48728FDB" w14:textId="77777777" w:rsidTr="00C566B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518AF875" w14:textId="77777777" w:rsidR="00597FBE" w:rsidRPr="00CC1CB4" w:rsidRDefault="00000000" w:rsidP="00D409E8">
            <w:pPr>
              <w:rPr>
                <w:b w:val="0"/>
                <w:bCs w:val="0"/>
                <w:lang w:val="es-ES"/>
              </w:rPr>
            </w:pPr>
            <w:r>
              <w:rPr>
                <w:rStyle w:val="normaltextrun"/>
                <w:rFonts w:eastAsia="Times New Roman" w:cs="Times New Roman"/>
                <w:b w:val="0"/>
                <w:bCs w:val="0"/>
                <w:lang w:val="pt-BR"/>
              </w:rPr>
              <w:t>Asiático, havaiano nativo ou das ilhas do Pacífico</w:t>
            </w:r>
          </w:p>
        </w:tc>
        <w:tc>
          <w:tcPr>
            <w:tcW w:w="1335" w:type="dxa"/>
          </w:tcPr>
          <w:p w14:paraId="5B6A7925"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79,8</w:t>
            </w:r>
          </w:p>
        </w:tc>
        <w:tc>
          <w:tcPr>
            <w:tcW w:w="1335" w:type="dxa"/>
          </w:tcPr>
          <w:p w14:paraId="1EB655B6"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80,5</w:t>
            </w:r>
          </w:p>
        </w:tc>
        <w:tc>
          <w:tcPr>
            <w:tcW w:w="1335" w:type="dxa"/>
          </w:tcPr>
          <w:p w14:paraId="5402F5B7"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81,1</w:t>
            </w:r>
          </w:p>
        </w:tc>
        <w:tc>
          <w:tcPr>
            <w:tcW w:w="1335" w:type="dxa"/>
          </w:tcPr>
          <w:p w14:paraId="10995C14"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81,8</w:t>
            </w:r>
          </w:p>
        </w:tc>
        <w:tc>
          <w:tcPr>
            <w:tcW w:w="1335" w:type="dxa"/>
          </w:tcPr>
          <w:p w14:paraId="666E22A3"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82,5</w:t>
            </w:r>
          </w:p>
        </w:tc>
        <w:tc>
          <w:tcPr>
            <w:tcW w:w="1335" w:type="dxa"/>
          </w:tcPr>
          <w:p w14:paraId="2A33A9F9"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83,2</w:t>
            </w:r>
          </w:p>
        </w:tc>
        <w:tc>
          <w:tcPr>
            <w:tcW w:w="1337" w:type="dxa"/>
          </w:tcPr>
          <w:p w14:paraId="1B0C785F"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83,8</w:t>
            </w:r>
          </w:p>
        </w:tc>
      </w:tr>
      <w:tr w:rsidR="00C566B2" w14:paraId="64B85196" w14:textId="77777777" w:rsidTr="00C566B2">
        <w:trPr>
          <w:trHeight w:val="28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6E059900" w14:textId="77777777" w:rsidR="00597FBE" w:rsidRPr="007F3AF1" w:rsidRDefault="00000000" w:rsidP="00D409E8">
            <w:pPr>
              <w:rPr>
                <w:b w:val="0"/>
                <w:bCs w:val="0"/>
              </w:rPr>
            </w:pPr>
            <w:r>
              <w:rPr>
                <w:rStyle w:val="normaltextrun"/>
                <w:rFonts w:eastAsia="Times New Roman" w:cs="Times New Roman"/>
                <w:b w:val="0"/>
                <w:bCs w:val="0"/>
                <w:lang w:val="pt-BR"/>
              </w:rPr>
              <w:t xml:space="preserve">Negro ou afro-americano </w:t>
            </w:r>
          </w:p>
        </w:tc>
        <w:tc>
          <w:tcPr>
            <w:tcW w:w="1335" w:type="dxa"/>
          </w:tcPr>
          <w:p w14:paraId="67CB8A09"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34</w:t>
            </w:r>
          </w:p>
        </w:tc>
        <w:tc>
          <w:tcPr>
            <w:tcW w:w="1335" w:type="dxa"/>
          </w:tcPr>
          <w:p w14:paraId="067B70FC"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36,2</w:t>
            </w:r>
          </w:p>
        </w:tc>
        <w:tc>
          <w:tcPr>
            <w:tcW w:w="1335" w:type="dxa"/>
          </w:tcPr>
          <w:p w14:paraId="48AA34BC"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38,4</w:t>
            </w:r>
          </w:p>
        </w:tc>
        <w:tc>
          <w:tcPr>
            <w:tcW w:w="1335" w:type="dxa"/>
          </w:tcPr>
          <w:p w14:paraId="44B5EB2F"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40,6</w:t>
            </w:r>
          </w:p>
        </w:tc>
        <w:tc>
          <w:tcPr>
            <w:tcW w:w="1335" w:type="dxa"/>
          </w:tcPr>
          <w:p w14:paraId="120C5094"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42,8</w:t>
            </w:r>
          </w:p>
        </w:tc>
        <w:tc>
          <w:tcPr>
            <w:tcW w:w="1335" w:type="dxa"/>
          </w:tcPr>
          <w:p w14:paraId="7D7C03D2"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45</w:t>
            </w:r>
          </w:p>
        </w:tc>
        <w:tc>
          <w:tcPr>
            <w:tcW w:w="1337" w:type="dxa"/>
          </w:tcPr>
          <w:p w14:paraId="19AB8920"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47,2</w:t>
            </w:r>
          </w:p>
        </w:tc>
      </w:tr>
      <w:tr w:rsidR="00C566B2" w14:paraId="4C51A250" w14:textId="77777777" w:rsidTr="00C566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vAlign w:val="center"/>
          </w:tcPr>
          <w:p w14:paraId="0E1ED3D8" w14:textId="77777777" w:rsidR="00597FBE" w:rsidRPr="007F3AF1" w:rsidRDefault="00000000" w:rsidP="00D409E8">
            <w:pPr>
              <w:rPr>
                <w:b w:val="0"/>
                <w:bCs w:val="0"/>
              </w:rPr>
            </w:pPr>
            <w:r>
              <w:rPr>
                <w:rStyle w:val="normaltextrun"/>
                <w:rFonts w:eastAsia="Times New Roman" w:cs="Times New Roman"/>
                <w:b w:val="0"/>
                <w:bCs w:val="0"/>
                <w:lang w:val="pt-BR"/>
              </w:rPr>
              <w:t xml:space="preserve">Estudantes economicamente desfavorecidos </w:t>
            </w:r>
          </w:p>
        </w:tc>
        <w:tc>
          <w:tcPr>
            <w:tcW w:w="1335" w:type="dxa"/>
          </w:tcPr>
          <w:p w14:paraId="4FB1AB9B"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33,4</w:t>
            </w:r>
          </w:p>
        </w:tc>
        <w:tc>
          <w:tcPr>
            <w:tcW w:w="1335" w:type="dxa"/>
          </w:tcPr>
          <w:p w14:paraId="6E11449A"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35,6</w:t>
            </w:r>
          </w:p>
        </w:tc>
        <w:tc>
          <w:tcPr>
            <w:tcW w:w="1335" w:type="dxa"/>
          </w:tcPr>
          <w:p w14:paraId="2781CC58"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37,8</w:t>
            </w:r>
          </w:p>
        </w:tc>
        <w:tc>
          <w:tcPr>
            <w:tcW w:w="1335" w:type="dxa"/>
          </w:tcPr>
          <w:p w14:paraId="3989244F"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40,1</w:t>
            </w:r>
          </w:p>
        </w:tc>
        <w:tc>
          <w:tcPr>
            <w:tcW w:w="1335" w:type="dxa"/>
          </w:tcPr>
          <w:p w14:paraId="5D42CA75"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42,3</w:t>
            </w:r>
          </w:p>
        </w:tc>
        <w:tc>
          <w:tcPr>
            <w:tcW w:w="1335" w:type="dxa"/>
          </w:tcPr>
          <w:p w14:paraId="665DC996"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44,5</w:t>
            </w:r>
          </w:p>
        </w:tc>
        <w:tc>
          <w:tcPr>
            <w:tcW w:w="1337" w:type="dxa"/>
          </w:tcPr>
          <w:p w14:paraId="370B6C97"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46,7</w:t>
            </w:r>
          </w:p>
        </w:tc>
      </w:tr>
      <w:tr w:rsidR="00C566B2" w14:paraId="592FB86E" w14:textId="77777777" w:rsidTr="00C566B2">
        <w:trPr>
          <w:trHeight w:val="28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72CCBF82" w14:textId="77777777" w:rsidR="00597FBE" w:rsidRPr="007F3AF1" w:rsidRDefault="00000000" w:rsidP="00D409E8">
            <w:pPr>
              <w:rPr>
                <w:b w:val="0"/>
                <w:bCs w:val="0"/>
              </w:rPr>
            </w:pPr>
            <w:r>
              <w:rPr>
                <w:rStyle w:val="normaltextrun"/>
                <w:rFonts w:eastAsia="Times New Roman" w:cs="Times New Roman"/>
                <w:b w:val="0"/>
                <w:bCs w:val="0"/>
                <w:lang w:val="pt-BR"/>
              </w:rPr>
              <w:t>Alunos multilíngues</w:t>
            </w:r>
          </w:p>
        </w:tc>
        <w:tc>
          <w:tcPr>
            <w:tcW w:w="1335" w:type="dxa"/>
          </w:tcPr>
          <w:p w14:paraId="33DBE65F"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23,9</w:t>
            </w:r>
          </w:p>
        </w:tc>
        <w:tc>
          <w:tcPr>
            <w:tcW w:w="1335" w:type="dxa"/>
          </w:tcPr>
          <w:p w14:paraId="1621A601"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26,4</w:t>
            </w:r>
          </w:p>
        </w:tc>
        <w:tc>
          <w:tcPr>
            <w:tcW w:w="1335" w:type="dxa"/>
          </w:tcPr>
          <w:p w14:paraId="23EA1F86"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29</w:t>
            </w:r>
          </w:p>
        </w:tc>
        <w:tc>
          <w:tcPr>
            <w:tcW w:w="1335" w:type="dxa"/>
          </w:tcPr>
          <w:p w14:paraId="67C82321"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31,5</w:t>
            </w:r>
          </w:p>
        </w:tc>
        <w:tc>
          <w:tcPr>
            <w:tcW w:w="1335" w:type="dxa"/>
          </w:tcPr>
          <w:p w14:paraId="03F8A5D3"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34</w:t>
            </w:r>
          </w:p>
        </w:tc>
        <w:tc>
          <w:tcPr>
            <w:tcW w:w="1335" w:type="dxa"/>
          </w:tcPr>
          <w:p w14:paraId="74FE344A"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36,6</w:t>
            </w:r>
          </w:p>
        </w:tc>
        <w:tc>
          <w:tcPr>
            <w:tcW w:w="1337" w:type="dxa"/>
          </w:tcPr>
          <w:p w14:paraId="5728F444"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39,1</w:t>
            </w:r>
          </w:p>
        </w:tc>
      </w:tr>
      <w:tr w:rsidR="00C566B2" w14:paraId="6297854D" w14:textId="77777777" w:rsidTr="00C566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16C34B1A" w14:textId="77777777" w:rsidR="00597FBE" w:rsidRPr="007F3AF1" w:rsidRDefault="00000000" w:rsidP="00D409E8">
            <w:pPr>
              <w:rPr>
                <w:b w:val="0"/>
                <w:bCs w:val="0"/>
              </w:rPr>
            </w:pPr>
            <w:r>
              <w:rPr>
                <w:rStyle w:val="normaltextrun"/>
                <w:rFonts w:eastAsia="Times New Roman" w:cs="Times New Roman"/>
                <w:b w:val="0"/>
                <w:bCs w:val="0"/>
                <w:lang w:val="pt-BR"/>
              </w:rPr>
              <w:t xml:space="preserve">Hispânico ou latino </w:t>
            </w:r>
          </w:p>
        </w:tc>
        <w:tc>
          <w:tcPr>
            <w:tcW w:w="1335" w:type="dxa"/>
          </w:tcPr>
          <w:p w14:paraId="5D24D094"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37,3</w:t>
            </w:r>
          </w:p>
        </w:tc>
        <w:tc>
          <w:tcPr>
            <w:tcW w:w="1335" w:type="dxa"/>
          </w:tcPr>
          <w:p w14:paraId="68629714"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39,4</w:t>
            </w:r>
          </w:p>
        </w:tc>
        <w:tc>
          <w:tcPr>
            <w:tcW w:w="1335" w:type="dxa"/>
          </w:tcPr>
          <w:p w14:paraId="294AC7E3"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41,5</w:t>
            </w:r>
          </w:p>
        </w:tc>
        <w:tc>
          <w:tcPr>
            <w:tcW w:w="1335" w:type="dxa"/>
          </w:tcPr>
          <w:p w14:paraId="34E31F57"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43,6</w:t>
            </w:r>
          </w:p>
        </w:tc>
        <w:tc>
          <w:tcPr>
            <w:tcW w:w="1335" w:type="dxa"/>
          </w:tcPr>
          <w:p w14:paraId="08361836"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45,7</w:t>
            </w:r>
          </w:p>
        </w:tc>
        <w:tc>
          <w:tcPr>
            <w:tcW w:w="1335" w:type="dxa"/>
          </w:tcPr>
          <w:p w14:paraId="1E4B8DA9"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47,8</w:t>
            </w:r>
          </w:p>
        </w:tc>
        <w:tc>
          <w:tcPr>
            <w:tcW w:w="1337" w:type="dxa"/>
          </w:tcPr>
          <w:p w14:paraId="53864F28"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49,8</w:t>
            </w:r>
          </w:p>
        </w:tc>
      </w:tr>
      <w:tr w:rsidR="00C566B2" w14:paraId="14FE0F91" w14:textId="77777777" w:rsidTr="00C566B2">
        <w:trPr>
          <w:trHeight w:val="28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69E1B7A8" w14:textId="77777777" w:rsidR="00597FBE" w:rsidRPr="007F3AF1" w:rsidRDefault="00000000" w:rsidP="00D409E8">
            <w:pPr>
              <w:rPr>
                <w:rStyle w:val="normaltextrun"/>
                <w:rFonts w:cs="Times New Roman"/>
              </w:rPr>
            </w:pPr>
            <w:r>
              <w:rPr>
                <w:rStyle w:val="normaltextrun"/>
                <w:rFonts w:eastAsia="Times New Roman" w:cs="Times New Roman"/>
                <w:b w:val="0"/>
                <w:bCs w:val="0"/>
                <w:lang w:val="pt-BR"/>
              </w:rPr>
              <w:t>Alunos com deficiências</w:t>
            </w:r>
          </w:p>
        </w:tc>
        <w:tc>
          <w:tcPr>
            <w:tcW w:w="1335" w:type="dxa"/>
          </w:tcPr>
          <w:p w14:paraId="134F9C53"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19,2</w:t>
            </w:r>
          </w:p>
        </w:tc>
        <w:tc>
          <w:tcPr>
            <w:tcW w:w="1335" w:type="dxa"/>
          </w:tcPr>
          <w:p w14:paraId="702CCC07"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21,9</w:t>
            </w:r>
          </w:p>
        </w:tc>
        <w:tc>
          <w:tcPr>
            <w:tcW w:w="1335" w:type="dxa"/>
          </w:tcPr>
          <w:p w14:paraId="019C2B5F"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24,6</w:t>
            </w:r>
          </w:p>
        </w:tc>
        <w:tc>
          <w:tcPr>
            <w:tcW w:w="1335" w:type="dxa"/>
          </w:tcPr>
          <w:p w14:paraId="5F3894AE"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27,3</w:t>
            </w:r>
          </w:p>
        </w:tc>
        <w:tc>
          <w:tcPr>
            <w:tcW w:w="1335" w:type="dxa"/>
          </w:tcPr>
          <w:p w14:paraId="18ACC7C2"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30</w:t>
            </w:r>
          </w:p>
        </w:tc>
        <w:tc>
          <w:tcPr>
            <w:tcW w:w="1335" w:type="dxa"/>
          </w:tcPr>
          <w:p w14:paraId="377815AC"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32,7</w:t>
            </w:r>
          </w:p>
        </w:tc>
        <w:tc>
          <w:tcPr>
            <w:tcW w:w="1337" w:type="dxa"/>
          </w:tcPr>
          <w:p w14:paraId="14E44A2B"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35,4</w:t>
            </w:r>
          </w:p>
        </w:tc>
      </w:tr>
      <w:tr w:rsidR="00C566B2" w14:paraId="3E6065EA" w14:textId="77777777" w:rsidTr="00C566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71A7ED23" w14:textId="77777777" w:rsidR="00597FBE" w:rsidRPr="007F3AF1" w:rsidRDefault="00000000" w:rsidP="00D409E8">
            <w:pPr>
              <w:rPr>
                <w:rStyle w:val="normaltextrun"/>
                <w:rFonts w:cs="Times New Roman"/>
              </w:rPr>
            </w:pPr>
            <w:r>
              <w:rPr>
                <w:rStyle w:val="normaltextrun"/>
                <w:rFonts w:eastAsia="Times New Roman" w:cs="Times New Roman"/>
                <w:b w:val="0"/>
                <w:bCs w:val="0"/>
                <w:lang w:val="pt-BR"/>
              </w:rPr>
              <w:t>Duas ou mais raças</w:t>
            </w:r>
          </w:p>
        </w:tc>
        <w:tc>
          <w:tcPr>
            <w:tcW w:w="1335" w:type="dxa"/>
          </w:tcPr>
          <w:p w14:paraId="52415226"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58,2</w:t>
            </w:r>
          </w:p>
        </w:tc>
        <w:tc>
          <w:tcPr>
            <w:tcW w:w="1335" w:type="dxa"/>
          </w:tcPr>
          <w:p w14:paraId="2EF94E27"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59,6</w:t>
            </w:r>
          </w:p>
        </w:tc>
        <w:tc>
          <w:tcPr>
            <w:tcW w:w="1335" w:type="dxa"/>
          </w:tcPr>
          <w:p w14:paraId="2D37F98C"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61</w:t>
            </w:r>
          </w:p>
        </w:tc>
        <w:tc>
          <w:tcPr>
            <w:tcW w:w="1335" w:type="dxa"/>
          </w:tcPr>
          <w:p w14:paraId="576D3F5B"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62,4</w:t>
            </w:r>
          </w:p>
        </w:tc>
        <w:tc>
          <w:tcPr>
            <w:tcW w:w="1335" w:type="dxa"/>
          </w:tcPr>
          <w:p w14:paraId="15247B8D"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63,8</w:t>
            </w:r>
          </w:p>
        </w:tc>
        <w:tc>
          <w:tcPr>
            <w:tcW w:w="1335" w:type="dxa"/>
          </w:tcPr>
          <w:p w14:paraId="33A47C82"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65,2</w:t>
            </w:r>
          </w:p>
        </w:tc>
        <w:tc>
          <w:tcPr>
            <w:tcW w:w="1337" w:type="dxa"/>
          </w:tcPr>
          <w:p w14:paraId="4849481D" w14:textId="77777777" w:rsidR="00597FBE" w:rsidRPr="007F3AF1" w:rsidRDefault="00000000" w:rsidP="00D409E8">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66,6</w:t>
            </w:r>
          </w:p>
        </w:tc>
      </w:tr>
      <w:tr w:rsidR="00C566B2" w14:paraId="752C76D6" w14:textId="77777777" w:rsidTr="00C566B2">
        <w:trPr>
          <w:trHeight w:val="28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133292A2" w14:textId="77777777" w:rsidR="00597FBE" w:rsidRPr="007F3AF1" w:rsidRDefault="00000000" w:rsidP="00D409E8">
            <w:pPr>
              <w:rPr>
                <w:rStyle w:val="normaltextrun"/>
                <w:rFonts w:cs="Times New Roman"/>
              </w:rPr>
            </w:pPr>
            <w:r>
              <w:rPr>
                <w:rStyle w:val="normaltextrun"/>
                <w:rFonts w:eastAsia="Times New Roman" w:cs="Times New Roman"/>
                <w:b w:val="0"/>
                <w:bCs w:val="0"/>
                <w:lang w:val="pt-BR"/>
              </w:rPr>
              <w:lastRenderedPageBreak/>
              <w:t xml:space="preserve">Branco </w:t>
            </w:r>
          </w:p>
        </w:tc>
        <w:tc>
          <w:tcPr>
            <w:tcW w:w="1335" w:type="dxa"/>
          </w:tcPr>
          <w:p w14:paraId="1630156A"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60,7</w:t>
            </w:r>
          </w:p>
        </w:tc>
        <w:tc>
          <w:tcPr>
            <w:tcW w:w="1335" w:type="dxa"/>
          </w:tcPr>
          <w:p w14:paraId="4DB23EB3"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62</w:t>
            </w:r>
          </w:p>
        </w:tc>
        <w:tc>
          <w:tcPr>
            <w:tcW w:w="1335" w:type="dxa"/>
          </w:tcPr>
          <w:p w14:paraId="4A1C45E6"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63,3</w:t>
            </w:r>
          </w:p>
        </w:tc>
        <w:tc>
          <w:tcPr>
            <w:tcW w:w="1335" w:type="dxa"/>
          </w:tcPr>
          <w:p w14:paraId="39B25F79"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64,6</w:t>
            </w:r>
          </w:p>
        </w:tc>
        <w:tc>
          <w:tcPr>
            <w:tcW w:w="1335" w:type="dxa"/>
          </w:tcPr>
          <w:p w14:paraId="0B057369"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65,9</w:t>
            </w:r>
          </w:p>
        </w:tc>
        <w:tc>
          <w:tcPr>
            <w:tcW w:w="1335" w:type="dxa"/>
          </w:tcPr>
          <w:p w14:paraId="6B293D70"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67,3</w:t>
            </w:r>
          </w:p>
        </w:tc>
        <w:tc>
          <w:tcPr>
            <w:tcW w:w="1337" w:type="dxa"/>
          </w:tcPr>
          <w:p w14:paraId="2826D7AB" w14:textId="77777777" w:rsidR="00597FBE" w:rsidRPr="007F3AF1" w:rsidRDefault="00000000" w:rsidP="00D409E8">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68,6</w:t>
            </w:r>
          </w:p>
        </w:tc>
      </w:tr>
    </w:tbl>
    <w:p w14:paraId="45D7E707" w14:textId="77777777" w:rsidR="00216410" w:rsidRPr="00CC1CB4" w:rsidRDefault="00000000" w:rsidP="00F86F30">
      <w:pPr>
        <w:pStyle w:val="aff0"/>
        <w:rPr>
          <w:lang w:val="es-ES"/>
        </w:rPr>
      </w:pPr>
      <w:r>
        <w:rPr>
          <w:rFonts w:eastAsia="Cambria"/>
          <w:lang w:val="pt-BR"/>
        </w:rPr>
        <w:t>Figura Anexo.A.2: Metas de realização acadêmica em matemática</w:t>
      </w:r>
    </w:p>
    <w:tbl>
      <w:tblPr>
        <w:tblStyle w:val="4-10"/>
        <w:tblW w:w="12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bottom w:w="58" w:type="dxa"/>
        </w:tblCellMar>
        <w:tblLook w:val="04A0" w:firstRow="1" w:lastRow="0" w:firstColumn="1" w:lastColumn="0" w:noHBand="0" w:noVBand="1"/>
      </w:tblPr>
      <w:tblGrid>
        <w:gridCol w:w="3415"/>
        <w:gridCol w:w="1331"/>
        <w:gridCol w:w="1331"/>
        <w:gridCol w:w="1331"/>
        <w:gridCol w:w="1331"/>
        <w:gridCol w:w="1331"/>
        <w:gridCol w:w="1331"/>
        <w:gridCol w:w="1332"/>
      </w:tblGrid>
      <w:tr w:rsidR="00C566B2" w14:paraId="574CF50C" w14:textId="77777777" w:rsidTr="00C566B2">
        <w:trPr>
          <w:cnfStyle w:val="100000000000" w:firstRow="1" w:lastRow="0" w:firstColumn="0" w:lastColumn="0" w:oddVBand="0" w:evenVBand="0" w:oddHBand="0" w:evenHBand="0" w:firstRowFirstColumn="0" w:firstRowLastColumn="0" w:lastRowFirstColumn="0" w:lastRowLastColumn="0"/>
          <w:trHeight w:val="687"/>
          <w:tblHeader/>
        </w:trPr>
        <w:tc>
          <w:tcPr>
            <w:cnfStyle w:val="001000000000" w:firstRow="0" w:lastRow="0" w:firstColumn="1" w:lastColumn="0" w:oddVBand="0" w:evenVBand="0" w:oddHBand="0" w:evenHBand="0" w:firstRowFirstColumn="0" w:firstRowLastColumn="0" w:lastRowFirstColumn="0" w:lastRowLastColumn="0"/>
            <w:tcW w:w="3415" w:type="dxa"/>
            <w:tcBorders>
              <w:right w:val="single" w:sz="4" w:space="0" w:color="FFFFFF" w:themeColor="background1"/>
            </w:tcBorders>
            <w:shd w:val="clear" w:color="auto" w:fill="215868"/>
            <w:vAlign w:val="center"/>
          </w:tcPr>
          <w:p w14:paraId="06C6D7FB" w14:textId="77777777" w:rsidR="00216410" w:rsidRPr="007F3AF1" w:rsidRDefault="00000000">
            <w:pPr>
              <w:rPr>
                <w:rFonts w:cs="Times New Roman"/>
                <w:bCs w:val="0"/>
              </w:rPr>
            </w:pPr>
            <w:r>
              <w:rPr>
                <w:rFonts w:eastAsia="Times New Roman" w:cs="Times New Roman"/>
                <w:color w:val="FFFFFF"/>
                <w:lang w:val="pt-BR"/>
              </w:rPr>
              <w:t>Grupo de estudantes</w:t>
            </w:r>
          </w:p>
        </w:tc>
        <w:tc>
          <w:tcPr>
            <w:tcW w:w="1331" w:type="dxa"/>
            <w:tcBorders>
              <w:left w:val="single" w:sz="4" w:space="0" w:color="FFFFFF" w:themeColor="background1"/>
              <w:right w:val="single" w:sz="4" w:space="0" w:color="FFFFFF" w:themeColor="background1"/>
            </w:tcBorders>
            <w:shd w:val="clear" w:color="auto" w:fill="215868"/>
            <w:vAlign w:val="center"/>
          </w:tcPr>
          <w:p w14:paraId="155862E5" w14:textId="77777777" w:rsidR="00216410" w:rsidRPr="007F3AF1"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lang w:val="pt-BR"/>
              </w:rPr>
              <w:t>Avaliação inicial de 2022-2023</w:t>
            </w:r>
          </w:p>
        </w:tc>
        <w:tc>
          <w:tcPr>
            <w:tcW w:w="1331" w:type="dxa"/>
            <w:tcBorders>
              <w:left w:val="single" w:sz="4" w:space="0" w:color="FFFFFF" w:themeColor="background1"/>
              <w:right w:val="single" w:sz="4" w:space="0" w:color="FFFFFF" w:themeColor="background1"/>
            </w:tcBorders>
            <w:shd w:val="clear" w:color="auto" w:fill="215868"/>
            <w:vAlign w:val="center"/>
          </w:tcPr>
          <w:p w14:paraId="7AD6B332" w14:textId="77777777" w:rsidR="00216410" w:rsidRPr="007F3AF1"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lang w:val="pt-BR"/>
              </w:rPr>
              <w:t>Meta de 2023-2024</w:t>
            </w:r>
          </w:p>
        </w:tc>
        <w:tc>
          <w:tcPr>
            <w:tcW w:w="1331" w:type="dxa"/>
            <w:tcBorders>
              <w:left w:val="single" w:sz="4" w:space="0" w:color="FFFFFF" w:themeColor="background1"/>
              <w:right w:val="single" w:sz="4" w:space="0" w:color="FFFFFF" w:themeColor="background1"/>
            </w:tcBorders>
            <w:shd w:val="clear" w:color="auto" w:fill="215868"/>
            <w:vAlign w:val="center"/>
          </w:tcPr>
          <w:p w14:paraId="19A5745C" w14:textId="77777777" w:rsidR="00216410" w:rsidRPr="007F3AF1"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lang w:val="pt-BR"/>
              </w:rPr>
              <w:t>Meta de 2024-2025</w:t>
            </w:r>
          </w:p>
        </w:tc>
        <w:tc>
          <w:tcPr>
            <w:tcW w:w="1331" w:type="dxa"/>
            <w:tcBorders>
              <w:left w:val="single" w:sz="4" w:space="0" w:color="FFFFFF" w:themeColor="background1"/>
              <w:right w:val="single" w:sz="4" w:space="0" w:color="FFFFFF" w:themeColor="background1"/>
            </w:tcBorders>
            <w:shd w:val="clear" w:color="auto" w:fill="215868"/>
            <w:vAlign w:val="center"/>
          </w:tcPr>
          <w:p w14:paraId="7B6DB62D" w14:textId="77777777" w:rsidR="00216410" w:rsidRPr="007F3AF1"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lang w:val="pt-BR"/>
              </w:rPr>
              <w:t>Meta de 2025-2026</w:t>
            </w:r>
          </w:p>
        </w:tc>
        <w:tc>
          <w:tcPr>
            <w:tcW w:w="1331" w:type="dxa"/>
            <w:tcBorders>
              <w:left w:val="single" w:sz="4" w:space="0" w:color="FFFFFF" w:themeColor="background1"/>
              <w:right w:val="single" w:sz="4" w:space="0" w:color="FFFFFF" w:themeColor="background1"/>
            </w:tcBorders>
            <w:shd w:val="clear" w:color="auto" w:fill="215868"/>
            <w:vAlign w:val="center"/>
          </w:tcPr>
          <w:p w14:paraId="3AF2C480" w14:textId="77777777" w:rsidR="00216410" w:rsidRPr="007F3AF1"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lang w:val="pt-BR"/>
              </w:rPr>
              <w:t>Meta de 2026-2027</w:t>
            </w:r>
          </w:p>
        </w:tc>
        <w:tc>
          <w:tcPr>
            <w:tcW w:w="1331" w:type="dxa"/>
            <w:tcBorders>
              <w:left w:val="single" w:sz="4" w:space="0" w:color="FFFFFF" w:themeColor="background1"/>
              <w:right w:val="single" w:sz="4" w:space="0" w:color="FFFFFF" w:themeColor="background1"/>
            </w:tcBorders>
            <w:shd w:val="clear" w:color="auto" w:fill="215868"/>
            <w:vAlign w:val="center"/>
          </w:tcPr>
          <w:p w14:paraId="0E692890" w14:textId="77777777" w:rsidR="00216410" w:rsidRPr="007F3AF1"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lang w:val="pt-BR"/>
              </w:rPr>
              <w:t>Meta de 2027-2028</w:t>
            </w:r>
          </w:p>
        </w:tc>
        <w:tc>
          <w:tcPr>
            <w:tcW w:w="1332" w:type="dxa"/>
            <w:tcBorders>
              <w:left w:val="single" w:sz="4" w:space="0" w:color="FFFFFF" w:themeColor="background1"/>
            </w:tcBorders>
            <w:shd w:val="clear" w:color="auto" w:fill="215868"/>
            <w:vAlign w:val="center"/>
          </w:tcPr>
          <w:p w14:paraId="7345C96B" w14:textId="77777777" w:rsidR="00216410" w:rsidRPr="007F3AF1"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lang w:val="pt-BR"/>
              </w:rPr>
              <w:t>Meta de 2028-2029</w:t>
            </w:r>
          </w:p>
        </w:tc>
      </w:tr>
      <w:tr w:rsidR="00C566B2" w14:paraId="42C57AE9" w14:textId="77777777" w:rsidTr="00C566B2">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3E61ABD8" w14:textId="77777777" w:rsidR="00216410" w:rsidRPr="007F3AF1" w:rsidRDefault="00000000" w:rsidP="004D2055">
            <w:pPr>
              <w:rPr>
                <w:b w:val="0"/>
                <w:bCs w:val="0"/>
              </w:rPr>
            </w:pPr>
            <w:r>
              <w:rPr>
                <w:rStyle w:val="normaltextrun"/>
                <w:rFonts w:eastAsia="Times New Roman" w:cs="Times New Roman"/>
                <w:b w:val="0"/>
                <w:bCs w:val="0"/>
                <w:lang w:val="pt-BR"/>
              </w:rPr>
              <w:t xml:space="preserve">Todos os alunos </w:t>
            </w:r>
          </w:p>
        </w:tc>
        <w:tc>
          <w:tcPr>
            <w:tcW w:w="1331" w:type="dxa"/>
            <w:shd w:val="clear" w:color="auto" w:fill="DBE5F1"/>
          </w:tcPr>
          <w:p w14:paraId="440A592E"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38,2</w:t>
            </w:r>
          </w:p>
        </w:tc>
        <w:tc>
          <w:tcPr>
            <w:tcW w:w="1331" w:type="dxa"/>
            <w:shd w:val="clear" w:color="auto" w:fill="DBE5F1"/>
          </w:tcPr>
          <w:p w14:paraId="5C0C2023"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40,3</w:t>
            </w:r>
          </w:p>
        </w:tc>
        <w:tc>
          <w:tcPr>
            <w:tcW w:w="1331" w:type="dxa"/>
            <w:shd w:val="clear" w:color="auto" w:fill="DBE5F1"/>
          </w:tcPr>
          <w:p w14:paraId="5839C42B"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42,3</w:t>
            </w:r>
          </w:p>
        </w:tc>
        <w:tc>
          <w:tcPr>
            <w:tcW w:w="1331" w:type="dxa"/>
            <w:shd w:val="clear" w:color="auto" w:fill="DBE5F1"/>
          </w:tcPr>
          <w:p w14:paraId="3B277D36"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44,4</w:t>
            </w:r>
          </w:p>
        </w:tc>
        <w:tc>
          <w:tcPr>
            <w:tcW w:w="1331" w:type="dxa"/>
            <w:shd w:val="clear" w:color="auto" w:fill="DBE5F1"/>
          </w:tcPr>
          <w:p w14:paraId="74FB676A"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46,4</w:t>
            </w:r>
          </w:p>
        </w:tc>
        <w:tc>
          <w:tcPr>
            <w:tcW w:w="1331" w:type="dxa"/>
            <w:shd w:val="clear" w:color="auto" w:fill="DBE5F1"/>
          </w:tcPr>
          <w:p w14:paraId="6BBB55CD"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48,5</w:t>
            </w:r>
          </w:p>
        </w:tc>
        <w:tc>
          <w:tcPr>
            <w:tcW w:w="1332" w:type="dxa"/>
            <w:shd w:val="clear" w:color="auto" w:fill="DBE5F1"/>
          </w:tcPr>
          <w:p w14:paraId="0CD782E6"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50,6</w:t>
            </w:r>
          </w:p>
        </w:tc>
      </w:tr>
      <w:tr w:rsidR="00C566B2" w14:paraId="36D10E4B" w14:textId="77777777" w:rsidTr="00C566B2">
        <w:trPr>
          <w:trHeight w:val="454"/>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2D090FD1" w14:textId="77777777" w:rsidR="00216410" w:rsidRPr="00CC1CB4" w:rsidRDefault="00000000" w:rsidP="004D2055">
            <w:pPr>
              <w:rPr>
                <w:b w:val="0"/>
                <w:bCs w:val="0"/>
                <w:lang w:val="es-ES"/>
              </w:rPr>
            </w:pPr>
            <w:r>
              <w:rPr>
                <w:rStyle w:val="normaltextrun"/>
                <w:rFonts w:eastAsia="Times New Roman" w:cs="Times New Roman"/>
                <w:b w:val="0"/>
                <w:bCs w:val="0"/>
                <w:lang w:val="pt-BR"/>
              </w:rPr>
              <w:t xml:space="preserve">Indígena americano ou nativo do Alasca </w:t>
            </w:r>
          </w:p>
        </w:tc>
        <w:tc>
          <w:tcPr>
            <w:tcW w:w="1331" w:type="dxa"/>
          </w:tcPr>
          <w:p w14:paraId="4FB0903A"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40,1</w:t>
            </w:r>
          </w:p>
        </w:tc>
        <w:tc>
          <w:tcPr>
            <w:tcW w:w="1331" w:type="dxa"/>
          </w:tcPr>
          <w:p w14:paraId="4399EFF7"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42,1</w:t>
            </w:r>
          </w:p>
        </w:tc>
        <w:tc>
          <w:tcPr>
            <w:tcW w:w="1331" w:type="dxa"/>
          </w:tcPr>
          <w:p w14:paraId="0397A9FB"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44,1</w:t>
            </w:r>
          </w:p>
        </w:tc>
        <w:tc>
          <w:tcPr>
            <w:tcW w:w="1331" w:type="dxa"/>
          </w:tcPr>
          <w:p w14:paraId="6C60AE17"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46,1</w:t>
            </w:r>
          </w:p>
        </w:tc>
        <w:tc>
          <w:tcPr>
            <w:tcW w:w="1331" w:type="dxa"/>
          </w:tcPr>
          <w:p w14:paraId="54039321"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48,1</w:t>
            </w:r>
          </w:p>
        </w:tc>
        <w:tc>
          <w:tcPr>
            <w:tcW w:w="1331" w:type="dxa"/>
          </w:tcPr>
          <w:p w14:paraId="28302CAF"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50,1</w:t>
            </w:r>
          </w:p>
        </w:tc>
        <w:tc>
          <w:tcPr>
            <w:tcW w:w="1332" w:type="dxa"/>
          </w:tcPr>
          <w:p w14:paraId="5B2F0B4A"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52,1</w:t>
            </w:r>
          </w:p>
        </w:tc>
      </w:tr>
      <w:tr w:rsidR="00C566B2" w14:paraId="6F7A1C0C" w14:textId="77777777" w:rsidTr="00C566B2">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0D1E291E" w14:textId="77777777" w:rsidR="00216410" w:rsidRPr="00CC1CB4" w:rsidRDefault="00000000" w:rsidP="004D2055">
            <w:pPr>
              <w:rPr>
                <w:b w:val="0"/>
                <w:bCs w:val="0"/>
                <w:lang w:val="es-ES"/>
              </w:rPr>
            </w:pPr>
            <w:r>
              <w:rPr>
                <w:rStyle w:val="normaltextrun"/>
                <w:rFonts w:eastAsia="Times New Roman" w:cs="Times New Roman"/>
                <w:b w:val="0"/>
                <w:bCs w:val="0"/>
                <w:lang w:val="pt-BR"/>
              </w:rPr>
              <w:t>Asiático, havaiano nativo ou das ilhas do Pacífico</w:t>
            </w:r>
          </w:p>
        </w:tc>
        <w:tc>
          <w:tcPr>
            <w:tcW w:w="1331" w:type="dxa"/>
            <w:shd w:val="clear" w:color="auto" w:fill="DBE5F1"/>
          </w:tcPr>
          <w:p w14:paraId="591C1D84"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73,1</w:t>
            </w:r>
          </w:p>
        </w:tc>
        <w:tc>
          <w:tcPr>
            <w:tcW w:w="1331" w:type="dxa"/>
            <w:shd w:val="clear" w:color="auto" w:fill="DBE5F1"/>
          </w:tcPr>
          <w:p w14:paraId="26A544F2"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74</w:t>
            </w:r>
          </w:p>
        </w:tc>
        <w:tc>
          <w:tcPr>
            <w:tcW w:w="1331" w:type="dxa"/>
            <w:shd w:val="clear" w:color="auto" w:fill="DBE5F1"/>
          </w:tcPr>
          <w:p w14:paraId="2D52B249"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74,9</w:t>
            </w:r>
          </w:p>
        </w:tc>
        <w:tc>
          <w:tcPr>
            <w:tcW w:w="1331" w:type="dxa"/>
            <w:shd w:val="clear" w:color="auto" w:fill="DBE5F1"/>
          </w:tcPr>
          <w:p w14:paraId="588E611A"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75,8</w:t>
            </w:r>
          </w:p>
        </w:tc>
        <w:tc>
          <w:tcPr>
            <w:tcW w:w="1331" w:type="dxa"/>
            <w:shd w:val="clear" w:color="auto" w:fill="DBE5F1"/>
          </w:tcPr>
          <w:p w14:paraId="69300054"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76,7</w:t>
            </w:r>
          </w:p>
        </w:tc>
        <w:tc>
          <w:tcPr>
            <w:tcW w:w="1331" w:type="dxa"/>
            <w:shd w:val="clear" w:color="auto" w:fill="DBE5F1"/>
          </w:tcPr>
          <w:p w14:paraId="71898734"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77,6</w:t>
            </w:r>
          </w:p>
        </w:tc>
        <w:tc>
          <w:tcPr>
            <w:tcW w:w="1332" w:type="dxa"/>
            <w:shd w:val="clear" w:color="auto" w:fill="DBE5F1"/>
          </w:tcPr>
          <w:p w14:paraId="4414DD49"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78,5</w:t>
            </w:r>
          </w:p>
        </w:tc>
      </w:tr>
      <w:tr w:rsidR="00C566B2" w14:paraId="43EA2955" w14:textId="77777777" w:rsidTr="00C566B2">
        <w:trPr>
          <w:trHeight w:val="454"/>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3A92F318" w14:textId="77777777" w:rsidR="00216410" w:rsidRPr="007F3AF1" w:rsidRDefault="00000000" w:rsidP="004D2055">
            <w:pPr>
              <w:rPr>
                <w:b w:val="0"/>
                <w:bCs w:val="0"/>
              </w:rPr>
            </w:pPr>
            <w:r>
              <w:rPr>
                <w:rStyle w:val="normaltextrun"/>
                <w:rFonts w:eastAsia="Times New Roman" w:cs="Times New Roman"/>
                <w:b w:val="0"/>
                <w:bCs w:val="0"/>
                <w:lang w:val="pt-BR"/>
              </w:rPr>
              <w:t xml:space="preserve">Negro ou afro-americano </w:t>
            </w:r>
          </w:p>
        </w:tc>
        <w:tc>
          <w:tcPr>
            <w:tcW w:w="1331" w:type="dxa"/>
          </w:tcPr>
          <w:p w14:paraId="3284A793"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17,9</w:t>
            </w:r>
          </w:p>
        </w:tc>
        <w:tc>
          <w:tcPr>
            <w:tcW w:w="1331" w:type="dxa"/>
          </w:tcPr>
          <w:p w14:paraId="261D93A9"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20,6</w:t>
            </w:r>
          </w:p>
        </w:tc>
        <w:tc>
          <w:tcPr>
            <w:tcW w:w="1331" w:type="dxa"/>
          </w:tcPr>
          <w:p w14:paraId="57B68B64"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23,4</w:t>
            </w:r>
          </w:p>
        </w:tc>
        <w:tc>
          <w:tcPr>
            <w:tcW w:w="1331" w:type="dxa"/>
          </w:tcPr>
          <w:p w14:paraId="110E62BB"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26,1</w:t>
            </w:r>
          </w:p>
        </w:tc>
        <w:tc>
          <w:tcPr>
            <w:tcW w:w="1331" w:type="dxa"/>
          </w:tcPr>
          <w:p w14:paraId="6FEE6CE2"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28,8</w:t>
            </w:r>
          </w:p>
        </w:tc>
        <w:tc>
          <w:tcPr>
            <w:tcW w:w="1331" w:type="dxa"/>
          </w:tcPr>
          <w:p w14:paraId="28D408D9"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31,6</w:t>
            </w:r>
          </w:p>
        </w:tc>
        <w:tc>
          <w:tcPr>
            <w:tcW w:w="1332" w:type="dxa"/>
          </w:tcPr>
          <w:p w14:paraId="6964324A"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34,3</w:t>
            </w:r>
          </w:p>
        </w:tc>
      </w:tr>
      <w:tr w:rsidR="00C566B2" w14:paraId="096AF9B7" w14:textId="77777777" w:rsidTr="00C566B2">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094083AA" w14:textId="77777777" w:rsidR="00216410" w:rsidRPr="007F3AF1" w:rsidRDefault="00000000" w:rsidP="004D2055">
            <w:pPr>
              <w:rPr>
                <w:b w:val="0"/>
                <w:bCs w:val="0"/>
              </w:rPr>
            </w:pPr>
            <w:r>
              <w:rPr>
                <w:rStyle w:val="normaltextrun"/>
                <w:rFonts w:eastAsia="Times New Roman" w:cs="Times New Roman"/>
                <w:b w:val="0"/>
                <w:bCs w:val="0"/>
                <w:lang w:val="pt-BR"/>
              </w:rPr>
              <w:t xml:space="preserve">Estudantes economicamente desfavorecidos </w:t>
            </w:r>
          </w:p>
        </w:tc>
        <w:tc>
          <w:tcPr>
            <w:tcW w:w="1331" w:type="dxa"/>
            <w:shd w:val="clear" w:color="auto" w:fill="DBE5F1"/>
          </w:tcPr>
          <w:p w14:paraId="0B07C5D0"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19,5</w:t>
            </w:r>
          </w:p>
        </w:tc>
        <w:tc>
          <w:tcPr>
            <w:tcW w:w="1331" w:type="dxa"/>
            <w:shd w:val="clear" w:color="auto" w:fill="DBE5F1"/>
          </w:tcPr>
          <w:p w14:paraId="443C60C1"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22,2</w:t>
            </w:r>
          </w:p>
        </w:tc>
        <w:tc>
          <w:tcPr>
            <w:tcW w:w="1331" w:type="dxa"/>
            <w:shd w:val="clear" w:color="auto" w:fill="DBE5F1"/>
          </w:tcPr>
          <w:p w14:paraId="5B589BB0"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24,9</w:t>
            </w:r>
          </w:p>
        </w:tc>
        <w:tc>
          <w:tcPr>
            <w:tcW w:w="1331" w:type="dxa"/>
            <w:shd w:val="clear" w:color="auto" w:fill="DBE5F1"/>
          </w:tcPr>
          <w:p w14:paraId="71598507"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27,6</w:t>
            </w:r>
          </w:p>
        </w:tc>
        <w:tc>
          <w:tcPr>
            <w:tcW w:w="1331" w:type="dxa"/>
            <w:shd w:val="clear" w:color="auto" w:fill="DBE5F1"/>
          </w:tcPr>
          <w:p w14:paraId="1251526F"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30,2</w:t>
            </w:r>
          </w:p>
        </w:tc>
        <w:tc>
          <w:tcPr>
            <w:tcW w:w="1331" w:type="dxa"/>
            <w:shd w:val="clear" w:color="auto" w:fill="DBE5F1"/>
          </w:tcPr>
          <w:p w14:paraId="54D42D96"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32,9</w:t>
            </w:r>
          </w:p>
        </w:tc>
        <w:tc>
          <w:tcPr>
            <w:tcW w:w="1332" w:type="dxa"/>
            <w:shd w:val="clear" w:color="auto" w:fill="DBE5F1"/>
          </w:tcPr>
          <w:p w14:paraId="6AE5B559"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35,6</w:t>
            </w:r>
          </w:p>
        </w:tc>
      </w:tr>
      <w:tr w:rsidR="00C566B2" w14:paraId="60AD0B06" w14:textId="77777777" w:rsidTr="00C566B2">
        <w:trPr>
          <w:trHeight w:val="221"/>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67FAA7FC" w14:textId="77777777" w:rsidR="00216410" w:rsidRPr="007F3AF1" w:rsidRDefault="00000000" w:rsidP="004D2055">
            <w:pPr>
              <w:rPr>
                <w:b w:val="0"/>
                <w:bCs w:val="0"/>
              </w:rPr>
            </w:pPr>
            <w:r>
              <w:rPr>
                <w:rStyle w:val="normaltextrun"/>
                <w:rFonts w:eastAsia="Times New Roman" w:cs="Times New Roman"/>
                <w:b w:val="0"/>
                <w:bCs w:val="0"/>
                <w:lang w:val="pt-BR"/>
              </w:rPr>
              <w:t>Alunos multilíngues</w:t>
            </w:r>
          </w:p>
        </w:tc>
        <w:tc>
          <w:tcPr>
            <w:tcW w:w="1331" w:type="dxa"/>
          </w:tcPr>
          <w:p w14:paraId="160B6BD4"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18,1</w:t>
            </w:r>
          </w:p>
        </w:tc>
        <w:tc>
          <w:tcPr>
            <w:tcW w:w="1331" w:type="dxa"/>
          </w:tcPr>
          <w:p w14:paraId="4F347277"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20,8</w:t>
            </w:r>
          </w:p>
        </w:tc>
        <w:tc>
          <w:tcPr>
            <w:tcW w:w="1331" w:type="dxa"/>
          </w:tcPr>
          <w:p w14:paraId="2A181FE4"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23,6</w:t>
            </w:r>
          </w:p>
        </w:tc>
        <w:tc>
          <w:tcPr>
            <w:tcW w:w="1331" w:type="dxa"/>
          </w:tcPr>
          <w:p w14:paraId="7A8C2D70"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26,3</w:t>
            </w:r>
          </w:p>
        </w:tc>
        <w:tc>
          <w:tcPr>
            <w:tcW w:w="1331" w:type="dxa"/>
          </w:tcPr>
          <w:p w14:paraId="6EB82A0E"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29</w:t>
            </w:r>
          </w:p>
        </w:tc>
        <w:tc>
          <w:tcPr>
            <w:tcW w:w="1331" w:type="dxa"/>
          </w:tcPr>
          <w:p w14:paraId="2A324B68"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31,8</w:t>
            </w:r>
          </w:p>
        </w:tc>
        <w:tc>
          <w:tcPr>
            <w:tcW w:w="1332" w:type="dxa"/>
          </w:tcPr>
          <w:p w14:paraId="6683930B"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34,5</w:t>
            </w:r>
          </w:p>
        </w:tc>
      </w:tr>
      <w:tr w:rsidR="00C566B2" w14:paraId="684B3511" w14:textId="77777777" w:rsidTr="00C566B2">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698CD2F3" w14:textId="77777777" w:rsidR="00216410" w:rsidRPr="007F3AF1" w:rsidRDefault="00000000" w:rsidP="004D2055">
            <w:pPr>
              <w:rPr>
                <w:b w:val="0"/>
                <w:bCs w:val="0"/>
              </w:rPr>
            </w:pPr>
            <w:r>
              <w:rPr>
                <w:rStyle w:val="normaltextrun"/>
                <w:rFonts w:eastAsia="Times New Roman" w:cs="Times New Roman"/>
                <w:b w:val="0"/>
                <w:bCs w:val="0"/>
                <w:lang w:val="pt-BR"/>
              </w:rPr>
              <w:t xml:space="preserve">Hispânico ou latino </w:t>
            </w:r>
          </w:p>
        </w:tc>
        <w:tc>
          <w:tcPr>
            <w:tcW w:w="1331" w:type="dxa"/>
            <w:shd w:val="clear" w:color="auto" w:fill="DBE5F1"/>
          </w:tcPr>
          <w:p w14:paraId="5A859216"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22,2</w:t>
            </w:r>
          </w:p>
        </w:tc>
        <w:tc>
          <w:tcPr>
            <w:tcW w:w="1331" w:type="dxa"/>
            <w:shd w:val="clear" w:color="auto" w:fill="DBE5F1"/>
          </w:tcPr>
          <w:p w14:paraId="51423FB7"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24,8</w:t>
            </w:r>
          </w:p>
        </w:tc>
        <w:tc>
          <w:tcPr>
            <w:tcW w:w="1331" w:type="dxa"/>
            <w:shd w:val="clear" w:color="auto" w:fill="DBE5F1"/>
          </w:tcPr>
          <w:p w14:paraId="759334A1"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27,4</w:t>
            </w:r>
          </w:p>
        </w:tc>
        <w:tc>
          <w:tcPr>
            <w:tcW w:w="1331" w:type="dxa"/>
            <w:shd w:val="clear" w:color="auto" w:fill="DBE5F1"/>
          </w:tcPr>
          <w:p w14:paraId="2B570CEF"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30</w:t>
            </w:r>
          </w:p>
        </w:tc>
        <w:tc>
          <w:tcPr>
            <w:tcW w:w="1331" w:type="dxa"/>
            <w:shd w:val="clear" w:color="auto" w:fill="DBE5F1"/>
          </w:tcPr>
          <w:p w14:paraId="4597FDD2"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32,6</w:t>
            </w:r>
          </w:p>
        </w:tc>
        <w:tc>
          <w:tcPr>
            <w:tcW w:w="1331" w:type="dxa"/>
            <w:shd w:val="clear" w:color="auto" w:fill="DBE5F1"/>
          </w:tcPr>
          <w:p w14:paraId="72F148B0"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35,2</w:t>
            </w:r>
          </w:p>
        </w:tc>
        <w:tc>
          <w:tcPr>
            <w:tcW w:w="1332" w:type="dxa"/>
            <w:shd w:val="clear" w:color="auto" w:fill="DBE5F1"/>
          </w:tcPr>
          <w:p w14:paraId="2D7E7B41"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37,8</w:t>
            </w:r>
          </w:p>
        </w:tc>
      </w:tr>
      <w:tr w:rsidR="00C566B2" w14:paraId="745E5751" w14:textId="77777777" w:rsidTr="00C566B2">
        <w:trPr>
          <w:trHeight w:val="233"/>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283FBFD1" w14:textId="77777777" w:rsidR="00216410" w:rsidRPr="007F3AF1" w:rsidRDefault="00000000" w:rsidP="004D2055">
            <w:pPr>
              <w:rPr>
                <w:rStyle w:val="normaltextrun"/>
                <w:rFonts w:cs="Times New Roman"/>
              </w:rPr>
            </w:pPr>
            <w:r>
              <w:rPr>
                <w:rStyle w:val="normaltextrun"/>
                <w:rFonts w:eastAsia="Times New Roman" w:cs="Times New Roman"/>
                <w:b w:val="0"/>
                <w:bCs w:val="0"/>
                <w:lang w:val="pt-BR"/>
              </w:rPr>
              <w:t>Alunos com deficiências</w:t>
            </w:r>
          </w:p>
        </w:tc>
        <w:tc>
          <w:tcPr>
            <w:tcW w:w="1331" w:type="dxa"/>
          </w:tcPr>
          <w:p w14:paraId="30AE8B52"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15,7</w:t>
            </w:r>
          </w:p>
        </w:tc>
        <w:tc>
          <w:tcPr>
            <w:tcW w:w="1331" w:type="dxa"/>
          </w:tcPr>
          <w:p w14:paraId="33238CD3"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18,5</w:t>
            </w:r>
          </w:p>
        </w:tc>
        <w:tc>
          <w:tcPr>
            <w:tcW w:w="1331" w:type="dxa"/>
          </w:tcPr>
          <w:p w14:paraId="75DE51CA"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21,3</w:t>
            </w:r>
          </w:p>
        </w:tc>
        <w:tc>
          <w:tcPr>
            <w:tcW w:w="1331" w:type="dxa"/>
          </w:tcPr>
          <w:p w14:paraId="6CF4BC19"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24,1</w:t>
            </w:r>
          </w:p>
        </w:tc>
        <w:tc>
          <w:tcPr>
            <w:tcW w:w="1331" w:type="dxa"/>
          </w:tcPr>
          <w:p w14:paraId="03E105E5"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26,9</w:t>
            </w:r>
          </w:p>
        </w:tc>
        <w:tc>
          <w:tcPr>
            <w:tcW w:w="1331" w:type="dxa"/>
          </w:tcPr>
          <w:p w14:paraId="6AABCA93"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29,8</w:t>
            </w:r>
          </w:p>
        </w:tc>
        <w:tc>
          <w:tcPr>
            <w:tcW w:w="1332" w:type="dxa"/>
          </w:tcPr>
          <w:p w14:paraId="5B8765EF"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32,6</w:t>
            </w:r>
          </w:p>
        </w:tc>
      </w:tr>
      <w:tr w:rsidR="00C566B2" w14:paraId="5EE61D00" w14:textId="77777777" w:rsidTr="00C566B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6248A1EE" w14:textId="77777777" w:rsidR="00216410" w:rsidRPr="007F3AF1" w:rsidRDefault="00000000" w:rsidP="004D2055">
            <w:pPr>
              <w:rPr>
                <w:rStyle w:val="normaltextrun"/>
                <w:rFonts w:cs="Times New Roman"/>
              </w:rPr>
            </w:pPr>
            <w:r>
              <w:rPr>
                <w:rStyle w:val="normaltextrun"/>
                <w:rFonts w:eastAsia="Times New Roman" w:cs="Times New Roman"/>
                <w:b w:val="0"/>
                <w:bCs w:val="0"/>
                <w:lang w:val="pt-BR"/>
              </w:rPr>
              <w:t>Duas ou mais raças</w:t>
            </w:r>
          </w:p>
        </w:tc>
        <w:tc>
          <w:tcPr>
            <w:tcW w:w="1331" w:type="dxa"/>
            <w:shd w:val="clear" w:color="auto" w:fill="DBE5F1"/>
          </w:tcPr>
          <w:p w14:paraId="177909B2"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46,4</w:t>
            </w:r>
          </w:p>
        </w:tc>
        <w:tc>
          <w:tcPr>
            <w:tcW w:w="1331" w:type="dxa"/>
            <w:shd w:val="clear" w:color="auto" w:fill="DBE5F1"/>
          </w:tcPr>
          <w:p w14:paraId="1975AA2A"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48,2</w:t>
            </w:r>
          </w:p>
        </w:tc>
        <w:tc>
          <w:tcPr>
            <w:tcW w:w="1331" w:type="dxa"/>
            <w:shd w:val="clear" w:color="auto" w:fill="DBE5F1"/>
          </w:tcPr>
          <w:p w14:paraId="520DBF16"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50</w:t>
            </w:r>
          </w:p>
        </w:tc>
        <w:tc>
          <w:tcPr>
            <w:tcW w:w="1331" w:type="dxa"/>
            <w:shd w:val="clear" w:color="auto" w:fill="DBE5F1"/>
          </w:tcPr>
          <w:p w14:paraId="746880D0"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51,8</w:t>
            </w:r>
          </w:p>
        </w:tc>
        <w:tc>
          <w:tcPr>
            <w:tcW w:w="1331" w:type="dxa"/>
            <w:shd w:val="clear" w:color="auto" w:fill="DBE5F1"/>
          </w:tcPr>
          <w:p w14:paraId="682292E3"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53,5</w:t>
            </w:r>
          </w:p>
        </w:tc>
        <w:tc>
          <w:tcPr>
            <w:tcW w:w="1331" w:type="dxa"/>
            <w:shd w:val="clear" w:color="auto" w:fill="DBE5F1"/>
          </w:tcPr>
          <w:p w14:paraId="1169FAE4"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55,3</w:t>
            </w:r>
          </w:p>
        </w:tc>
        <w:tc>
          <w:tcPr>
            <w:tcW w:w="1332" w:type="dxa"/>
            <w:shd w:val="clear" w:color="auto" w:fill="DBE5F1"/>
          </w:tcPr>
          <w:p w14:paraId="29CAA9F0" w14:textId="77777777" w:rsidR="00216410" w:rsidRPr="007F3AF1"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lang w:val="pt-BR"/>
              </w:rPr>
              <w:t>57,1</w:t>
            </w:r>
          </w:p>
        </w:tc>
      </w:tr>
      <w:tr w:rsidR="00C566B2" w14:paraId="3A786094" w14:textId="77777777" w:rsidTr="00C566B2">
        <w:trPr>
          <w:trHeight w:val="233"/>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3CF36769" w14:textId="77777777" w:rsidR="00216410" w:rsidRPr="007F3AF1" w:rsidRDefault="00000000" w:rsidP="004D2055">
            <w:pPr>
              <w:rPr>
                <w:rStyle w:val="normaltextrun"/>
                <w:rFonts w:cs="Times New Roman"/>
              </w:rPr>
            </w:pPr>
            <w:r>
              <w:rPr>
                <w:rStyle w:val="normaltextrun"/>
                <w:rFonts w:eastAsia="Times New Roman" w:cs="Times New Roman"/>
                <w:b w:val="0"/>
                <w:bCs w:val="0"/>
                <w:lang w:val="pt-BR"/>
              </w:rPr>
              <w:t xml:space="preserve">Branco </w:t>
            </w:r>
          </w:p>
        </w:tc>
        <w:tc>
          <w:tcPr>
            <w:tcW w:w="1331" w:type="dxa"/>
          </w:tcPr>
          <w:p w14:paraId="60D2FBE3"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48,7</w:t>
            </w:r>
          </w:p>
        </w:tc>
        <w:tc>
          <w:tcPr>
            <w:tcW w:w="1331" w:type="dxa"/>
          </w:tcPr>
          <w:p w14:paraId="19161E04"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50,4</w:t>
            </w:r>
          </w:p>
        </w:tc>
        <w:tc>
          <w:tcPr>
            <w:tcW w:w="1331" w:type="dxa"/>
          </w:tcPr>
          <w:p w14:paraId="008A3E2C"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52,1</w:t>
            </w:r>
          </w:p>
        </w:tc>
        <w:tc>
          <w:tcPr>
            <w:tcW w:w="1331" w:type="dxa"/>
          </w:tcPr>
          <w:p w14:paraId="527FD2BC"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53,8</w:t>
            </w:r>
          </w:p>
        </w:tc>
        <w:tc>
          <w:tcPr>
            <w:tcW w:w="1331" w:type="dxa"/>
          </w:tcPr>
          <w:p w14:paraId="0CC44B58"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55,5</w:t>
            </w:r>
          </w:p>
        </w:tc>
        <w:tc>
          <w:tcPr>
            <w:tcW w:w="1331" w:type="dxa"/>
          </w:tcPr>
          <w:p w14:paraId="618B3420"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57,3</w:t>
            </w:r>
          </w:p>
        </w:tc>
        <w:tc>
          <w:tcPr>
            <w:tcW w:w="1332" w:type="dxa"/>
          </w:tcPr>
          <w:p w14:paraId="345BA291" w14:textId="77777777" w:rsidR="00216410" w:rsidRPr="007F3AF1"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lang w:val="pt-BR"/>
              </w:rPr>
              <w:t>59</w:t>
            </w:r>
          </w:p>
        </w:tc>
      </w:tr>
    </w:tbl>
    <w:p w14:paraId="371DE7AE" w14:textId="77777777" w:rsidR="00920E31" w:rsidRDefault="00000000" w:rsidP="00920E31">
      <w:pPr>
        <w:rPr>
          <w:rFonts w:ascii="Cambria" w:eastAsiaTheme="majorEastAsia" w:hAnsi="Cambria" w:cs="Times New Roman"/>
          <w:b/>
          <w:bCs/>
          <w:color w:val="074F6A"/>
          <w:sz w:val="32"/>
          <w:szCs w:val="24"/>
        </w:rPr>
      </w:pPr>
      <w:r>
        <w:br w:type="page"/>
      </w:r>
    </w:p>
    <w:p w14:paraId="114DD6DB" w14:textId="77777777" w:rsidR="006415C4" w:rsidRPr="00D409E8" w:rsidRDefault="00000000" w:rsidP="00856537">
      <w:pPr>
        <w:pStyle w:val="A20"/>
        <w:spacing w:before="0"/>
      </w:pPr>
      <w:bookmarkStart w:id="259" w:name="_Toc171333331"/>
      <w:bookmarkStart w:id="260" w:name="_Toc199403823"/>
      <w:r>
        <w:lastRenderedPageBreak/>
        <w:t>B. Taxas de formação</w:t>
      </w:r>
      <w:bookmarkEnd w:id="259"/>
      <w:bookmarkEnd w:id="260"/>
    </w:p>
    <w:p w14:paraId="72383E76" w14:textId="77777777" w:rsidR="00D07F0F" w:rsidRPr="00CC1CB4" w:rsidRDefault="00000000" w:rsidP="00920E31">
      <w:pPr>
        <w:pStyle w:val="aff0"/>
        <w:spacing w:before="240"/>
        <w:rPr>
          <w:lang w:val="es-ES"/>
        </w:rPr>
      </w:pPr>
      <w:r>
        <w:rPr>
          <w:rFonts w:eastAsia="Cambria"/>
          <w:lang w:val="pt-BR"/>
        </w:rPr>
        <w:t>Figura Anexo.A.3: Metas da taxa de formação de quatro anos</w:t>
      </w:r>
    </w:p>
    <w:tbl>
      <w:tblPr>
        <w:tblStyle w:val="4-10"/>
        <w:tblW w:w="12775"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CellMar>
          <w:top w:w="58" w:type="dxa"/>
          <w:left w:w="58" w:type="dxa"/>
          <w:bottom w:w="58" w:type="dxa"/>
          <w:right w:w="58" w:type="dxa"/>
        </w:tblCellMar>
        <w:tblLook w:val="04A0" w:firstRow="1" w:lastRow="0" w:firstColumn="1" w:lastColumn="0" w:noHBand="0" w:noVBand="1"/>
      </w:tblPr>
      <w:tblGrid>
        <w:gridCol w:w="3415"/>
        <w:gridCol w:w="1346"/>
        <w:gridCol w:w="1347"/>
        <w:gridCol w:w="1346"/>
        <w:gridCol w:w="1347"/>
        <w:gridCol w:w="1346"/>
        <w:gridCol w:w="1347"/>
        <w:gridCol w:w="1281"/>
      </w:tblGrid>
      <w:tr w:rsidR="00C566B2" w14:paraId="644781F9" w14:textId="77777777" w:rsidTr="00C566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tcBorders>
              <w:right w:val="single" w:sz="4" w:space="0" w:color="FFFFFF" w:themeColor="background1"/>
            </w:tcBorders>
            <w:shd w:val="clear" w:color="auto" w:fill="215868"/>
            <w:vAlign w:val="center"/>
          </w:tcPr>
          <w:p w14:paraId="72C129D4" w14:textId="77777777" w:rsidR="00D07F0F" w:rsidRPr="00DD06D9" w:rsidRDefault="00000000">
            <w:pPr>
              <w:rPr>
                <w:rFonts w:cs="Times New Roman"/>
                <w:b w:val="0"/>
                <w:bCs w:val="0"/>
              </w:rPr>
            </w:pPr>
            <w:r>
              <w:rPr>
                <w:rFonts w:eastAsia="Times New Roman" w:cs="Times New Roman"/>
                <w:color w:val="FFFFFF"/>
                <w:lang w:val="pt-BR"/>
              </w:rPr>
              <w:t>Grupo de estudantes</w:t>
            </w:r>
          </w:p>
        </w:tc>
        <w:tc>
          <w:tcPr>
            <w:tcW w:w="1346" w:type="dxa"/>
            <w:tcBorders>
              <w:left w:val="single" w:sz="4" w:space="0" w:color="FFFFFF" w:themeColor="background1"/>
              <w:right w:val="single" w:sz="4" w:space="0" w:color="FFFFFF" w:themeColor="background1"/>
            </w:tcBorders>
            <w:shd w:val="clear" w:color="auto" w:fill="215868"/>
            <w:vAlign w:val="center"/>
          </w:tcPr>
          <w:p w14:paraId="776E98AF" w14:textId="77777777" w:rsidR="00D07F0F"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Avaliação inicial de 2022-2023 (grupo 2022)</w:t>
            </w:r>
          </w:p>
        </w:tc>
        <w:tc>
          <w:tcPr>
            <w:tcW w:w="1347" w:type="dxa"/>
            <w:tcBorders>
              <w:left w:val="single" w:sz="4" w:space="0" w:color="FFFFFF" w:themeColor="background1"/>
              <w:right w:val="single" w:sz="4" w:space="0" w:color="FFFFFF" w:themeColor="background1"/>
            </w:tcBorders>
            <w:shd w:val="clear" w:color="auto" w:fill="215868"/>
            <w:vAlign w:val="center"/>
          </w:tcPr>
          <w:p w14:paraId="68E4565A" w14:textId="77777777" w:rsidR="00D07F0F"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Meta de 2023-2024</w:t>
            </w:r>
          </w:p>
          <w:p w14:paraId="1AD1A060" w14:textId="77777777" w:rsidR="00D07F0F"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(Grupo 2023)</w:t>
            </w:r>
          </w:p>
        </w:tc>
        <w:tc>
          <w:tcPr>
            <w:tcW w:w="1346" w:type="dxa"/>
            <w:tcBorders>
              <w:left w:val="single" w:sz="4" w:space="0" w:color="FFFFFF" w:themeColor="background1"/>
              <w:right w:val="single" w:sz="4" w:space="0" w:color="FFFFFF" w:themeColor="background1"/>
            </w:tcBorders>
            <w:shd w:val="clear" w:color="auto" w:fill="215868"/>
            <w:vAlign w:val="center"/>
          </w:tcPr>
          <w:p w14:paraId="77024901" w14:textId="77777777" w:rsidR="00D07F0F"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Meta de 2024-2025 (grupo 2024)</w:t>
            </w:r>
          </w:p>
        </w:tc>
        <w:tc>
          <w:tcPr>
            <w:tcW w:w="1347" w:type="dxa"/>
            <w:tcBorders>
              <w:left w:val="single" w:sz="4" w:space="0" w:color="FFFFFF" w:themeColor="background1"/>
              <w:right w:val="single" w:sz="4" w:space="0" w:color="FFFFFF" w:themeColor="background1"/>
            </w:tcBorders>
            <w:shd w:val="clear" w:color="auto" w:fill="215868"/>
            <w:vAlign w:val="center"/>
          </w:tcPr>
          <w:p w14:paraId="2DB7AC2B" w14:textId="77777777" w:rsidR="00D07F0F"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Meta de 2025-2026 (grupo 2025)</w:t>
            </w:r>
          </w:p>
        </w:tc>
        <w:tc>
          <w:tcPr>
            <w:tcW w:w="1346" w:type="dxa"/>
            <w:tcBorders>
              <w:left w:val="single" w:sz="4" w:space="0" w:color="FFFFFF" w:themeColor="background1"/>
              <w:right w:val="single" w:sz="4" w:space="0" w:color="FFFFFF" w:themeColor="background1"/>
            </w:tcBorders>
            <w:shd w:val="clear" w:color="auto" w:fill="215868"/>
            <w:vAlign w:val="center"/>
          </w:tcPr>
          <w:p w14:paraId="7A54AA62" w14:textId="77777777" w:rsidR="00D07F0F"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Meta de 2026-2027 (grupo 2026)</w:t>
            </w:r>
          </w:p>
        </w:tc>
        <w:tc>
          <w:tcPr>
            <w:tcW w:w="1347" w:type="dxa"/>
            <w:tcBorders>
              <w:left w:val="single" w:sz="4" w:space="0" w:color="FFFFFF" w:themeColor="background1"/>
              <w:right w:val="single" w:sz="4" w:space="0" w:color="FFFFFF" w:themeColor="background1"/>
            </w:tcBorders>
            <w:shd w:val="clear" w:color="auto" w:fill="215868"/>
            <w:vAlign w:val="center"/>
          </w:tcPr>
          <w:p w14:paraId="1D197DB8" w14:textId="77777777" w:rsidR="00D07F0F"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Meta de 2027-2028 (grupo 2027)</w:t>
            </w:r>
          </w:p>
        </w:tc>
        <w:tc>
          <w:tcPr>
            <w:tcW w:w="1281" w:type="dxa"/>
            <w:tcBorders>
              <w:left w:val="single" w:sz="4" w:space="0" w:color="FFFFFF" w:themeColor="background1"/>
            </w:tcBorders>
            <w:shd w:val="clear" w:color="auto" w:fill="215868"/>
            <w:vAlign w:val="center"/>
          </w:tcPr>
          <w:p w14:paraId="75F8C918" w14:textId="77777777" w:rsidR="00D07F0F"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Meta de 2028-2029 (grupo 2028)</w:t>
            </w:r>
          </w:p>
        </w:tc>
      </w:tr>
      <w:tr w:rsidR="00C566B2" w14:paraId="01B43D34" w14:textId="77777777" w:rsidTr="00C56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265208CC" w14:textId="77777777" w:rsidR="00D07F0F" w:rsidRPr="00DD06D9" w:rsidRDefault="00000000" w:rsidP="004D2055">
            <w:pPr>
              <w:rPr>
                <w:b w:val="0"/>
                <w:bCs w:val="0"/>
              </w:rPr>
            </w:pPr>
            <w:r>
              <w:rPr>
                <w:rStyle w:val="normaltextrun"/>
                <w:rFonts w:eastAsia="Times New Roman" w:cs="Times New Roman"/>
                <w:b w:val="0"/>
                <w:bCs w:val="0"/>
                <w:lang w:val="pt-BR"/>
              </w:rPr>
              <w:t xml:space="preserve">Todos os alunos </w:t>
            </w:r>
          </w:p>
        </w:tc>
        <w:tc>
          <w:tcPr>
            <w:tcW w:w="1346" w:type="dxa"/>
            <w:shd w:val="clear" w:color="auto" w:fill="DBE5F1"/>
          </w:tcPr>
          <w:p w14:paraId="34283DB2"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85,2</w:t>
            </w:r>
          </w:p>
        </w:tc>
        <w:tc>
          <w:tcPr>
            <w:tcW w:w="1347" w:type="dxa"/>
            <w:shd w:val="clear" w:color="auto" w:fill="DBE5F1"/>
          </w:tcPr>
          <w:p w14:paraId="06D3A95D"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85,6</w:t>
            </w:r>
          </w:p>
        </w:tc>
        <w:tc>
          <w:tcPr>
            <w:tcW w:w="1346" w:type="dxa"/>
            <w:shd w:val="clear" w:color="auto" w:fill="DBE5F1"/>
          </w:tcPr>
          <w:p w14:paraId="01150425"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86</w:t>
            </w:r>
          </w:p>
        </w:tc>
        <w:tc>
          <w:tcPr>
            <w:tcW w:w="1347" w:type="dxa"/>
            <w:shd w:val="clear" w:color="auto" w:fill="DBE5F1"/>
          </w:tcPr>
          <w:p w14:paraId="1E4CAB21"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86,5</w:t>
            </w:r>
          </w:p>
        </w:tc>
        <w:tc>
          <w:tcPr>
            <w:tcW w:w="1346" w:type="dxa"/>
            <w:shd w:val="clear" w:color="auto" w:fill="DBE5F1"/>
          </w:tcPr>
          <w:p w14:paraId="7E4DC07E"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86,9</w:t>
            </w:r>
          </w:p>
        </w:tc>
        <w:tc>
          <w:tcPr>
            <w:tcW w:w="1347" w:type="dxa"/>
            <w:shd w:val="clear" w:color="auto" w:fill="DBE5F1"/>
          </w:tcPr>
          <w:p w14:paraId="07DE8D43"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87,3</w:t>
            </w:r>
          </w:p>
        </w:tc>
        <w:tc>
          <w:tcPr>
            <w:tcW w:w="1281" w:type="dxa"/>
            <w:shd w:val="clear" w:color="auto" w:fill="DBE5F1"/>
          </w:tcPr>
          <w:p w14:paraId="7FDDF95C"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87,7</w:t>
            </w:r>
          </w:p>
        </w:tc>
      </w:tr>
      <w:tr w:rsidR="00C566B2" w14:paraId="3CD6EB57" w14:textId="77777777" w:rsidTr="00C566B2">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7A9CB440" w14:textId="77777777" w:rsidR="00D07F0F" w:rsidRPr="00CC1CB4" w:rsidRDefault="00000000" w:rsidP="004D2055">
            <w:pPr>
              <w:rPr>
                <w:b w:val="0"/>
                <w:bCs w:val="0"/>
                <w:lang w:val="es-ES"/>
              </w:rPr>
            </w:pPr>
            <w:r>
              <w:rPr>
                <w:rStyle w:val="normaltextrun"/>
                <w:rFonts w:eastAsia="Times New Roman" w:cs="Times New Roman"/>
                <w:b w:val="0"/>
                <w:bCs w:val="0"/>
                <w:lang w:val="pt-BR"/>
              </w:rPr>
              <w:t xml:space="preserve">Indígena americano ou nativo do Alasca </w:t>
            </w:r>
          </w:p>
        </w:tc>
        <w:tc>
          <w:tcPr>
            <w:tcW w:w="1346" w:type="dxa"/>
          </w:tcPr>
          <w:p w14:paraId="68BBFC94"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84,8</w:t>
            </w:r>
          </w:p>
        </w:tc>
        <w:tc>
          <w:tcPr>
            <w:tcW w:w="1347" w:type="dxa"/>
          </w:tcPr>
          <w:p w14:paraId="0ED597F4"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85,2</w:t>
            </w:r>
          </w:p>
        </w:tc>
        <w:tc>
          <w:tcPr>
            <w:tcW w:w="1346" w:type="dxa"/>
          </w:tcPr>
          <w:p w14:paraId="33332B7B"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85,7</w:t>
            </w:r>
          </w:p>
        </w:tc>
        <w:tc>
          <w:tcPr>
            <w:tcW w:w="1347" w:type="dxa"/>
          </w:tcPr>
          <w:p w14:paraId="4D17DE3B"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86,1</w:t>
            </w:r>
          </w:p>
        </w:tc>
        <w:tc>
          <w:tcPr>
            <w:tcW w:w="1346" w:type="dxa"/>
          </w:tcPr>
          <w:p w14:paraId="27B56164"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86,5</w:t>
            </w:r>
          </w:p>
        </w:tc>
        <w:tc>
          <w:tcPr>
            <w:tcW w:w="1347" w:type="dxa"/>
          </w:tcPr>
          <w:p w14:paraId="7465F8A4"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strike/>
                <w:color w:val="000000" w:themeColor="text1"/>
              </w:rPr>
            </w:pPr>
            <w:r>
              <w:rPr>
                <w:rFonts w:eastAsia="Times New Roman" w:cs="Times New Roman"/>
                <w:color w:val="000000"/>
                <w:lang w:val="pt-BR"/>
              </w:rPr>
              <w:t>87</w:t>
            </w:r>
          </w:p>
        </w:tc>
        <w:tc>
          <w:tcPr>
            <w:tcW w:w="1281" w:type="dxa"/>
          </w:tcPr>
          <w:p w14:paraId="07009814"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87,4</w:t>
            </w:r>
          </w:p>
        </w:tc>
      </w:tr>
      <w:tr w:rsidR="00C566B2" w14:paraId="09BBC7E4" w14:textId="77777777" w:rsidTr="00C56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1C0F4BAA" w14:textId="77777777" w:rsidR="00D07F0F" w:rsidRPr="00CC1CB4" w:rsidRDefault="00000000" w:rsidP="004D2055">
            <w:pPr>
              <w:rPr>
                <w:b w:val="0"/>
                <w:bCs w:val="0"/>
                <w:lang w:val="es-ES"/>
              </w:rPr>
            </w:pPr>
            <w:r>
              <w:rPr>
                <w:rStyle w:val="normaltextrun"/>
                <w:rFonts w:eastAsia="Times New Roman" w:cs="Times New Roman"/>
                <w:b w:val="0"/>
                <w:bCs w:val="0"/>
                <w:lang w:val="pt-BR"/>
              </w:rPr>
              <w:t>Asiático, havaiano nativo ou das ilhas do Pacífico</w:t>
            </w:r>
          </w:p>
        </w:tc>
        <w:tc>
          <w:tcPr>
            <w:tcW w:w="1346" w:type="dxa"/>
            <w:shd w:val="clear" w:color="auto" w:fill="DBE5F1"/>
          </w:tcPr>
          <w:p w14:paraId="11D6712F"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95,9</w:t>
            </w:r>
          </w:p>
        </w:tc>
        <w:tc>
          <w:tcPr>
            <w:tcW w:w="1347" w:type="dxa"/>
            <w:shd w:val="clear" w:color="auto" w:fill="DBE5F1"/>
          </w:tcPr>
          <w:p w14:paraId="6AC0C2EE"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95</w:t>
            </w:r>
          </w:p>
        </w:tc>
        <w:tc>
          <w:tcPr>
            <w:tcW w:w="1346" w:type="dxa"/>
            <w:shd w:val="clear" w:color="auto" w:fill="DBE5F1"/>
          </w:tcPr>
          <w:p w14:paraId="000320C5"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95</w:t>
            </w:r>
          </w:p>
        </w:tc>
        <w:tc>
          <w:tcPr>
            <w:tcW w:w="1347" w:type="dxa"/>
            <w:shd w:val="clear" w:color="auto" w:fill="DBE5F1"/>
          </w:tcPr>
          <w:p w14:paraId="130CE628"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95</w:t>
            </w:r>
          </w:p>
        </w:tc>
        <w:tc>
          <w:tcPr>
            <w:tcW w:w="1346" w:type="dxa"/>
            <w:shd w:val="clear" w:color="auto" w:fill="DBE5F1"/>
          </w:tcPr>
          <w:p w14:paraId="70E65609"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95</w:t>
            </w:r>
          </w:p>
        </w:tc>
        <w:tc>
          <w:tcPr>
            <w:tcW w:w="1347" w:type="dxa"/>
            <w:shd w:val="clear" w:color="auto" w:fill="DBE5F1"/>
          </w:tcPr>
          <w:p w14:paraId="4F7F8633"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95</w:t>
            </w:r>
          </w:p>
        </w:tc>
        <w:tc>
          <w:tcPr>
            <w:tcW w:w="1281" w:type="dxa"/>
            <w:shd w:val="clear" w:color="auto" w:fill="DBE5F1"/>
          </w:tcPr>
          <w:p w14:paraId="6A4C3C8C"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95</w:t>
            </w:r>
          </w:p>
        </w:tc>
      </w:tr>
      <w:tr w:rsidR="00C566B2" w14:paraId="6121D0B7" w14:textId="77777777" w:rsidTr="00C566B2">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03F02111" w14:textId="77777777" w:rsidR="00D07F0F" w:rsidRPr="00DD06D9" w:rsidRDefault="00000000" w:rsidP="004D2055">
            <w:pPr>
              <w:rPr>
                <w:b w:val="0"/>
                <w:bCs w:val="0"/>
              </w:rPr>
            </w:pPr>
            <w:r>
              <w:rPr>
                <w:rStyle w:val="normaltextrun"/>
                <w:rFonts w:eastAsia="Times New Roman" w:cs="Times New Roman"/>
                <w:b w:val="0"/>
                <w:bCs w:val="0"/>
                <w:lang w:val="pt-BR"/>
              </w:rPr>
              <w:t xml:space="preserve">Negro ou afro-americano </w:t>
            </w:r>
          </w:p>
        </w:tc>
        <w:tc>
          <w:tcPr>
            <w:tcW w:w="1346" w:type="dxa"/>
          </w:tcPr>
          <w:p w14:paraId="2E31353C"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77,8</w:t>
            </w:r>
          </w:p>
        </w:tc>
        <w:tc>
          <w:tcPr>
            <w:tcW w:w="1347" w:type="dxa"/>
          </w:tcPr>
          <w:p w14:paraId="30D41125"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78,5</w:t>
            </w:r>
          </w:p>
        </w:tc>
        <w:tc>
          <w:tcPr>
            <w:tcW w:w="1346" w:type="dxa"/>
          </w:tcPr>
          <w:p w14:paraId="52A283D2"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79,2</w:t>
            </w:r>
          </w:p>
        </w:tc>
        <w:tc>
          <w:tcPr>
            <w:tcW w:w="1347" w:type="dxa"/>
          </w:tcPr>
          <w:p w14:paraId="3FA7DECA"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80</w:t>
            </w:r>
          </w:p>
        </w:tc>
        <w:tc>
          <w:tcPr>
            <w:tcW w:w="1346" w:type="dxa"/>
          </w:tcPr>
          <w:p w14:paraId="261ABA82"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80,7</w:t>
            </w:r>
          </w:p>
        </w:tc>
        <w:tc>
          <w:tcPr>
            <w:tcW w:w="1347" w:type="dxa"/>
          </w:tcPr>
          <w:p w14:paraId="6A71DFDF"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81,4</w:t>
            </w:r>
          </w:p>
        </w:tc>
        <w:tc>
          <w:tcPr>
            <w:tcW w:w="1281" w:type="dxa"/>
          </w:tcPr>
          <w:p w14:paraId="2DA65544"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82,1</w:t>
            </w:r>
          </w:p>
        </w:tc>
      </w:tr>
      <w:tr w:rsidR="00C566B2" w14:paraId="5461ED59" w14:textId="77777777" w:rsidTr="00C56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6950F377" w14:textId="77777777" w:rsidR="00D07F0F" w:rsidRPr="00DD06D9" w:rsidRDefault="00000000" w:rsidP="004D2055">
            <w:pPr>
              <w:rPr>
                <w:b w:val="0"/>
                <w:bCs w:val="0"/>
              </w:rPr>
            </w:pPr>
            <w:r>
              <w:rPr>
                <w:rStyle w:val="normaltextrun"/>
                <w:rFonts w:eastAsia="Times New Roman" w:cs="Times New Roman"/>
                <w:b w:val="0"/>
                <w:bCs w:val="0"/>
                <w:lang w:val="pt-BR"/>
              </w:rPr>
              <w:t xml:space="preserve">Estudantes economicamente desfavorecidos </w:t>
            </w:r>
          </w:p>
        </w:tc>
        <w:tc>
          <w:tcPr>
            <w:tcW w:w="1346" w:type="dxa"/>
            <w:shd w:val="clear" w:color="auto" w:fill="DBE5F1"/>
          </w:tcPr>
          <w:p w14:paraId="61990727"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78,7</w:t>
            </w:r>
          </w:p>
        </w:tc>
        <w:tc>
          <w:tcPr>
            <w:tcW w:w="1347" w:type="dxa"/>
            <w:shd w:val="clear" w:color="auto" w:fill="DBE5F1"/>
          </w:tcPr>
          <w:p w14:paraId="46B444B9"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79,4</w:t>
            </w:r>
          </w:p>
        </w:tc>
        <w:tc>
          <w:tcPr>
            <w:tcW w:w="1346" w:type="dxa"/>
            <w:shd w:val="clear" w:color="auto" w:fill="DBE5F1"/>
          </w:tcPr>
          <w:p w14:paraId="0CBD5A15"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80,1</w:t>
            </w:r>
          </w:p>
        </w:tc>
        <w:tc>
          <w:tcPr>
            <w:tcW w:w="1347" w:type="dxa"/>
            <w:shd w:val="clear" w:color="auto" w:fill="DBE5F1"/>
          </w:tcPr>
          <w:p w14:paraId="5735882E"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strike/>
                <w:color w:val="000000" w:themeColor="text1"/>
              </w:rPr>
            </w:pPr>
            <w:r>
              <w:rPr>
                <w:rFonts w:eastAsia="Times New Roman" w:cs="Times New Roman"/>
                <w:color w:val="000000"/>
                <w:lang w:val="pt-BR"/>
              </w:rPr>
              <w:t>80,8</w:t>
            </w:r>
          </w:p>
        </w:tc>
        <w:tc>
          <w:tcPr>
            <w:tcW w:w="1346" w:type="dxa"/>
            <w:shd w:val="clear" w:color="auto" w:fill="DBE5F1"/>
          </w:tcPr>
          <w:p w14:paraId="3BB64186"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81,4</w:t>
            </w:r>
          </w:p>
        </w:tc>
        <w:tc>
          <w:tcPr>
            <w:tcW w:w="1347" w:type="dxa"/>
            <w:shd w:val="clear" w:color="auto" w:fill="DBE5F1"/>
          </w:tcPr>
          <w:p w14:paraId="59FC9256"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82,1</w:t>
            </w:r>
          </w:p>
        </w:tc>
        <w:tc>
          <w:tcPr>
            <w:tcW w:w="1281" w:type="dxa"/>
            <w:shd w:val="clear" w:color="auto" w:fill="DBE5F1"/>
          </w:tcPr>
          <w:p w14:paraId="4986D338"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82,8</w:t>
            </w:r>
          </w:p>
        </w:tc>
      </w:tr>
      <w:tr w:rsidR="00C566B2" w14:paraId="79DA3471" w14:textId="77777777" w:rsidTr="00C566B2">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4BDB5FA6" w14:textId="77777777" w:rsidR="00D07F0F" w:rsidRPr="00DD06D9" w:rsidRDefault="00000000" w:rsidP="004D2055">
            <w:pPr>
              <w:rPr>
                <w:b w:val="0"/>
                <w:bCs w:val="0"/>
              </w:rPr>
            </w:pPr>
            <w:r>
              <w:rPr>
                <w:rStyle w:val="normaltextrun"/>
                <w:rFonts w:eastAsia="Times New Roman" w:cs="Times New Roman"/>
                <w:b w:val="0"/>
                <w:bCs w:val="0"/>
                <w:lang w:val="pt-BR"/>
              </w:rPr>
              <w:t>Alunos multilíngues</w:t>
            </w:r>
          </w:p>
        </w:tc>
        <w:tc>
          <w:tcPr>
            <w:tcW w:w="1346" w:type="dxa"/>
          </w:tcPr>
          <w:p w14:paraId="39F147DC"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70,3</w:t>
            </w:r>
          </w:p>
        </w:tc>
        <w:tc>
          <w:tcPr>
            <w:tcW w:w="1347" w:type="dxa"/>
          </w:tcPr>
          <w:p w14:paraId="785E939E"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71,3</w:t>
            </w:r>
          </w:p>
        </w:tc>
        <w:tc>
          <w:tcPr>
            <w:tcW w:w="1346" w:type="dxa"/>
          </w:tcPr>
          <w:p w14:paraId="5F52064A"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72,4</w:t>
            </w:r>
          </w:p>
        </w:tc>
        <w:tc>
          <w:tcPr>
            <w:tcW w:w="1347" w:type="dxa"/>
          </w:tcPr>
          <w:p w14:paraId="68C82251"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73,4</w:t>
            </w:r>
          </w:p>
        </w:tc>
        <w:tc>
          <w:tcPr>
            <w:tcW w:w="1346" w:type="dxa"/>
          </w:tcPr>
          <w:p w14:paraId="60D96AAB"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74,4</w:t>
            </w:r>
          </w:p>
        </w:tc>
        <w:tc>
          <w:tcPr>
            <w:tcW w:w="1347" w:type="dxa"/>
          </w:tcPr>
          <w:p w14:paraId="0FDE1BE2"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75,5</w:t>
            </w:r>
          </w:p>
        </w:tc>
        <w:tc>
          <w:tcPr>
            <w:tcW w:w="1281" w:type="dxa"/>
          </w:tcPr>
          <w:p w14:paraId="56E066F2"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76,5</w:t>
            </w:r>
          </w:p>
        </w:tc>
      </w:tr>
      <w:tr w:rsidR="00C566B2" w14:paraId="37763A9D" w14:textId="77777777" w:rsidTr="00C56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431ACDC9" w14:textId="77777777" w:rsidR="00D07F0F" w:rsidRPr="00DD06D9" w:rsidRDefault="00000000" w:rsidP="004D2055">
            <w:pPr>
              <w:rPr>
                <w:b w:val="0"/>
                <w:bCs w:val="0"/>
              </w:rPr>
            </w:pPr>
            <w:r>
              <w:rPr>
                <w:rStyle w:val="normaltextrun"/>
                <w:rFonts w:eastAsia="Times New Roman" w:cs="Times New Roman"/>
                <w:b w:val="0"/>
                <w:bCs w:val="0"/>
                <w:lang w:val="pt-BR"/>
              </w:rPr>
              <w:t xml:space="preserve">Hispânico ou latino </w:t>
            </w:r>
          </w:p>
        </w:tc>
        <w:tc>
          <w:tcPr>
            <w:tcW w:w="1346" w:type="dxa"/>
            <w:shd w:val="clear" w:color="auto" w:fill="DBE5F1"/>
          </w:tcPr>
          <w:p w14:paraId="76555FDF"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79,3</w:t>
            </w:r>
          </w:p>
        </w:tc>
        <w:tc>
          <w:tcPr>
            <w:tcW w:w="1347" w:type="dxa"/>
            <w:shd w:val="clear" w:color="auto" w:fill="DBE5F1"/>
          </w:tcPr>
          <w:p w14:paraId="444BF5A2"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80</w:t>
            </w:r>
          </w:p>
        </w:tc>
        <w:tc>
          <w:tcPr>
            <w:tcW w:w="1346" w:type="dxa"/>
            <w:shd w:val="clear" w:color="auto" w:fill="DBE5F1"/>
          </w:tcPr>
          <w:p w14:paraId="311B1900"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80,6</w:t>
            </w:r>
          </w:p>
        </w:tc>
        <w:tc>
          <w:tcPr>
            <w:tcW w:w="1347" w:type="dxa"/>
            <w:shd w:val="clear" w:color="auto" w:fill="DBE5F1"/>
          </w:tcPr>
          <w:p w14:paraId="779AE3F9"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81,3</w:t>
            </w:r>
          </w:p>
        </w:tc>
        <w:tc>
          <w:tcPr>
            <w:tcW w:w="1346" w:type="dxa"/>
            <w:shd w:val="clear" w:color="auto" w:fill="DBE5F1"/>
          </w:tcPr>
          <w:p w14:paraId="0C28B288"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81,9</w:t>
            </w:r>
          </w:p>
        </w:tc>
        <w:tc>
          <w:tcPr>
            <w:tcW w:w="1347" w:type="dxa"/>
            <w:shd w:val="clear" w:color="auto" w:fill="DBE5F1"/>
          </w:tcPr>
          <w:p w14:paraId="1055D49D"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82,6</w:t>
            </w:r>
          </w:p>
        </w:tc>
        <w:tc>
          <w:tcPr>
            <w:tcW w:w="1281" w:type="dxa"/>
            <w:shd w:val="clear" w:color="auto" w:fill="DBE5F1"/>
          </w:tcPr>
          <w:p w14:paraId="47CA5045"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83,2</w:t>
            </w:r>
          </w:p>
        </w:tc>
      </w:tr>
      <w:tr w:rsidR="00C566B2" w14:paraId="553EAE06" w14:textId="77777777" w:rsidTr="00C566B2">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4DB360D1" w14:textId="77777777" w:rsidR="00D07F0F" w:rsidRPr="00DD06D9" w:rsidRDefault="00000000" w:rsidP="004D2055">
            <w:pPr>
              <w:rPr>
                <w:rStyle w:val="normaltextrun"/>
                <w:rFonts w:cs="Times New Roman"/>
              </w:rPr>
            </w:pPr>
            <w:r>
              <w:rPr>
                <w:rStyle w:val="normaltextrun"/>
                <w:rFonts w:eastAsia="Times New Roman" w:cs="Times New Roman"/>
                <w:b w:val="0"/>
                <w:bCs w:val="0"/>
                <w:lang w:val="pt-BR"/>
              </w:rPr>
              <w:t>Alunos com deficiências</w:t>
            </w:r>
          </w:p>
        </w:tc>
        <w:tc>
          <w:tcPr>
            <w:tcW w:w="1346" w:type="dxa"/>
          </w:tcPr>
          <w:p w14:paraId="75960C36"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48,5</w:t>
            </w:r>
          </w:p>
        </w:tc>
        <w:tc>
          <w:tcPr>
            <w:tcW w:w="1347" w:type="dxa"/>
          </w:tcPr>
          <w:p w14:paraId="185F6F1A"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50,4</w:t>
            </w:r>
          </w:p>
        </w:tc>
        <w:tc>
          <w:tcPr>
            <w:tcW w:w="1346" w:type="dxa"/>
          </w:tcPr>
          <w:p w14:paraId="2035F91C"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52,4</w:t>
            </w:r>
          </w:p>
        </w:tc>
        <w:tc>
          <w:tcPr>
            <w:tcW w:w="1347" w:type="dxa"/>
          </w:tcPr>
          <w:p w14:paraId="51A277A5"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54,3</w:t>
            </w:r>
          </w:p>
        </w:tc>
        <w:tc>
          <w:tcPr>
            <w:tcW w:w="1346" w:type="dxa"/>
          </w:tcPr>
          <w:p w14:paraId="60D4D1ED"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56,2</w:t>
            </w:r>
          </w:p>
        </w:tc>
        <w:tc>
          <w:tcPr>
            <w:tcW w:w="1347" w:type="dxa"/>
          </w:tcPr>
          <w:p w14:paraId="5F865AE5"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58,2</w:t>
            </w:r>
          </w:p>
        </w:tc>
        <w:tc>
          <w:tcPr>
            <w:tcW w:w="1281" w:type="dxa"/>
          </w:tcPr>
          <w:p w14:paraId="4059EF50"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60,1</w:t>
            </w:r>
          </w:p>
        </w:tc>
      </w:tr>
      <w:tr w:rsidR="00C566B2" w14:paraId="16AB0D6B" w14:textId="77777777" w:rsidTr="00C56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60A6ED7A" w14:textId="77777777" w:rsidR="00D07F0F" w:rsidRPr="00DD06D9" w:rsidRDefault="00000000" w:rsidP="004D2055">
            <w:pPr>
              <w:rPr>
                <w:rStyle w:val="normaltextrun"/>
                <w:rFonts w:cs="Times New Roman"/>
              </w:rPr>
            </w:pPr>
            <w:r>
              <w:rPr>
                <w:rStyle w:val="normaltextrun"/>
                <w:rFonts w:eastAsia="Times New Roman" w:cs="Times New Roman"/>
                <w:b w:val="0"/>
                <w:bCs w:val="0"/>
                <w:lang w:val="pt-BR"/>
              </w:rPr>
              <w:t>Duas ou mais raças</w:t>
            </w:r>
          </w:p>
        </w:tc>
        <w:tc>
          <w:tcPr>
            <w:tcW w:w="1346" w:type="dxa"/>
            <w:shd w:val="clear" w:color="auto" w:fill="DBE5F1"/>
          </w:tcPr>
          <w:p w14:paraId="7EF13E3A"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84,3</w:t>
            </w:r>
          </w:p>
        </w:tc>
        <w:tc>
          <w:tcPr>
            <w:tcW w:w="1347" w:type="dxa"/>
            <w:shd w:val="clear" w:color="auto" w:fill="DBE5F1"/>
          </w:tcPr>
          <w:p w14:paraId="07ED4045"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84,8</w:t>
            </w:r>
          </w:p>
        </w:tc>
        <w:tc>
          <w:tcPr>
            <w:tcW w:w="1346" w:type="dxa"/>
            <w:shd w:val="clear" w:color="auto" w:fill="DBE5F1"/>
          </w:tcPr>
          <w:p w14:paraId="33C73AA9"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85,2</w:t>
            </w:r>
          </w:p>
        </w:tc>
        <w:tc>
          <w:tcPr>
            <w:tcW w:w="1347" w:type="dxa"/>
            <w:shd w:val="clear" w:color="auto" w:fill="DBE5F1"/>
          </w:tcPr>
          <w:p w14:paraId="7D222395"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strike/>
                <w:color w:val="000000" w:themeColor="text1"/>
              </w:rPr>
            </w:pPr>
            <w:r>
              <w:rPr>
                <w:rFonts w:eastAsia="Times New Roman" w:cs="Times New Roman"/>
                <w:color w:val="000000"/>
                <w:lang w:val="pt-BR"/>
              </w:rPr>
              <w:t>85,7</w:t>
            </w:r>
          </w:p>
        </w:tc>
        <w:tc>
          <w:tcPr>
            <w:tcW w:w="1346" w:type="dxa"/>
            <w:shd w:val="clear" w:color="auto" w:fill="DBE5F1"/>
          </w:tcPr>
          <w:p w14:paraId="21BC0231"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86,1</w:t>
            </w:r>
          </w:p>
        </w:tc>
        <w:tc>
          <w:tcPr>
            <w:tcW w:w="1347" w:type="dxa"/>
            <w:shd w:val="clear" w:color="auto" w:fill="DBE5F1"/>
          </w:tcPr>
          <w:p w14:paraId="44ACDD67"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86,5</w:t>
            </w:r>
          </w:p>
        </w:tc>
        <w:tc>
          <w:tcPr>
            <w:tcW w:w="1281" w:type="dxa"/>
            <w:shd w:val="clear" w:color="auto" w:fill="DBE5F1"/>
          </w:tcPr>
          <w:p w14:paraId="36B69CD3" w14:textId="77777777" w:rsidR="00D07F0F" w:rsidRPr="001C6914"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87</w:t>
            </w:r>
          </w:p>
        </w:tc>
      </w:tr>
      <w:tr w:rsidR="00C566B2" w14:paraId="0F12F8AE" w14:textId="77777777" w:rsidTr="00C566B2">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3B2E6F47" w14:textId="77777777" w:rsidR="00D07F0F" w:rsidRPr="00DD06D9" w:rsidRDefault="00000000" w:rsidP="004D2055">
            <w:pPr>
              <w:rPr>
                <w:rStyle w:val="normaltextrun"/>
                <w:rFonts w:cs="Times New Roman"/>
              </w:rPr>
            </w:pPr>
            <w:r>
              <w:rPr>
                <w:rStyle w:val="normaltextrun"/>
                <w:rFonts w:eastAsia="Times New Roman" w:cs="Times New Roman"/>
                <w:b w:val="0"/>
                <w:bCs w:val="0"/>
                <w:lang w:val="pt-BR"/>
              </w:rPr>
              <w:t xml:space="preserve">Branco </w:t>
            </w:r>
          </w:p>
        </w:tc>
        <w:tc>
          <w:tcPr>
            <w:tcW w:w="1346" w:type="dxa"/>
          </w:tcPr>
          <w:p w14:paraId="7F6FD37A"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89,1</w:t>
            </w:r>
          </w:p>
        </w:tc>
        <w:tc>
          <w:tcPr>
            <w:tcW w:w="1347" w:type="dxa"/>
          </w:tcPr>
          <w:p w14:paraId="0010E39D"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89,4</w:t>
            </w:r>
          </w:p>
        </w:tc>
        <w:tc>
          <w:tcPr>
            <w:tcW w:w="1346" w:type="dxa"/>
          </w:tcPr>
          <w:p w14:paraId="22F8ADEB"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89,6</w:t>
            </w:r>
          </w:p>
        </w:tc>
        <w:tc>
          <w:tcPr>
            <w:tcW w:w="1347" w:type="dxa"/>
          </w:tcPr>
          <w:p w14:paraId="3934C679"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89,9</w:t>
            </w:r>
          </w:p>
        </w:tc>
        <w:tc>
          <w:tcPr>
            <w:tcW w:w="1346" w:type="dxa"/>
          </w:tcPr>
          <w:p w14:paraId="38AED69D"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90,1</w:t>
            </w:r>
          </w:p>
        </w:tc>
        <w:tc>
          <w:tcPr>
            <w:tcW w:w="1347" w:type="dxa"/>
          </w:tcPr>
          <w:p w14:paraId="266C29E4"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90,4</w:t>
            </w:r>
          </w:p>
        </w:tc>
        <w:tc>
          <w:tcPr>
            <w:tcW w:w="1281" w:type="dxa"/>
          </w:tcPr>
          <w:p w14:paraId="1E8FD60A" w14:textId="77777777" w:rsidR="00D07F0F" w:rsidRPr="001C6914"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90,6</w:t>
            </w:r>
          </w:p>
        </w:tc>
      </w:tr>
    </w:tbl>
    <w:p w14:paraId="65DAE3C8" w14:textId="77777777" w:rsidR="00920E31" w:rsidRDefault="00000000">
      <w:pPr>
        <w:rPr>
          <w:rFonts w:ascii="Cambria" w:eastAsiaTheme="majorEastAsia" w:hAnsi="Cambria" w:cs="Times New Roman"/>
          <w:b/>
          <w:bCs/>
          <w:color w:val="074F6A"/>
        </w:rPr>
      </w:pPr>
      <w:r>
        <w:br w:type="page"/>
      </w:r>
    </w:p>
    <w:p w14:paraId="19614ED1" w14:textId="77777777" w:rsidR="00D07F0F" w:rsidRPr="00CC1CB4" w:rsidRDefault="00000000" w:rsidP="00920E31">
      <w:pPr>
        <w:pStyle w:val="aff0"/>
        <w:spacing w:before="240"/>
        <w:rPr>
          <w:lang w:val="es-ES"/>
        </w:rPr>
      </w:pPr>
      <w:r>
        <w:rPr>
          <w:rFonts w:eastAsia="Cambria"/>
          <w:lang w:val="pt-BR"/>
        </w:rPr>
        <w:lastRenderedPageBreak/>
        <w:t>Figura Anexo.A.4: Metas da taxa de formação de cinco anos</w:t>
      </w:r>
    </w:p>
    <w:tbl>
      <w:tblPr>
        <w:tblStyle w:val="4-10"/>
        <w:tblW w:w="12775"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CellMar>
          <w:top w:w="58" w:type="dxa"/>
          <w:left w:w="58" w:type="dxa"/>
          <w:bottom w:w="58" w:type="dxa"/>
          <w:right w:w="58" w:type="dxa"/>
        </w:tblCellMar>
        <w:tblLook w:val="04A0" w:firstRow="1" w:lastRow="0" w:firstColumn="1" w:lastColumn="0" w:noHBand="0" w:noVBand="1"/>
      </w:tblPr>
      <w:tblGrid>
        <w:gridCol w:w="3415"/>
        <w:gridCol w:w="1337"/>
        <w:gridCol w:w="1337"/>
        <w:gridCol w:w="1337"/>
        <w:gridCol w:w="1337"/>
        <w:gridCol w:w="1337"/>
        <w:gridCol w:w="1337"/>
        <w:gridCol w:w="1338"/>
      </w:tblGrid>
      <w:tr w:rsidR="00C566B2" w14:paraId="65086C84" w14:textId="77777777" w:rsidTr="00C566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tcBorders>
              <w:right w:val="single" w:sz="4" w:space="0" w:color="FFFFFF" w:themeColor="background1"/>
            </w:tcBorders>
            <w:shd w:val="clear" w:color="auto" w:fill="215868" w:themeFill="accent5" w:themeFillShade="80"/>
            <w:vAlign w:val="center"/>
          </w:tcPr>
          <w:p w14:paraId="451975A0" w14:textId="77777777" w:rsidR="00D07F0F" w:rsidRPr="00DD06D9" w:rsidRDefault="00000000">
            <w:pPr>
              <w:rPr>
                <w:rFonts w:cs="Times New Roman"/>
                <w:b w:val="0"/>
                <w:bCs w:val="0"/>
              </w:rPr>
            </w:pPr>
            <w:r>
              <w:rPr>
                <w:rFonts w:eastAsia="Times New Roman" w:cs="Times New Roman"/>
                <w:color w:val="FFFFFF"/>
                <w:lang w:val="pt-BR"/>
              </w:rPr>
              <w:t>Grupo de estudantes</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7CC262D3" w14:textId="77777777" w:rsidR="00D07F0F"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Avaliação inicial de 2023-2024 (grupo 2022)</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4856217A" w14:textId="77777777" w:rsidR="00D07F0F"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Meta de 2024-2025 (grupo 2023)</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2B4F23A8" w14:textId="77777777" w:rsidR="00D07F0F"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Meta de 2025-2026 (grupo 2024)</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1617B1CF" w14:textId="77777777" w:rsidR="00D07F0F"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Meta de 2026-2027 (grupo 2025)</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260D1A82" w14:textId="77777777" w:rsidR="00D07F0F" w:rsidRPr="00E13086"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Meta de 2027-2028 (grupo 2026)</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5FBEAB91" w14:textId="77777777" w:rsidR="001C6B9F" w:rsidRPr="00E13086"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eastAsia="Times New Roman" w:cs="Times New Roman"/>
                <w:color w:val="FFFFFF"/>
                <w:lang w:val="pt-BR"/>
              </w:rPr>
              <w:t xml:space="preserve">Meta de 2028-2029 </w:t>
            </w:r>
          </w:p>
          <w:p w14:paraId="30C8B850" w14:textId="77777777" w:rsidR="00D07F0F" w:rsidRPr="00E13086"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(grupo 2027)</w:t>
            </w:r>
          </w:p>
        </w:tc>
        <w:tc>
          <w:tcPr>
            <w:tcW w:w="1338" w:type="dxa"/>
            <w:tcBorders>
              <w:left w:val="single" w:sz="4" w:space="0" w:color="FFFFFF" w:themeColor="background1"/>
            </w:tcBorders>
            <w:shd w:val="clear" w:color="auto" w:fill="215868" w:themeFill="accent5" w:themeFillShade="80"/>
          </w:tcPr>
          <w:p w14:paraId="1F53985A" w14:textId="77777777" w:rsidR="00D07F0F" w:rsidRPr="00E13086"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Meta de 2029-2030 (grupo 2028)</w:t>
            </w:r>
          </w:p>
        </w:tc>
      </w:tr>
      <w:tr w:rsidR="00C566B2" w14:paraId="06D69571" w14:textId="77777777" w:rsidTr="00C56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0F37EA29" w14:textId="77777777" w:rsidR="00D07F0F" w:rsidRPr="00DD06D9" w:rsidRDefault="00000000" w:rsidP="004D2055">
            <w:pPr>
              <w:rPr>
                <w:b w:val="0"/>
                <w:bCs w:val="0"/>
              </w:rPr>
            </w:pPr>
            <w:r>
              <w:rPr>
                <w:rStyle w:val="normaltextrun"/>
                <w:rFonts w:eastAsia="Times New Roman" w:cs="Times New Roman"/>
                <w:b w:val="0"/>
                <w:bCs w:val="0"/>
                <w:lang w:val="pt-BR"/>
              </w:rPr>
              <w:t xml:space="preserve">Todos os alunos </w:t>
            </w:r>
          </w:p>
        </w:tc>
        <w:tc>
          <w:tcPr>
            <w:tcW w:w="1337" w:type="dxa"/>
            <w:vAlign w:val="bottom"/>
          </w:tcPr>
          <w:p w14:paraId="6F1ED114"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86,9</w:t>
            </w:r>
          </w:p>
        </w:tc>
        <w:tc>
          <w:tcPr>
            <w:tcW w:w="1337" w:type="dxa"/>
            <w:vAlign w:val="bottom"/>
          </w:tcPr>
          <w:p w14:paraId="0C47D039"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87,3</w:t>
            </w:r>
          </w:p>
        </w:tc>
        <w:tc>
          <w:tcPr>
            <w:tcW w:w="1337" w:type="dxa"/>
            <w:vAlign w:val="bottom"/>
          </w:tcPr>
          <w:p w14:paraId="3A0BDA2C"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87,7</w:t>
            </w:r>
          </w:p>
        </w:tc>
        <w:tc>
          <w:tcPr>
            <w:tcW w:w="1337" w:type="dxa"/>
            <w:vAlign w:val="bottom"/>
          </w:tcPr>
          <w:p w14:paraId="73BD9E0D"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88,1</w:t>
            </w:r>
          </w:p>
        </w:tc>
        <w:tc>
          <w:tcPr>
            <w:tcW w:w="1337" w:type="dxa"/>
            <w:vAlign w:val="bottom"/>
          </w:tcPr>
          <w:p w14:paraId="4C655148"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 xml:space="preserve">88,4 </w:t>
            </w:r>
          </w:p>
        </w:tc>
        <w:tc>
          <w:tcPr>
            <w:tcW w:w="1337" w:type="dxa"/>
            <w:vAlign w:val="bottom"/>
          </w:tcPr>
          <w:p w14:paraId="65EC1B09"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88,8</w:t>
            </w:r>
          </w:p>
        </w:tc>
        <w:tc>
          <w:tcPr>
            <w:tcW w:w="1338" w:type="dxa"/>
            <w:vAlign w:val="bottom"/>
          </w:tcPr>
          <w:p w14:paraId="2DD606FB"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eastAsia="Times New Roman" w:cs="Times New Roman"/>
                <w:color w:val="000000"/>
                <w:lang w:val="pt-BR"/>
              </w:rPr>
              <w:t>89,2</w:t>
            </w:r>
          </w:p>
        </w:tc>
      </w:tr>
      <w:tr w:rsidR="00C566B2" w14:paraId="012915E1" w14:textId="77777777" w:rsidTr="00C566B2">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712FC3C0" w14:textId="77777777" w:rsidR="00D07F0F" w:rsidRPr="00CC1CB4" w:rsidRDefault="00000000" w:rsidP="004D2055">
            <w:pPr>
              <w:rPr>
                <w:b w:val="0"/>
                <w:bCs w:val="0"/>
                <w:lang w:val="es-ES"/>
              </w:rPr>
            </w:pPr>
            <w:r>
              <w:rPr>
                <w:rStyle w:val="normaltextrun"/>
                <w:rFonts w:eastAsia="Times New Roman" w:cs="Times New Roman"/>
                <w:b w:val="0"/>
                <w:bCs w:val="0"/>
                <w:lang w:val="pt-BR"/>
              </w:rPr>
              <w:t xml:space="preserve">Indígena americano ou nativo do Alasca </w:t>
            </w:r>
          </w:p>
        </w:tc>
        <w:tc>
          <w:tcPr>
            <w:tcW w:w="1337" w:type="dxa"/>
            <w:vAlign w:val="bottom"/>
          </w:tcPr>
          <w:p w14:paraId="50758353"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86,4</w:t>
            </w:r>
          </w:p>
        </w:tc>
        <w:tc>
          <w:tcPr>
            <w:tcW w:w="1337" w:type="dxa"/>
            <w:vAlign w:val="bottom"/>
          </w:tcPr>
          <w:p w14:paraId="473BFA9E"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86,8</w:t>
            </w:r>
          </w:p>
        </w:tc>
        <w:tc>
          <w:tcPr>
            <w:tcW w:w="1337" w:type="dxa"/>
            <w:vAlign w:val="bottom"/>
          </w:tcPr>
          <w:p w14:paraId="630A55B7"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87,2</w:t>
            </w:r>
          </w:p>
        </w:tc>
        <w:tc>
          <w:tcPr>
            <w:tcW w:w="1337" w:type="dxa"/>
            <w:vAlign w:val="bottom"/>
          </w:tcPr>
          <w:p w14:paraId="1E8730EA"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87,6</w:t>
            </w:r>
          </w:p>
        </w:tc>
        <w:tc>
          <w:tcPr>
            <w:tcW w:w="1337" w:type="dxa"/>
            <w:vAlign w:val="bottom"/>
          </w:tcPr>
          <w:p w14:paraId="436C35E8"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88</w:t>
            </w:r>
          </w:p>
        </w:tc>
        <w:tc>
          <w:tcPr>
            <w:tcW w:w="1337" w:type="dxa"/>
            <w:vAlign w:val="bottom"/>
          </w:tcPr>
          <w:p w14:paraId="295CE843"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88,4</w:t>
            </w:r>
          </w:p>
        </w:tc>
        <w:tc>
          <w:tcPr>
            <w:tcW w:w="1338" w:type="dxa"/>
            <w:vAlign w:val="bottom"/>
          </w:tcPr>
          <w:p w14:paraId="6C472A27"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eastAsia="Times New Roman" w:cs="Times New Roman"/>
                <w:color w:val="000000"/>
                <w:lang w:val="pt-BR"/>
              </w:rPr>
              <w:t>88,8</w:t>
            </w:r>
          </w:p>
        </w:tc>
      </w:tr>
      <w:tr w:rsidR="00C566B2" w14:paraId="5C7CFF71" w14:textId="77777777" w:rsidTr="00C566B2">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20390805" w14:textId="77777777" w:rsidR="00D07F0F" w:rsidRPr="00CC1CB4" w:rsidRDefault="00000000" w:rsidP="004D2055">
            <w:pPr>
              <w:rPr>
                <w:b w:val="0"/>
                <w:bCs w:val="0"/>
                <w:lang w:val="es-ES"/>
              </w:rPr>
            </w:pPr>
            <w:r>
              <w:rPr>
                <w:rStyle w:val="normaltextrun"/>
                <w:rFonts w:eastAsia="Times New Roman" w:cs="Times New Roman"/>
                <w:b w:val="0"/>
                <w:bCs w:val="0"/>
                <w:lang w:val="pt-BR"/>
              </w:rPr>
              <w:t>Asiático, havaiano nativo ou das ilhas do Pacífico</w:t>
            </w:r>
          </w:p>
        </w:tc>
        <w:tc>
          <w:tcPr>
            <w:tcW w:w="1337" w:type="dxa"/>
            <w:vAlign w:val="bottom"/>
          </w:tcPr>
          <w:p w14:paraId="46F572E5"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96,6</w:t>
            </w:r>
          </w:p>
        </w:tc>
        <w:tc>
          <w:tcPr>
            <w:tcW w:w="1337" w:type="dxa"/>
            <w:vAlign w:val="bottom"/>
          </w:tcPr>
          <w:p w14:paraId="5145A0AE"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96</w:t>
            </w:r>
          </w:p>
        </w:tc>
        <w:tc>
          <w:tcPr>
            <w:tcW w:w="1337" w:type="dxa"/>
            <w:vAlign w:val="bottom"/>
          </w:tcPr>
          <w:p w14:paraId="77322181"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96</w:t>
            </w:r>
          </w:p>
        </w:tc>
        <w:tc>
          <w:tcPr>
            <w:tcW w:w="1337" w:type="dxa"/>
            <w:vAlign w:val="bottom"/>
          </w:tcPr>
          <w:p w14:paraId="593C3A16"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96</w:t>
            </w:r>
          </w:p>
        </w:tc>
        <w:tc>
          <w:tcPr>
            <w:tcW w:w="1337" w:type="dxa"/>
            <w:vAlign w:val="bottom"/>
          </w:tcPr>
          <w:p w14:paraId="768D514E"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96</w:t>
            </w:r>
          </w:p>
        </w:tc>
        <w:tc>
          <w:tcPr>
            <w:tcW w:w="1337" w:type="dxa"/>
            <w:vAlign w:val="bottom"/>
          </w:tcPr>
          <w:p w14:paraId="26750C15"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96</w:t>
            </w:r>
          </w:p>
        </w:tc>
        <w:tc>
          <w:tcPr>
            <w:tcW w:w="1338" w:type="dxa"/>
            <w:vAlign w:val="bottom"/>
          </w:tcPr>
          <w:p w14:paraId="735D4716"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eastAsia="Times New Roman" w:cs="Times New Roman"/>
                <w:color w:val="000000"/>
                <w:lang w:val="pt-BR"/>
              </w:rPr>
              <w:t>96</w:t>
            </w:r>
          </w:p>
        </w:tc>
      </w:tr>
      <w:tr w:rsidR="00C566B2" w14:paraId="7078412E" w14:textId="77777777" w:rsidTr="00C566B2">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426073FB" w14:textId="77777777" w:rsidR="00D07F0F" w:rsidRPr="00DD06D9" w:rsidRDefault="00000000" w:rsidP="004D2055">
            <w:pPr>
              <w:rPr>
                <w:b w:val="0"/>
                <w:bCs w:val="0"/>
              </w:rPr>
            </w:pPr>
            <w:r>
              <w:rPr>
                <w:rStyle w:val="normaltextrun"/>
                <w:rFonts w:eastAsia="Times New Roman" w:cs="Times New Roman"/>
                <w:b w:val="0"/>
                <w:bCs w:val="0"/>
                <w:lang w:val="pt-BR"/>
              </w:rPr>
              <w:t xml:space="preserve">Negro ou afro-americano </w:t>
            </w:r>
          </w:p>
        </w:tc>
        <w:tc>
          <w:tcPr>
            <w:tcW w:w="1337" w:type="dxa"/>
            <w:vAlign w:val="bottom"/>
          </w:tcPr>
          <w:p w14:paraId="094E4D89"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80,5</w:t>
            </w:r>
          </w:p>
        </w:tc>
        <w:tc>
          <w:tcPr>
            <w:tcW w:w="1337" w:type="dxa"/>
            <w:vAlign w:val="bottom"/>
          </w:tcPr>
          <w:p w14:paraId="1C014315"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81,2</w:t>
            </w:r>
          </w:p>
        </w:tc>
        <w:tc>
          <w:tcPr>
            <w:tcW w:w="1337" w:type="dxa"/>
            <w:vAlign w:val="bottom"/>
          </w:tcPr>
          <w:p w14:paraId="77774CF3"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81,8</w:t>
            </w:r>
          </w:p>
        </w:tc>
        <w:tc>
          <w:tcPr>
            <w:tcW w:w="1337" w:type="dxa"/>
            <w:vAlign w:val="bottom"/>
          </w:tcPr>
          <w:p w14:paraId="36CFFBB1"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82,5</w:t>
            </w:r>
          </w:p>
        </w:tc>
        <w:tc>
          <w:tcPr>
            <w:tcW w:w="1337" w:type="dxa"/>
            <w:vAlign w:val="bottom"/>
          </w:tcPr>
          <w:p w14:paraId="63F7810D"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83,1</w:t>
            </w:r>
          </w:p>
        </w:tc>
        <w:tc>
          <w:tcPr>
            <w:tcW w:w="1337" w:type="dxa"/>
            <w:vAlign w:val="bottom"/>
          </w:tcPr>
          <w:p w14:paraId="291EC211"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83,8</w:t>
            </w:r>
          </w:p>
        </w:tc>
        <w:tc>
          <w:tcPr>
            <w:tcW w:w="1338" w:type="dxa"/>
            <w:vAlign w:val="bottom"/>
          </w:tcPr>
          <w:p w14:paraId="1C07C0B3"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eastAsia="Times New Roman" w:cs="Times New Roman"/>
                <w:color w:val="000000"/>
                <w:lang w:val="pt-BR"/>
              </w:rPr>
              <w:t>84,4</w:t>
            </w:r>
          </w:p>
        </w:tc>
      </w:tr>
      <w:tr w:rsidR="00C566B2" w14:paraId="7C2D4089" w14:textId="77777777" w:rsidTr="00C566B2">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50697DB7" w14:textId="77777777" w:rsidR="00D07F0F" w:rsidRPr="00DD06D9" w:rsidRDefault="00000000" w:rsidP="004D2055">
            <w:pPr>
              <w:rPr>
                <w:b w:val="0"/>
                <w:bCs w:val="0"/>
              </w:rPr>
            </w:pPr>
            <w:r>
              <w:rPr>
                <w:rStyle w:val="normaltextrun"/>
                <w:rFonts w:eastAsia="Times New Roman" w:cs="Times New Roman"/>
                <w:b w:val="0"/>
                <w:bCs w:val="0"/>
                <w:lang w:val="pt-BR"/>
              </w:rPr>
              <w:t xml:space="preserve">Estudantes economicamente desfavorecidos </w:t>
            </w:r>
          </w:p>
        </w:tc>
        <w:tc>
          <w:tcPr>
            <w:tcW w:w="1337" w:type="dxa"/>
            <w:vAlign w:val="bottom"/>
          </w:tcPr>
          <w:p w14:paraId="7A08C6FE"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81,2</w:t>
            </w:r>
          </w:p>
        </w:tc>
        <w:tc>
          <w:tcPr>
            <w:tcW w:w="1337" w:type="dxa"/>
            <w:vAlign w:val="bottom"/>
          </w:tcPr>
          <w:p w14:paraId="3DC70598"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81,8</w:t>
            </w:r>
          </w:p>
        </w:tc>
        <w:tc>
          <w:tcPr>
            <w:tcW w:w="1337" w:type="dxa"/>
            <w:vAlign w:val="bottom"/>
          </w:tcPr>
          <w:p w14:paraId="172E73DC"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82,4</w:t>
            </w:r>
          </w:p>
        </w:tc>
        <w:tc>
          <w:tcPr>
            <w:tcW w:w="1337" w:type="dxa"/>
            <w:vAlign w:val="bottom"/>
          </w:tcPr>
          <w:p w14:paraId="6C1F7804"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83,1</w:t>
            </w:r>
          </w:p>
        </w:tc>
        <w:tc>
          <w:tcPr>
            <w:tcW w:w="1337" w:type="dxa"/>
            <w:vAlign w:val="bottom"/>
          </w:tcPr>
          <w:p w14:paraId="0E4C1B08"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83,7</w:t>
            </w:r>
          </w:p>
        </w:tc>
        <w:tc>
          <w:tcPr>
            <w:tcW w:w="1337" w:type="dxa"/>
            <w:vAlign w:val="bottom"/>
          </w:tcPr>
          <w:p w14:paraId="18B5B2D6"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84,3</w:t>
            </w:r>
          </w:p>
        </w:tc>
        <w:tc>
          <w:tcPr>
            <w:tcW w:w="1338" w:type="dxa"/>
            <w:vAlign w:val="bottom"/>
          </w:tcPr>
          <w:p w14:paraId="0D9A86AD"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eastAsia="Times New Roman" w:cs="Times New Roman"/>
                <w:color w:val="000000"/>
                <w:lang w:val="pt-BR"/>
              </w:rPr>
              <w:t>84,9</w:t>
            </w:r>
          </w:p>
        </w:tc>
      </w:tr>
      <w:tr w:rsidR="00C566B2" w14:paraId="18C8FDBB" w14:textId="77777777" w:rsidTr="00C566B2">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6F11AF9E" w14:textId="77777777" w:rsidR="00D07F0F" w:rsidRPr="00DD06D9" w:rsidRDefault="00000000" w:rsidP="004D2055">
            <w:pPr>
              <w:rPr>
                <w:b w:val="0"/>
                <w:bCs w:val="0"/>
              </w:rPr>
            </w:pPr>
            <w:r>
              <w:rPr>
                <w:rStyle w:val="normaltextrun"/>
                <w:rFonts w:eastAsia="Times New Roman" w:cs="Times New Roman"/>
                <w:b w:val="0"/>
                <w:bCs w:val="0"/>
                <w:lang w:val="pt-BR"/>
              </w:rPr>
              <w:t>Alunos multilíngues</w:t>
            </w:r>
          </w:p>
        </w:tc>
        <w:tc>
          <w:tcPr>
            <w:tcW w:w="1337" w:type="dxa"/>
            <w:vAlign w:val="bottom"/>
          </w:tcPr>
          <w:p w14:paraId="148B3750"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75,4</w:t>
            </w:r>
          </w:p>
        </w:tc>
        <w:tc>
          <w:tcPr>
            <w:tcW w:w="1337" w:type="dxa"/>
            <w:vAlign w:val="bottom"/>
          </w:tcPr>
          <w:p w14:paraId="3BD5B5BB"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76,3</w:t>
            </w:r>
          </w:p>
        </w:tc>
        <w:tc>
          <w:tcPr>
            <w:tcW w:w="1337" w:type="dxa"/>
            <w:vAlign w:val="bottom"/>
          </w:tcPr>
          <w:p w14:paraId="10A98D38"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77,1</w:t>
            </w:r>
          </w:p>
        </w:tc>
        <w:tc>
          <w:tcPr>
            <w:tcW w:w="1337" w:type="dxa"/>
            <w:vAlign w:val="bottom"/>
          </w:tcPr>
          <w:p w14:paraId="539B5F5B"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78</w:t>
            </w:r>
          </w:p>
        </w:tc>
        <w:tc>
          <w:tcPr>
            <w:tcW w:w="1337" w:type="dxa"/>
            <w:vAlign w:val="bottom"/>
          </w:tcPr>
          <w:p w14:paraId="0AA600E0"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strike/>
                <w:color w:val="000000" w:themeColor="text1"/>
              </w:rPr>
            </w:pPr>
            <w:r>
              <w:rPr>
                <w:rFonts w:eastAsia="Times New Roman" w:cs="Times New Roman"/>
                <w:color w:val="000000"/>
                <w:lang w:val="pt-BR"/>
              </w:rPr>
              <w:t>78,9</w:t>
            </w:r>
          </w:p>
        </w:tc>
        <w:tc>
          <w:tcPr>
            <w:tcW w:w="1337" w:type="dxa"/>
            <w:vAlign w:val="bottom"/>
          </w:tcPr>
          <w:p w14:paraId="1D7C4A8C"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79,7</w:t>
            </w:r>
          </w:p>
        </w:tc>
        <w:tc>
          <w:tcPr>
            <w:tcW w:w="1338" w:type="dxa"/>
            <w:vAlign w:val="bottom"/>
          </w:tcPr>
          <w:p w14:paraId="4444A70A"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eastAsia="Times New Roman" w:cs="Times New Roman"/>
                <w:color w:val="000000"/>
                <w:lang w:val="pt-BR"/>
              </w:rPr>
              <w:t>80,6</w:t>
            </w:r>
          </w:p>
        </w:tc>
      </w:tr>
      <w:tr w:rsidR="00C566B2" w14:paraId="7FAF391F" w14:textId="77777777" w:rsidTr="00C566B2">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71BAB344" w14:textId="77777777" w:rsidR="00D07F0F" w:rsidRPr="00DD06D9" w:rsidRDefault="00000000" w:rsidP="004D2055">
            <w:pPr>
              <w:rPr>
                <w:b w:val="0"/>
                <w:bCs w:val="0"/>
              </w:rPr>
            </w:pPr>
            <w:r>
              <w:rPr>
                <w:rStyle w:val="normaltextrun"/>
                <w:rFonts w:eastAsia="Times New Roman" w:cs="Times New Roman"/>
                <w:b w:val="0"/>
                <w:bCs w:val="0"/>
                <w:lang w:val="pt-BR"/>
              </w:rPr>
              <w:t xml:space="preserve">Hispânico ou latino </w:t>
            </w:r>
          </w:p>
        </w:tc>
        <w:tc>
          <w:tcPr>
            <w:tcW w:w="1337" w:type="dxa"/>
            <w:vAlign w:val="bottom"/>
          </w:tcPr>
          <w:p w14:paraId="227C2AB8"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81,8</w:t>
            </w:r>
          </w:p>
        </w:tc>
        <w:tc>
          <w:tcPr>
            <w:tcW w:w="1337" w:type="dxa"/>
            <w:vAlign w:val="bottom"/>
          </w:tcPr>
          <w:p w14:paraId="107FA7CB"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82,4</w:t>
            </w:r>
          </w:p>
        </w:tc>
        <w:tc>
          <w:tcPr>
            <w:tcW w:w="1337" w:type="dxa"/>
            <w:vAlign w:val="bottom"/>
          </w:tcPr>
          <w:p w14:paraId="0C54CD26"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83</w:t>
            </w:r>
          </w:p>
        </w:tc>
        <w:tc>
          <w:tcPr>
            <w:tcW w:w="1337" w:type="dxa"/>
            <w:vAlign w:val="bottom"/>
          </w:tcPr>
          <w:p w14:paraId="2C4ED956"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83,6</w:t>
            </w:r>
          </w:p>
        </w:tc>
        <w:tc>
          <w:tcPr>
            <w:tcW w:w="1337" w:type="dxa"/>
            <w:vAlign w:val="bottom"/>
          </w:tcPr>
          <w:p w14:paraId="67F48A5D"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84,2</w:t>
            </w:r>
          </w:p>
        </w:tc>
        <w:tc>
          <w:tcPr>
            <w:tcW w:w="1337" w:type="dxa"/>
            <w:vAlign w:val="bottom"/>
          </w:tcPr>
          <w:p w14:paraId="2B6CEE9F"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84,8</w:t>
            </w:r>
          </w:p>
        </w:tc>
        <w:tc>
          <w:tcPr>
            <w:tcW w:w="1338" w:type="dxa"/>
            <w:vAlign w:val="bottom"/>
          </w:tcPr>
          <w:p w14:paraId="0D0B25A1"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eastAsia="Times New Roman" w:cs="Times New Roman"/>
                <w:color w:val="000000"/>
                <w:lang w:val="pt-BR"/>
              </w:rPr>
              <w:t>85,4</w:t>
            </w:r>
          </w:p>
        </w:tc>
      </w:tr>
      <w:tr w:rsidR="00C566B2" w14:paraId="719263F1" w14:textId="77777777" w:rsidTr="00C566B2">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002F5DD7" w14:textId="77777777" w:rsidR="00D07F0F" w:rsidRPr="00DD06D9" w:rsidRDefault="00000000" w:rsidP="004D2055">
            <w:pPr>
              <w:rPr>
                <w:rStyle w:val="normaltextrun"/>
                <w:rFonts w:cs="Times New Roman"/>
              </w:rPr>
            </w:pPr>
            <w:r>
              <w:rPr>
                <w:rStyle w:val="normaltextrun"/>
                <w:rFonts w:eastAsia="Times New Roman" w:cs="Times New Roman"/>
                <w:b w:val="0"/>
                <w:bCs w:val="0"/>
                <w:lang w:val="pt-BR"/>
              </w:rPr>
              <w:t>Alunos com deficiências</w:t>
            </w:r>
          </w:p>
        </w:tc>
        <w:tc>
          <w:tcPr>
            <w:tcW w:w="1337" w:type="dxa"/>
            <w:vAlign w:val="bottom"/>
          </w:tcPr>
          <w:p w14:paraId="342FB315"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51,4</w:t>
            </w:r>
          </w:p>
        </w:tc>
        <w:tc>
          <w:tcPr>
            <w:tcW w:w="1337" w:type="dxa"/>
            <w:vAlign w:val="bottom"/>
          </w:tcPr>
          <w:p w14:paraId="24F60C64"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53,3</w:t>
            </w:r>
          </w:p>
        </w:tc>
        <w:tc>
          <w:tcPr>
            <w:tcW w:w="1337" w:type="dxa"/>
            <w:vAlign w:val="bottom"/>
          </w:tcPr>
          <w:p w14:paraId="0E461F70"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55,1</w:t>
            </w:r>
          </w:p>
        </w:tc>
        <w:tc>
          <w:tcPr>
            <w:tcW w:w="1337" w:type="dxa"/>
            <w:vAlign w:val="bottom"/>
          </w:tcPr>
          <w:p w14:paraId="3330CDA0"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57</w:t>
            </w:r>
          </w:p>
        </w:tc>
        <w:tc>
          <w:tcPr>
            <w:tcW w:w="1337" w:type="dxa"/>
            <w:vAlign w:val="bottom"/>
          </w:tcPr>
          <w:p w14:paraId="724D46F8"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58,9</w:t>
            </w:r>
          </w:p>
        </w:tc>
        <w:tc>
          <w:tcPr>
            <w:tcW w:w="1337" w:type="dxa"/>
            <w:vAlign w:val="bottom"/>
          </w:tcPr>
          <w:p w14:paraId="19A87BC0"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60,7</w:t>
            </w:r>
          </w:p>
        </w:tc>
        <w:tc>
          <w:tcPr>
            <w:tcW w:w="1338" w:type="dxa"/>
            <w:vAlign w:val="bottom"/>
          </w:tcPr>
          <w:p w14:paraId="6FA03EB4"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eastAsia="Times New Roman" w:cs="Times New Roman"/>
                <w:color w:val="000000"/>
                <w:lang w:val="pt-BR"/>
              </w:rPr>
              <w:t>62,6</w:t>
            </w:r>
          </w:p>
        </w:tc>
      </w:tr>
      <w:tr w:rsidR="00C566B2" w14:paraId="6FE89EFC" w14:textId="77777777" w:rsidTr="00C566B2">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18110BC4" w14:textId="77777777" w:rsidR="00D07F0F" w:rsidRPr="00DD06D9" w:rsidRDefault="00000000" w:rsidP="004D2055">
            <w:pPr>
              <w:rPr>
                <w:rStyle w:val="normaltextrun"/>
                <w:rFonts w:cs="Times New Roman"/>
              </w:rPr>
            </w:pPr>
            <w:r>
              <w:rPr>
                <w:rStyle w:val="normaltextrun"/>
                <w:rFonts w:eastAsia="Times New Roman" w:cs="Times New Roman"/>
                <w:b w:val="0"/>
                <w:bCs w:val="0"/>
                <w:lang w:val="pt-BR"/>
              </w:rPr>
              <w:t>Duas ou mais raças</w:t>
            </w:r>
          </w:p>
        </w:tc>
        <w:tc>
          <w:tcPr>
            <w:tcW w:w="1337" w:type="dxa"/>
            <w:vAlign w:val="bottom"/>
          </w:tcPr>
          <w:p w14:paraId="60FD1161"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85,9</w:t>
            </w:r>
          </w:p>
        </w:tc>
        <w:tc>
          <w:tcPr>
            <w:tcW w:w="1337" w:type="dxa"/>
            <w:vAlign w:val="bottom"/>
          </w:tcPr>
          <w:p w14:paraId="67909266"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86,3</w:t>
            </w:r>
          </w:p>
        </w:tc>
        <w:tc>
          <w:tcPr>
            <w:tcW w:w="1337" w:type="dxa"/>
            <w:vAlign w:val="bottom"/>
          </w:tcPr>
          <w:p w14:paraId="304D3CEE"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86,7</w:t>
            </w:r>
          </w:p>
        </w:tc>
        <w:tc>
          <w:tcPr>
            <w:tcW w:w="1337" w:type="dxa"/>
            <w:vAlign w:val="bottom"/>
          </w:tcPr>
          <w:p w14:paraId="1E274331"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87,2</w:t>
            </w:r>
          </w:p>
        </w:tc>
        <w:tc>
          <w:tcPr>
            <w:tcW w:w="1337" w:type="dxa"/>
            <w:vAlign w:val="bottom"/>
          </w:tcPr>
          <w:p w14:paraId="63496246"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87,6</w:t>
            </w:r>
          </w:p>
        </w:tc>
        <w:tc>
          <w:tcPr>
            <w:tcW w:w="1337" w:type="dxa"/>
            <w:vAlign w:val="bottom"/>
          </w:tcPr>
          <w:p w14:paraId="114C0F78"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lang w:val="pt-BR"/>
              </w:rPr>
              <w:t>88</w:t>
            </w:r>
          </w:p>
        </w:tc>
        <w:tc>
          <w:tcPr>
            <w:tcW w:w="1338" w:type="dxa"/>
            <w:vAlign w:val="bottom"/>
          </w:tcPr>
          <w:p w14:paraId="2DFA219F" w14:textId="77777777" w:rsidR="00D07F0F" w:rsidRPr="00234CB8"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eastAsia="Times New Roman" w:cs="Times New Roman"/>
                <w:color w:val="000000"/>
                <w:lang w:val="pt-BR"/>
              </w:rPr>
              <w:t>88,4</w:t>
            </w:r>
          </w:p>
        </w:tc>
      </w:tr>
      <w:tr w:rsidR="00C566B2" w14:paraId="2FEA76EB" w14:textId="77777777" w:rsidTr="00C566B2">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4A281BAA" w14:textId="77777777" w:rsidR="00D07F0F" w:rsidRPr="00DD06D9" w:rsidRDefault="00000000" w:rsidP="004D2055">
            <w:pPr>
              <w:rPr>
                <w:rStyle w:val="normaltextrun"/>
                <w:rFonts w:cs="Times New Roman"/>
              </w:rPr>
            </w:pPr>
            <w:r>
              <w:rPr>
                <w:rStyle w:val="normaltextrun"/>
                <w:rFonts w:eastAsia="Times New Roman" w:cs="Times New Roman"/>
                <w:b w:val="0"/>
                <w:bCs w:val="0"/>
                <w:lang w:val="pt-BR"/>
              </w:rPr>
              <w:t xml:space="preserve">Branco </w:t>
            </w:r>
          </w:p>
        </w:tc>
        <w:tc>
          <w:tcPr>
            <w:tcW w:w="1337" w:type="dxa"/>
            <w:vAlign w:val="bottom"/>
          </w:tcPr>
          <w:p w14:paraId="7FBA14CE"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89,9</w:t>
            </w:r>
          </w:p>
        </w:tc>
        <w:tc>
          <w:tcPr>
            <w:tcW w:w="1337" w:type="dxa"/>
            <w:vAlign w:val="bottom"/>
          </w:tcPr>
          <w:p w14:paraId="20BD310D"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90,2</w:t>
            </w:r>
          </w:p>
        </w:tc>
        <w:tc>
          <w:tcPr>
            <w:tcW w:w="1337" w:type="dxa"/>
            <w:vAlign w:val="bottom"/>
          </w:tcPr>
          <w:p w14:paraId="150F9046"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90,4</w:t>
            </w:r>
          </w:p>
        </w:tc>
        <w:tc>
          <w:tcPr>
            <w:tcW w:w="1337" w:type="dxa"/>
            <w:vAlign w:val="bottom"/>
          </w:tcPr>
          <w:p w14:paraId="111E8B06"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Cs/>
                <w:color w:val="000000" w:themeColor="text1"/>
              </w:rPr>
            </w:pPr>
            <w:r>
              <w:rPr>
                <w:rFonts w:eastAsia="Times New Roman" w:cs="Times New Roman"/>
                <w:bCs/>
                <w:color w:val="000000"/>
                <w:lang w:val="pt-BR"/>
              </w:rPr>
              <w:t>90,7</w:t>
            </w:r>
          </w:p>
        </w:tc>
        <w:tc>
          <w:tcPr>
            <w:tcW w:w="1337" w:type="dxa"/>
            <w:vAlign w:val="bottom"/>
          </w:tcPr>
          <w:p w14:paraId="5BC8247E"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90,9</w:t>
            </w:r>
          </w:p>
        </w:tc>
        <w:tc>
          <w:tcPr>
            <w:tcW w:w="1337" w:type="dxa"/>
            <w:vAlign w:val="bottom"/>
          </w:tcPr>
          <w:p w14:paraId="282CE245"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lang w:val="pt-BR"/>
              </w:rPr>
              <w:t>91,2</w:t>
            </w:r>
          </w:p>
        </w:tc>
        <w:tc>
          <w:tcPr>
            <w:tcW w:w="1338" w:type="dxa"/>
            <w:vAlign w:val="bottom"/>
          </w:tcPr>
          <w:p w14:paraId="5CF14B81" w14:textId="77777777" w:rsidR="00D07F0F" w:rsidRPr="00234CB8"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eastAsia="Times New Roman" w:cs="Times New Roman"/>
                <w:color w:val="000000"/>
                <w:lang w:val="pt-BR"/>
              </w:rPr>
              <w:t>91,4</w:t>
            </w:r>
          </w:p>
        </w:tc>
      </w:tr>
    </w:tbl>
    <w:p w14:paraId="50E0F428" w14:textId="77777777" w:rsidR="00B6651C" w:rsidRPr="00CC1CB4" w:rsidRDefault="00000000" w:rsidP="001D7DEC">
      <w:pPr>
        <w:pStyle w:val="aff0"/>
        <w:rPr>
          <w:lang w:val="es-ES"/>
        </w:rPr>
      </w:pPr>
      <w:r>
        <w:rPr>
          <w:rFonts w:eastAsia="Cambria"/>
          <w:b w:val="0"/>
          <w:lang w:val="pt-BR"/>
        </w:rPr>
        <w:br w:type="page"/>
      </w:r>
      <w:r>
        <w:rPr>
          <w:rFonts w:eastAsia="Cambria"/>
          <w:lang w:val="pt-BR"/>
        </w:rPr>
        <w:lastRenderedPageBreak/>
        <w:t>Figura Anexo.A.5: Metas da taxa de formação de seis anos</w:t>
      </w:r>
    </w:p>
    <w:tbl>
      <w:tblPr>
        <w:tblStyle w:val="4-10"/>
        <w:tblW w:w="12775"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CellMar>
          <w:top w:w="58" w:type="dxa"/>
          <w:left w:w="58" w:type="dxa"/>
          <w:bottom w:w="58" w:type="dxa"/>
          <w:right w:w="58" w:type="dxa"/>
        </w:tblCellMar>
        <w:tblLook w:val="04A0" w:firstRow="1" w:lastRow="0" w:firstColumn="1" w:lastColumn="0" w:noHBand="0" w:noVBand="1"/>
      </w:tblPr>
      <w:tblGrid>
        <w:gridCol w:w="3415"/>
        <w:gridCol w:w="1337"/>
        <w:gridCol w:w="1337"/>
        <w:gridCol w:w="1337"/>
        <w:gridCol w:w="1337"/>
        <w:gridCol w:w="1337"/>
        <w:gridCol w:w="1337"/>
        <w:gridCol w:w="1338"/>
      </w:tblGrid>
      <w:tr w:rsidR="00C566B2" w14:paraId="1D2FBB3F" w14:textId="77777777" w:rsidTr="00C566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tcBorders>
              <w:right w:val="single" w:sz="4" w:space="0" w:color="FFFFFF" w:themeColor="background1"/>
            </w:tcBorders>
            <w:shd w:val="clear" w:color="auto" w:fill="215868" w:themeFill="accent5" w:themeFillShade="80"/>
            <w:vAlign w:val="center"/>
          </w:tcPr>
          <w:p w14:paraId="610373C0" w14:textId="77777777" w:rsidR="00B6651C" w:rsidRPr="00234CB8" w:rsidRDefault="00000000">
            <w:pPr>
              <w:rPr>
                <w:rFonts w:cs="Times New Roman"/>
                <w:b w:val="0"/>
                <w:bCs w:val="0"/>
              </w:rPr>
            </w:pPr>
            <w:r>
              <w:rPr>
                <w:rFonts w:eastAsia="Times New Roman" w:cs="Times New Roman"/>
                <w:color w:val="FFFFFF"/>
                <w:lang w:val="pt-BR"/>
              </w:rPr>
              <w:t>Grupo de estudantes</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5C7C890E" w14:textId="77777777" w:rsidR="00B6651C" w:rsidRPr="00234CB8"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Avaliação inicial de 2024-2025 (grupo 2022)</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30A2C50A" w14:textId="77777777" w:rsidR="00B6651C" w:rsidRPr="00234CB8"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Meta de 2025-2026 (grupo 2023)</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6F6DDA23" w14:textId="77777777" w:rsidR="00B6651C" w:rsidRPr="00234CB8"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Meta de 2026-2027 (grupo 2024)</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645651D2" w14:textId="77777777" w:rsidR="00B6651C" w:rsidRPr="00234CB8"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Meta de 2027-2028 (grupo 2025)</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5E8DCEB6" w14:textId="77777777" w:rsidR="00B6651C" w:rsidRPr="00234CB8"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Meta de 2028-2029 (grupo 2026)</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01400BC4" w14:textId="77777777" w:rsidR="009C4275" w:rsidRPr="00234CB8"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eastAsia="Times New Roman" w:cs="Times New Roman"/>
                <w:color w:val="FFFFFF"/>
                <w:lang w:val="pt-BR"/>
              </w:rPr>
              <w:t xml:space="preserve">Meta de 2029-2030 </w:t>
            </w:r>
          </w:p>
          <w:p w14:paraId="1110040C" w14:textId="77777777" w:rsidR="00B6651C" w:rsidRPr="00234CB8"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(grupo 2027)</w:t>
            </w:r>
          </w:p>
        </w:tc>
        <w:tc>
          <w:tcPr>
            <w:tcW w:w="1338" w:type="dxa"/>
            <w:tcBorders>
              <w:left w:val="single" w:sz="4" w:space="0" w:color="FFFFFF" w:themeColor="background1"/>
            </w:tcBorders>
            <w:shd w:val="clear" w:color="auto" w:fill="215868" w:themeFill="accent5" w:themeFillShade="80"/>
          </w:tcPr>
          <w:p w14:paraId="2E77E96C" w14:textId="77777777" w:rsidR="009C4275" w:rsidRPr="00234CB8"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eastAsia="Times New Roman" w:cs="Times New Roman"/>
                <w:color w:val="FFFFFF"/>
                <w:lang w:val="pt-BR"/>
              </w:rPr>
              <w:t xml:space="preserve">Meta de 2030-2031 </w:t>
            </w:r>
          </w:p>
          <w:p w14:paraId="4942A7E4" w14:textId="77777777" w:rsidR="00B6651C" w:rsidRPr="00234CB8"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(grupo 2028)</w:t>
            </w:r>
          </w:p>
        </w:tc>
      </w:tr>
      <w:tr w:rsidR="00C566B2" w14:paraId="7CE9CF09" w14:textId="77777777" w:rsidTr="00C56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4B2F20C6" w14:textId="77777777" w:rsidR="00264129" w:rsidRPr="00234CB8" w:rsidRDefault="00000000" w:rsidP="00264129">
            <w:pPr>
              <w:rPr>
                <w:rFonts w:cs="Times New Roman"/>
                <w:b w:val="0"/>
                <w:bCs w:val="0"/>
                <w:color w:val="000000" w:themeColor="text1"/>
              </w:rPr>
            </w:pPr>
            <w:r>
              <w:rPr>
                <w:rStyle w:val="normaltextrun"/>
                <w:rFonts w:eastAsia="Times New Roman" w:cs="Times New Roman"/>
                <w:b w:val="0"/>
                <w:bCs w:val="0"/>
                <w:color w:val="000000"/>
                <w:lang w:val="pt-BR"/>
              </w:rPr>
              <w:t xml:space="preserve">Todos os alunos </w:t>
            </w:r>
          </w:p>
        </w:tc>
        <w:tc>
          <w:tcPr>
            <w:tcW w:w="1337" w:type="dxa"/>
            <w:vAlign w:val="bottom"/>
          </w:tcPr>
          <w:p w14:paraId="6A09314E"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87</w:t>
            </w:r>
          </w:p>
        </w:tc>
        <w:tc>
          <w:tcPr>
            <w:tcW w:w="1337" w:type="dxa"/>
            <w:vAlign w:val="bottom"/>
          </w:tcPr>
          <w:p w14:paraId="7DB57452"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87,4</w:t>
            </w:r>
          </w:p>
        </w:tc>
        <w:tc>
          <w:tcPr>
            <w:tcW w:w="1337" w:type="dxa"/>
            <w:vAlign w:val="bottom"/>
          </w:tcPr>
          <w:p w14:paraId="353C58B6"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87,8</w:t>
            </w:r>
          </w:p>
        </w:tc>
        <w:tc>
          <w:tcPr>
            <w:tcW w:w="1337" w:type="dxa"/>
            <w:vAlign w:val="bottom"/>
          </w:tcPr>
          <w:p w14:paraId="67241FBF"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88,3</w:t>
            </w:r>
          </w:p>
        </w:tc>
        <w:tc>
          <w:tcPr>
            <w:tcW w:w="1337" w:type="dxa"/>
            <w:vAlign w:val="bottom"/>
          </w:tcPr>
          <w:p w14:paraId="6FE2D639"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88,7</w:t>
            </w:r>
          </w:p>
        </w:tc>
        <w:tc>
          <w:tcPr>
            <w:tcW w:w="1337" w:type="dxa"/>
            <w:vAlign w:val="bottom"/>
          </w:tcPr>
          <w:p w14:paraId="6C4141DD"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89,1</w:t>
            </w:r>
          </w:p>
        </w:tc>
        <w:tc>
          <w:tcPr>
            <w:tcW w:w="1338" w:type="dxa"/>
            <w:vAlign w:val="bottom"/>
          </w:tcPr>
          <w:p w14:paraId="1E88B08D"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eastAsia="Times New Roman" w:cs="Times New Roman"/>
                <w:bCs/>
                <w:color w:val="000000"/>
                <w:lang w:val="pt-BR"/>
              </w:rPr>
              <w:t>89,5</w:t>
            </w:r>
          </w:p>
        </w:tc>
      </w:tr>
      <w:tr w:rsidR="00C566B2" w14:paraId="2280A16E" w14:textId="77777777" w:rsidTr="00C566B2">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30B886DA" w14:textId="77777777" w:rsidR="00264129" w:rsidRPr="00CC1CB4" w:rsidRDefault="00000000" w:rsidP="00264129">
            <w:pPr>
              <w:rPr>
                <w:rFonts w:cs="Times New Roman"/>
                <w:b w:val="0"/>
                <w:bCs w:val="0"/>
                <w:color w:val="000000" w:themeColor="text1"/>
                <w:lang w:val="es-ES"/>
              </w:rPr>
            </w:pPr>
            <w:r>
              <w:rPr>
                <w:rStyle w:val="normaltextrun"/>
                <w:rFonts w:eastAsia="Times New Roman" w:cs="Times New Roman"/>
                <w:b w:val="0"/>
                <w:bCs w:val="0"/>
                <w:color w:val="000000"/>
                <w:lang w:val="pt-BR"/>
              </w:rPr>
              <w:t xml:space="preserve">Indígena americano ou nativo do Alasca </w:t>
            </w:r>
          </w:p>
        </w:tc>
        <w:tc>
          <w:tcPr>
            <w:tcW w:w="1337" w:type="dxa"/>
            <w:vAlign w:val="bottom"/>
          </w:tcPr>
          <w:p w14:paraId="321A3954"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86,4</w:t>
            </w:r>
          </w:p>
        </w:tc>
        <w:tc>
          <w:tcPr>
            <w:tcW w:w="1337" w:type="dxa"/>
            <w:vAlign w:val="bottom"/>
          </w:tcPr>
          <w:p w14:paraId="33162714"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86,9</w:t>
            </w:r>
          </w:p>
        </w:tc>
        <w:tc>
          <w:tcPr>
            <w:tcW w:w="1337" w:type="dxa"/>
            <w:vAlign w:val="bottom"/>
          </w:tcPr>
          <w:p w14:paraId="73E602C1"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87,3</w:t>
            </w:r>
          </w:p>
        </w:tc>
        <w:tc>
          <w:tcPr>
            <w:tcW w:w="1337" w:type="dxa"/>
            <w:vAlign w:val="bottom"/>
          </w:tcPr>
          <w:p w14:paraId="5A0493CF"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87,8</w:t>
            </w:r>
          </w:p>
        </w:tc>
        <w:tc>
          <w:tcPr>
            <w:tcW w:w="1337" w:type="dxa"/>
            <w:vAlign w:val="bottom"/>
          </w:tcPr>
          <w:p w14:paraId="7CA7430A"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88,2</w:t>
            </w:r>
          </w:p>
        </w:tc>
        <w:tc>
          <w:tcPr>
            <w:tcW w:w="1337" w:type="dxa"/>
            <w:vAlign w:val="bottom"/>
          </w:tcPr>
          <w:p w14:paraId="37C3C47B"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88,7</w:t>
            </w:r>
          </w:p>
        </w:tc>
        <w:tc>
          <w:tcPr>
            <w:tcW w:w="1338" w:type="dxa"/>
            <w:vAlign w:val="bottom"/>
          </w:tcPr>
          <w:p w14:paraId="6C55613F"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eastAsia="Times New Roman" w:cs="Times New Roman"/>
                <w:bCs/>
                <w:color w:val="000000"/>
                <w:lang w:val="pt-BR"/>
              </w:rPr>
              <w:t>89,1</w:t>
            </w:r>
          </w:p>
        </w:tc>
      </w:tr>
      <w:tr w:rsidR="00C566B2" w14:paraId="66941010" w14:textId="77777777" w:rsidTr="00C566B2">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3BBDB009" w14:textId="77777777" w:rsidR="00264129" w:rsidRPr="00CC1CB4" w:rsidRDefault="00000000" w:rsidP="00264129">
            <w:pPr>
              <w:rPr>
                <w:rFonts w:cs="Times New Roman"/>
                <w:b w:val="0"/>
                <w:bCs w:val="0"/>
                <w:color w:val="000000" w:themeColor="text1"/>
                <w:lang w:val="es-ES"/>
              </w:rPr>
            </w:pPr>
            <w:r>
              <w:rPr>
                <w:rStyle w:val="normaltextrun"/>
                <w:rFonts w:eastAsia="Times New Roman" w:cs="Times New Roman"/>
                <w:b w:val="0"/>
                <w:bCs w:val="0"/>
                <w:color w:val="000000"/>
                <w:lang w:val="pt-BR"/>
              </w:rPr>
              <w:t>Asiático, havaiano nativo ou das ilhas do Pacífico</w:t>
            </w:r>
          </w:p>
        </w:tc>
        <w:tc>
          <w:tcPr>
            <w:tcW w:w="1337" w:type="dxa"/>
            <w:vAlign w:val="bottom"/>
          </w:tcPr>
          <w:p w14:paraId="77171026"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96,6</w:t>
            </w:r>
          </w:p>
        </w:tc>
        <w:tc>
          <w:tcPr>
            <w:tcW w:w="1337" w:type="dxa"/>
            <w:vAlign w:val="bottom"/>
          </w:tcPr>
          <w:p w14:paraId="4AD37B90"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96,6</w:t>
            </w:r>
          </w:p>
        </w:tc>
        <w:tc>
          <w:tcPr>
            <w:tcW w:w="1337" w:type="dxa"/>
            <w:vAlign w:val="bottom"/>
          </w:tcPr>
          <w:p w14:paraId="2E382399"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96,6</w:t>
            </w:r>
          </w:p>
        </w:tc>
        <w:tc>
          <w:tcPr>
            <w:tcW w:w="1337" w:type="dxa"/>
            <w:vAlign w:val="bottom"/>
          </w:tcPr>
          <w:p w14:paraId="3ABA67B8"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96,7</w:t>
            </w:r>
          </w:p>
        </w:tc>
        <w:tc>
          <w:tcPr>
            <w:tcW w:w="1337" w:type="dxa"/>
            <w:vAlign w:val="bottom"/>
          </w:tcPr>
          <w:p w14:paraId="1C29CE18"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96,7</w:t>
            </w:r>
          </w:p>
        </w:tc>
        <w:tc>
          <w:tcPr>
            <w:tcW w:w="1337" w:type="dxa"/>
            <w:vAlign w:val="bottom"/>
          </w:tcPr>
          <w:p w14:paraId="0AD436CE"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96,7</w:t>
            </w:r>
          </w:p>
        </w:tc>
        <w:tc>
          <w:tcPr>
            <w:tcW w:w="1338" w:type="dxa"/>
            <w:vAlign w:val="bottom"/>
          </w:tcPr>
          <w:p w14:paraId="0A472646"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eastAsia="Times New Roman" w:cs="Times New Roman"/>
                <w:bCs/>
                <w:color w:val="000000"/>
                <w:lang w:val="pt-BR"/>
              </w:rPr>
              <w:t>96,7</w:t>
            </w:r>
          </w:p>
        </w:tc>
      </w:tr>
      <w:tr w:rsidR="00C566B2" w14:paraId="37FE21A0" w14:textId="77777777" w:rsidTr="00C566B2">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59391E56" w14:textId="77777777" w:rsidR="00264129" w:rsidRPr="00234CB8" w:rsidRDefault="00000000" w:rsidP="00264129">
            <w:pPr>
              <w:rPr>
                <w:rFonts w:cs="Times New Roman"/>
                <w:b w:val="0"/>
                <w:bCs w:val="0"/>
                <w:color w:val="000000" w:themeColor="text1"/>
              </w:rPr>
            </w:pPr>
            <w:r>
              <w:rPr>
                <w:rStyle w:val="normaltextrun"/>
                <w:rFonts w:eastAsia="Times New Roman" w:cs="Times New Roman"/>
                <w:b w:val="0"/>
                <w:bCs w:val="0"/>
                <w:color w:val="000000"/>
                <w:lang w:val="pt-BR"/>
              </w:rPr>
              <w:t xml:space="preserve">Negro ou afro-americano </w:t>
            </w:r>
          </w:p>
        </w:tc>
        <w:tc>
          <w:tcPr>
            <w:tcW w:w="1337" w:type="dxa"/>
            <w:vAlign w:val="bottom"/>
          </w:tcPr>
          <w:p w14:paraId="7F4DB1FD"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80,8</w:t>
            </w:r>
          </w:p>
        </w:tc>
        <w:tc>
          <w:tcPr>
            <w:tcW w:w="1337" w:type="dxa"/>
            <w:vAlign w:val="bottom"/>
          </w:tcPr>
          <w:p w14:paraId="62B23490"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81,5</w:t>
            </w:r>
          </w:p>
        </w:tc>
        <w:tc>
          <w:tcPr>
            <w:tcW w:w="1337" w:type="dxa"/>
            <w:vAlign w:val="bottom"/>
          </w:tcPr>
          <w:p w14:paraId="699769AD"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82,2</w:t>
            </w:r>
          </w:p>
        </w:tc>
        <w:tc>
          <w:tcPr>
            <w:tcW w:w="1337" w:type="dxa"/>
            <w:vAlign w:val="bottom"/>
          </w:tcPr>
          <w:p w14:paraId="70BE0B3B"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82,9</w:t>
            </w:r>
          </w:p>
        </w:tc>
        <w:tc>
          <w:tcPr>
            <w:tcW w:w="1337" w:type="dxa"/>
            <w:vAlign w:val="bottom"/>
          </w:tcPr>
          <w:p w14:paraId="45C1BA2A"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83,5</w:t>
            </w:r>
          </w:p>
        </w:tc>
        <w:tc>
          <w:tcPr>
            <w:tcW w:w="1337" w:type="dxa"/>
            <w:vAlign w:val="bottom"/>
          </w:tcPr>
          <w:p w14:paraId="340FAE1B"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84,2</w:t>
            </w:r>
          </w:p>
        </w:tc>
        <w:tc>
          <w:tcPr>
            <w:tcW w:w="1338" w:type="dxa"/>
            <w:vAlign w:val="bottom"/>
          </w:tcPr>
          <w:p w14:paraId="58971B46"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eastAsia="Times New Roman" w:cs="Times New Roman"/>
                <w:bCs/>
                <w:color w:val="000000"/>
                <w:lang w:val="pt-BR"/>
              </w:rPr>
              <w:t>84,9</w:t>
            </w:r>
          </w:p>
        </w:tc>
      </w:tr>
      <w:tr w:rsidR="00C566B2" w14:paraId="790C4E42" w14:textId="77777777" w:rsidTr="00C566B2">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2B5CBEC2" w14:textId="77777777" w:rsidR="00264129" w:rsidRPr="00234CB8" w:rsidRDefault="00000000" w:rsidP="00264129">
            <w:pPr>
              <w:rPr>
                <w:rFonts w:cs="Times New Roman"/>
                <w:b w:val="0"/>
                <w:bCs w:val="0"/>
                <w:color w:val="000000" w:themeColor="text1"/>
              </w:rPr>
            </w:pPr>
            <w:r>
              <w:rPr>
                <w:rStyle w:val="normaltextrun"/>
                <w:rFonts w:eastAsia="Times New Roman" w:cs="Times New Roman"/>
                <w:b w:val="0"/>
                <w:bCs w:val="0"/>
                <w:color w:val="000000"/>
                <w:lang w:val="pt-BR"/>
              </w:rPr>
              <w:t xml:space="preserve">Estudantes economicamente desfavorecidos </w:t>
            </w:r>
          </w:p>
        </w:tc>
        <w:tc>
          <w:tcPr>
            <w:tcW w:w="1337" w:type="dxa"/>
            <w:vAlign w:val="bottom"/>
          </w:tcPr>
          <w:p w14:paraId="200EE4D5"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81,4</w:t>
            </w:r>
          </w:p>
        </w:tc>
        <w:tc>
          <w:tcPr>
            <w:tcW w:w="1337" w:type="dxa"/>
            <w:vAlign w:val="bottom"/>
          </w:tcPr>
          <w:p w14:paraId="766D7660"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82,1</w:t>
            </w:r>
          </w:p>
        </w:tc>
        <w:tc>
          <w:tcPr>
            <w:tcW w:w="1337" w:type="dxa"/>
            <w:vAlign w:val="bottom"/>
          </w:tcPr>
          <w:p w14:paraId="60632727"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82,7</w:t>
            </w:r>
          </w:p>
        </w:tc>
        <w:tc>
          <w:tcPr>
            <w:tcW w:w="1337" w:type="dxa"/>
            <w:vAlign w:val="bottom"/>
          </w:tcPr>
          <w:p w14:paraId="56E1DAC2"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83,4</w:t>
            </w:r>
          </w:p>
        </w:tc>
        <w:tc>
          <w:tcPr>
            <w:tcW w:w="1337" w:type="dxa"/>
            <w:vAlign w:val="bottom"/>
          </w:tcPr>
          <w:p w14:paraId="31922B48"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84</w:t>
            </w:r>
          </w:p>
        </w:tc>
        <w:tc>
          <w:tcPr>
            <w:tcW w:w="1337" w:type="dxa"/>
            <w:vAlign w:val="bottom"/>
          </w:tcPr>
          <w:p w14:paraId="4F9324B9"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84,7</w:t>
            </w:r>
          </w:p>
        </w:tc>
        <w:tc>
          <w:tcPr>
            <w:tcW w:w="1338" w:type="dxa"/>
            <w:vAlign w:val="bottom"/>
          </w:tcPr>
          <w:p w14:paraId="5AF4B68E"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eastAsia="Times New Roman" w:cs="Times New Roman"/>
                <w:bCs/>
                <w:color w:val="000000"/>
                <w:lang w:val="pt-BR"/>
              </w:rPr>
              <w:t>85,3</w:t>
            </w:r>
          </w:p>
        </w:tc>
      </w:tr>
      <w:tr w:rsidR="00C566B2" w14:paraId="5B36EAC5" w14:textId="77777777" w:rsidTr="00C566B2">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682330A9" w14:textId="77777777" w:rsidR="00264129" w:rsidRPr="00234CB8" w:rsidRDefault="00000000" w:rsidP="00264129">
            <w:pPr>
              <w:rPr>
                <w:rFonts w:cs="Times New Roman"/>
                <w:b w:val="0"/>
                <w:bCs w:val="0"/>
                <w:color w:val="000000" w:themeColor="text1"/>
              </w:rPr>
            </w:pPr>
            <w:r>
              <w:rPr>
                <w:rStyle w:val="normaltextrun"/>
                <w:rFonts w:eastAsia="Times New Roman" w:cs="Times New Roman"/>
                <w:b w:val="0"/>
                <w:bCs w:val="0"/>
                <w:color w:val="000000"/>
                <w:lang w:val="pt-BR"/>
              </w:rPr>
              <w:t>Alunos multilíngues</w:t>
            </w:r>
          </w:p>
        </w:tc>
        <w:tc>
          <w:tcPr>
            <w:tcW w:w="1337" w:type="dxa"/>
            <w:vAlign w:val="bottom"/>
          </w:tcPr>
          <w:p w14:paraId="290EB8CF"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75,7</w:t>
            </w:r>
          </w:p>
        </w:tc>
        <w:tc>
          <w:tcPr>
            <w:tcW w:w="1337" w:type="dxa"/>
            <w:vAlign w:val="bottom"/>
          </w:tcPr>
          <w:p w14:paraId="34D4A8E1"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76,6</w:t>
            </w:r>
          </w:p>
        </w:tc>
        <w:tc>
          <w:tcPr>
            <w:tcW w:w="1337" w:type="dxa"/>
            <w:vAlign w:val="bottom"/>
          </w:tcPr>
          <w:p w14:paraId="5D5F84BF"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77,5</w:t>
            </w:r>
          </w:p>
        </w:tc>
        <w:tc>
          <w:tcPr>
            <w:tcW w:w="1337" w:type="dxa"/>
            <w:vAlign w:val="bottom"/>
          </w:tcPr>
          <w:p w14:paraId="34747864"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78,4</w:t>
            </w:r>
          </w:p>
        </w:tc>
        <w:tc>
          <w:tcPr>
            <w:tcW w:w="1337" w:type="dxa"/>
            <w:vAlign w:val="bottom"/>
          </w:tcPr>
          <w:p w14:paraId="733B6878"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79,2</w:t>
            </w:r>
          </w:p>
        </w:tc>
        <w:tc>
          <w:tcPr>
            <w:tcW w:w="1337" w:type="dxa"/>
            <w:vAlign w:val="bottom"/>
          </w:tcPr>
          <w:p w14:paraId="4923C31F"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80,1</w:t>
            </w:r>
          </w:p>
        </w:tc>
        <w:tc>
          <w:tcPr>
            <w:tcW w:w="1338" w:type="dxa"/>
            <w:vAlign w:val="bottom"/>
          </w:tcPr>
          <w:p w14:paraId="7C015C17"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eastAsia="Times New Roman" w:cs="Times New Roman"/>
                <w:bCs/>
                <w:color w:val="000000"/>
                <w:lang w:val="pt-BR"/>
              </w:rPr>
              <w:t>81,0</w:t>
            </w:r>
          </w:p>
        </w:tc>
      </w:tr>
      <w:tr w:rsidR="00C566B2" w14:paraId="276C35CB" w14:textId="77777777" w:rsidTr="00C566B2">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64D970B0" w14:textId="77777777" w:rsidR="00264129" w:rsidRPr="00234CB8" w:rsidRDefault="00000000" w:rsidP="00264129">
            <w:pPr>
              <w:rPr>
                <w:rFonts w:cs="Times New Roman"/>
                <w:b w:val="0"/>
                <w:bCs w:val="0"/>
                <w:color w:val="000000" w:themeColor="text1"/>
              </w:rPr>
            </w:pPr>
            <w:r>
              <w:rPr>
                <w:rStyle w:val="normaltextrun"/>
                <w:rFonts w:eastAsia="Times New Roman" w:cs="Times New Roman"/>
                <w:b w:val="0"/>
                <w:bCs w:val="0"/>
                <w:color w:val="000000"/>
                <w:lang w:val="pt-BR"/>
              </w:rPr>
              <w:t xml:space="preserve">Hispânico ou latino </w:t>
            </w:r>
          </w:p>
        </w:tc>
        <w:tc>
          <w:tcPr>
            <w:tcW w:w="1337" w:type="dxa"/>
            <w:vAlign w:val="bottom"/>
          </w:tcPr>
          <w:p w14:paraId="04C50A13"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82,1</w:t>
            </w:r>
          </w:p>
        </w:tc>
        <w:tc>
          <w:tcPr>
            <w:tcW w:w="1337" w:type="dxa"/>
            <w:vAlign w:val="bottom"/>
          </w:tcPr>
          <w:p w14:paraId="1620313A"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82,7</w:t>
            </w:r>
          </w:p>
        </w:tc>
        <w:tc>
          <w:tcPr>
            <w:tcW w:w="1337" w:type="dxa"/>
            <w:vAlign w:val="bottom"/>
          </w:tcPr>
          <w:p w14:paraId="6C0D4BFE"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83,3</w:t>
            </w:r>
          </w:p>
        </w:tc>
        <w:tc>
          <w:tcPr>
            <w:tcW w:w="1337" w:type="dxa"/>
            <w:vAlign w:val="bottom"/>
          </w:tcPr>
          <w:p w14:paraId="55294BE1"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84</w:t>
            </w:r>
          </w:p>
        </w:tc>
        <w:tc>
          <w:tcPr>
            <w:tcW w:w="1337" w:type="dxa"/>
            <w:vAlign w:val="bottom"/>
          </w:tcPr>
          <w:p w14:paraId="2C50D347"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84,6</w:t>
            </w:r>
          </w:p>
        </w:tc>
        <w:tc>
          <w:tcPr>
            <w:tcW w:w="1337" w:type="dxa"/>
            <w:vAlign w:val="bottom"/>
          </w:tcPr>
          <w:p w14:paraId="33C60AC8"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85,2</w:t>
            </w:r>
          </w:p>
        </w:tc>
        <w:tc>
          <w:tcPr>
            <w:tcW w:w="1338" w:type="dxa"/>
            <w:vAlign w:val="bottom"/>
          </w:tcPr>
          <w:p w14:paraId="4F987924"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eastAsia="Times New Roman" w:cs="Times New Roman"/>
                <w:bCs/>
                <w:color w:val="000000"/>
                <w:lang w:val="pt-BR"/>
              </w:rPr>
              <w:t>85,8</w:t>
            </w:r>
          </w:p>
        </w:tc>
      </w:tr>
      <w:tr w:rsidR="00C566B2" w14:paraId="250CFEE5" w14:textId="77777777" w:rsidTr="00C566B2">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7D586CCE" w14:textId="77777777" w:rsidR="00264129" w:rsidRPr="00234CB8" w:rsidRDefault="00000000" w:rsidP="00264129">
            <w:pPr>
              <w:rPr>
                <w:rStyle w:val="normaltextrun"/>
                <w:rFonts w:cs="Times New Roman"/>
                <w:color w:val="000000" w:themeColor="text1"/>
              </w:rPr>
            </w:pPr>
            <w:r>
              <w:rPr>
                <w:rStyle w:val="normaltextrun"/>
                <w:rFonts w:eastAsia="Times New Roman" w:cs="Times New Roman"/>
                <w:b w:val="0"/>
                <w:bCs w:val="0"/>
                <w:color w:val="000000"/>
                <w:lang w:val="pt-BR"/>
              </w:rPr>
              <w:t>Alunos com deficiências</w:t>
            </w:r>
          </w:p>
        </w:tc>
        <w:tc>
          <w:tcPr>
            <w:tcW w:w="1337" w:type="dxa"/>
            <w:vAlign w:val="bottom"/>
          </w:tcPr>
          <w:p w14:paraId="445326A7"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51,8</w:t>
            </w:r>
          </w:p>
        </w:tc>
        <w:tc>
          <w:tcPr>
            <w:tcW w:w="1337" w:type="dxa"/>
            <w:vAlign w:val="bottom"/>
          </w:tcPr>
          <w:p w14:paraId="44FEAC69"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53,7</w:t>
            </w:r>
          </w:p>
        </w:tc>
        <w:tc>
          <w:tcPr>
            <w:tcW w:w="1337" w:type="dxa"/>
            <w:vAlign w:val="bottom"/>
          </w:tcPr>
          <w:p w14:paraId="79290684"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55,6</w:t>
            </w:r>
          </w:p>
        </w:tc>
        <w:tc>
          <w:tcPr>
            <w:tcW w:w="1337" w:type="dxa"/>
            <w:vAlign w:val="bottom"/>
          </w:tcPr>
          <w:p w14:paraId="35EBF602"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57,5</w:t>
            </w:r>
          </w:p>
        </w:tc>
        <w:tc>
          <w:tcPr>
            <w:tcW w:w="1337" w:type="dxa"/>
            <w:vAlign w:val="bottom"/>
          </w:tcPr>
          <w:p w14:paraId="38496E8A"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59,3</w:t>
            </w:r>
          </w:p>
        </w:tc>
        <w:tc>
          <w:tcPr>
            <w:tcW w:w="1337" w:type="dxa"/>
            <w:vAlign w:val="bottom"/>
          </w:tcPr>
          <w:p w14:paraId="7422665E"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61,2</w:t>
            </w:r>
          </w:p>
        </w:tc>
        <w:tc>
          <w:tcPr>
            <w:tcW w:w="1338" w:type="dxa"/>
            <w:vAlign w:val="bottom"/>
          </w:tcPr>
          <w:p w14:paraId="66BE13DD"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eastAsia="Times New Roman" w:cs="Times New Roman"/>
                <w:bCs/>
                <w:color w:val="000000"/>
                <w:lang w:val="pt-BR"/>
              </w:rPr>
              <w:t>63,1</w:t>
            </w:r>
          </w:p>
        </w:tc>
      </w:tr>
      <w:tr w:rsidR="00C566B2" w14:paraId="5AAE013B" w14:textId="77777777" w:rsidTr="00C566B2">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7E9B6976" w14:textId="77777777" w:rsidR="00264129" w:rsidRPr="00234CB8" w:rsidRDefault="00000000" w:rsidP="00264129">
            <w:pPr>
              <w:rPr>
                <w:rStyle w:val="normaltextrun"/>
                <w:rFonts w:cs="Times New Roman"/>
                <w:color w:val="000000" w:themeColor="text1"/>
              </w:rPr>
            </w:pPr>
            <w:r>
              <w:rPr>
                <w:rStyle w:val="normaltextrun"/>
                <w:rFonts w:eastAsia="Times New Roman" w:cs="Times New Roman"/>
                <w:b w:val="0"/>
                <w:bCs w:val="0"/>
                <w:color w:val="000000"/>
                <w:lang w:val="pt-BR"/>
              </w:rPr>
              <w:t>Duas ou mais raças</w:t>
            </w:r>
          </w:p>
        </w:tc>
        <w:tc>
          <w:tcPr>
            <w:tcW w:w="1337" w:type="dxa"/>
            <w:vAlign w:val="bottom"/>
          </w:tcPr>
          <w:p w14:paraId="2B29BEA4"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86,2</w:t>
            </w:r>
          </w:p>
        </w:tc>
        <w:tc>
          <w:tcPr>
            <w:tcW w:w="1337" w:type="dxa"/>
            <w:vAlign w:val="bottom"/>
          </w:tcPr>
          <w:p w14:paraId="7B836D45"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86,7</w:t>
            </w:r>
          </w:p>
        </w:tc>
        <w:tc>
          <w:tcPr>
            <w:tcW w:w="1337" w:type="dxa"/>
            <w:vAlign w:val="bottom"/>
          </w:tcPr>
          <w:p w14:paraId="7C03EC25"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87,1</w:t>
            </w:r>
          </w:p>
        </w:tc>
        <w:tc>
          <w:tcPr>
            <w:tcW w:w="1337" w:type="dxa"/>
            <w:vAlign w:val="bottom"/>
          </w:tcPr>
          <w:p w14:paraId="3D873FDA"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87,6</w:t>
            </w:r>
          </w:p>
        </w:tc>
        <w:tc>
          <w:tcPr>
            <w:tcW w:w="1337" w:type="dxa"/>
            <w:vAlign w:val="bottom"/>
          </w:tcPr>
          <w:p w14:paraId="08A96424"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88</w:t>
            </w:r>
          </w:p>
        </w:tc>
        <w:tc>
          <w:tcPr>
            <w:tcW w:w="1337" w:type="dxa"/>
            <w:vAlign w:val="bottom"/>
          </w:tcPr>
          <w:p w14:paraId="657379AA"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88,5</w:t>
            </w:r>
          </w:p>
        </w:tc>
        <w:tc>
          <w:tcPr>
            <w:tcW w:w="1338" w:type="dxa"/>
            <w:vAlign w:val="bottom"/>
          </w:tcPr>
          <w:p w14:paraId="1A0F5EA1" w14:textId="77777777" w:rsidR="00264129" w:rsidRPr="00234CB8" w:rsidRDefault="00000000" w:rsidP="00264129">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eastAsia="Times New Roman" w:cs="Times New Roman"/>
                <w:bCs/>
                <w:color w:val="000000"/>
                <w:lang w:val="pt-BR"/>
              </w:rPr>
              <w:t>88,9</w:t>
            </w:r>
          </w:p>
        </w:tc>
      </w:tr>
      <w:tr w:rsidR="00C566B2" w14:paraId="0DA18466" w14:textId="77777777" w:rsidTr="00C566B2">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60721DDB" w14:textId="77777777" w:rsidR="00264129" w:rsidRPr="00234CB8" w:rsidRDefault="00000000" w:rsidP="00264129">
            <w:pPr>
              <w:rPr>
                <w:rStyle w:val="normaltextrun"/>
                <w:rFonts w:cs="Times New Roman"/>
                <w:color w:val="000000" w:themeColor="text1"/>
              </w:rPr>
            </w:pPr>
            <w:r>
              <w:rPr>
                <w:rStyle w:val="normaltextrun"/>
                <w:rFonts w:eastAsia="Times New Roman" w:cs="Times New Roman"/>
                <w:b w:val="0"/>
                <w:bCs w:val="0"/>
                <w:color w:val="000000"/>
                <w:lang w:val="pt-BR"/>
              </w:rPr>
              <w:t xml:space="preserve">Branco </w:t>
            </w:r>
          </w:p>
        </w:tc>
        <w:tc>
          <w:tcPr>
            <w:tcW w:w="1337" w:type="dxa"/>
            <w:vAlign w:val="bottom"/>
          </w:tcPr>
          <w:p w14:paraId="14F04A34"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90</w:t>
            </w:r>
          </w:p>
        </w:tc>
        <w:tc>
          <w:tcPr>
            <w:tcW w:w="1337" w:type="dxa"/>
            <w:vAlign w:val="bottom"/>
          </w:tcPr>
          <w:p w14:paraId="615B7917"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90,3</w:t>
            </w:r>
          </w:p>
        </w:tc>
        <w:tc>
          <w:tcPr>
            <w:tcW w:w="1337" w:type="dxa"/>
            <w:vAlign w:val="bottom"/>
          </w:tcPr>
          <w:p w14:paraId="0D415D25"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90,6</w:t>
            </w:r>
          </w:p>
        </w:tc>
        <w:tc>
          <w:tcPr>
            <w:tcW w:w="1337" w:type="dxa"/>
            <w:vAlign w:val="bottom"/>
          </w:tcPr>
          <w:p w14:paraId="1F9F1C9A"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90,9</w:t>
            </w:r>
          </w:p>
        </w:tc>
        <w:tc>
          <w:tcPr>
            <w:tcW w:w="1337" w:type="dxa"/>
            <w:vAlign w:val="bottom"/>
          </w:tcPr>
          <w:p w14:paraId="3618F05A"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91,2</w:t>
            </w:r>
          </w:p>
        </w:tc>
        <w:tc>
          <w:tcPr>
            <w:tcW w:w="1337" w:type="dxa"/>
            <w:vAlign w:val="bottom"/>
          </w:tcPr>
          <w:p w14:paraId="75C96D35"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lang w:val="pt-BR"/>
              </w:rPr>
              <w:t>91,5</w:t>
            </w:r>
          </w:p>
        </w:tc>
        <w:tc>
          <w:tcPr>
            <w:tcW w:w="1338" w:type="dxa"/>
            <w:vAlign w:val="bottom"/>
          </w:tcPr>
          <w:p w14:paraId="4B6F7327" w14:textId="77777777" w:rsidR="00264129" w:rsidRPr="00234CB8" w:rsidRDefault="00000000" w:rsidP="0026412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eastAsia="Times New Roman" w:cs="Times New Roman"/>
                <w:bCs/>
                <w:color w:val="000000"/>
                <w:lang w:val="pt-BR"/>
              </w:rPr>
              <w:t>91,8</w:t>
            </w:r>
          </w:p>
        </w:tc>
      </w:tr>
    </w:tbl>
    <w:p w14:paraId="0860FFBF" w14:textId="77777777" w:rsidR="00512C51" w:rsidRPr="00856537" w:rsidRDefault="00000000" w:rsidP="00856537">
      <w:pPr>
        <w:pStyle w:val="A20"/>
        <w:spacing w:before="360" w:after="240"/>
      </w:pPr>
      <w:bookmarkStart w:id="261" w:name="_Toc171333332"/>
      <w:bookmarkStart w:id="262" w:name="_Toc199403824"/>
      <w:r>
        <w:t>C. Progresso na obtenção da proficiência em inglês</w:t>
      </w:r>
      <w:bookmarkEnd w:id="261"/>
      <w:bookmarkEnd w:id="262"/>
      <w:r>
        <w:t xml:space="preserve"> </w:t>
      </w:r>
    </w:p>
    <w:p w14:paraId="0C3FE8D4" w14:textId="77777777" w:rsidR="00512C51" w:rsidRPr="00CC1CB4" w:rsidRDefault="00000000" w:rsidP="00F86F30">
      <w:pPr>
        <w:pStyle w:val="aff0"/>
        <w:rPr>
          <w:lang w:val="es-ES"/>
        </w:rPr>
      </w:pPr>
      <w:r>
        <w:rPr>
          <w:rFonts w:eastAsia="Cambria"/>
          <w:lang w:val="pt-BR"/>
        </w:rPr>
        <w:t>Figura Anexo.A.6: Progresso em direção às metas provisórias de proficiência em inglês</w:t>
      </w:r>
    </w:p>
    <w:tbl>
      <w:tblPr>
        <w:tblStyle w:val="4-10"/>
        <w:tblW w:w="12775"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CellMar>
          <w:top w:w="58" w:type="dxa"/>
          <w:left w:w="58" w:type="dxa"/>
          <w:bottom w:w="58" w:type="dxa"/>
          <w:right w:w="58" w:type="dxa"/>
        </w:tblCellMar>
        <w:tblLook w:val="04A0" w:firstRow="1" w:lastRow="0" w:firstColumn="1" w:lastColumn="0" w:noHBand="0" w:noVBand="1"/>
      </w:tblPr>
      <w:tblGrid>
        <w:gridCol w:w="3415"/>
        <w:gridCol w:w="1337"/>
        <w:gridCol w:w="1337"/>
        <w:gridCol w:w="1337"/>
        <w:gridCol w:w="1337"/>
        <w:gridCol w:w="1337"/>
        <w:gridCol w:w="1337"/>
        <w:gridCol w:w="1338"/>
      </w:tblGrid>
      <w:tr w:rsidR="00C566B2" w14:paraId="7FFB24C0" w14:textId="77777777" w:rsidTr="00C566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tcBorders>
              <w:right w:val="single" w:sz="4" w:space="0" w:color="FFFFFF" w:themeColor="background1"/>
            </w:tcBorders>
            <w:shd w:val="clear" w:color="auto" w:fill="215868"/>
            <w:vAlign w:val="center"/>
          </w:tcPr>
          <w:p w14:paraId="0AD3C777" w14:textId="77777777" w:rsidR="00512C51" w:rsidRPr="00DD06D9" w:rsidRDefault="00000000">
            <w:pPr>
              <w:rPr>
                <w:rFonts w:cs="Times New Roman"/>
                <w:b w:val="0"/>
                <w:bCs w:val="0"/>
              </w:rPr>
            </w:pPr>
            <w:r>
              <w:rPr>
                <w:rFonts w:eastAsia="Times New Roman" w:cs="Times New Roman"/>
                <w:color w:val="FFFFFF"/>
                <w:lang w:val="pt-BR"/>
              </w:rPr>
              <w:t>Grupo/Dados demográficos</w:t>
            </w:r>
          </w:p>
        </w:tc>
        <w:tc>
          <w:tcPr>
            <w:tcW w:w="1337" w:type="dxa"/>
            <w:tcBorders>
              <w:left w:val="single" w:sz="4" w:space="0" w:color="FFFFFF" w:themeColor="background1"/>
              <w:right w:val="single" w:sz="4" w:space="0" w:color="FFFFFF" w:themeColor="background1"/>
            </w:tcBorders>
            <w:shd w:val="clear" w:color="auto" w:fill="215868"/>
          </w:tcPr>
          <w:p w14:paraId="7997C76A" w14:textId="77777777" w:rsidR="00512C51"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Avaliação inicial de 2022-2023</w:t>
            </w:r>
          </w:p>
        </w:tc>
        <w:tc>
          <w:tcPr>
            <w:tcW w:w="1337" w:type="dxa"/>
            <w:tcBorders>
              <w:left w:val="single" w:sz="4" w:space="0" w:color="FFFFFF" w:themeColor="background1"/>
              <w:right w:val="single" w:sz="4" w:space="0" w:color="FFFFFF" w:themeColor="background1"/>
            </w:tcBorders>
            <w:shd w:val="clear" w:color="auto" w:fill="215868"/>
          </w:tcPr>
          <w:p w14:paraId="4ECA2DA2" w14:textId="77777777" w:rsidR="00512C51"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Meta de 2023-2024</w:t>
            </w:r>
          </w:p>
        </w:tc>
        <w:tc>
          <w:tcPr>
            <w:tcW w:w="1337" w:type="dxa"/>
            <w:tcBorders>
              <w:left w:val="single" w:sz="4" w:space="0" w:color="FFFFFF" w:themeColor="background1"/>
              <w:right w:val="single" w:sz="4" w:space="0" w:color="FFFFFF" w:themeColor="background1"/>
            </w:tcBorders>
            <w:shd w:val="clear" w:color="auto" w:fill="215868"/>
          </w:tcPr>
          <w:p w14:paraId="3D459112" w14:textId="77777777" w:rsidR="00512C51"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Meta de 2024-2025</w:t>
            </w:r>
          </w:p>
        </w:tc>
        <w:tc>
          <w:tcPr>
            <w:tcW w:w="1337" w:type="dxa"/>
            <w:tcBorders>
              <w:left w:val="single" w:sz="4" w:space="0" w:color="FFFFFF" w:themeColor="background1"/>
              <w:right w:val="single" w:sz="4" w:space="0" w:color="FFFFFF" w:themeColor="background1"/>
            </w:tcBorders>
            <w:shd w:val="clear" w:color="auto" w:fill="215868"/>
          </w:tcPr>
          <w:p w14:paraId="30DB24A0" w14:textId="77777777" w:rsidR="00512C51"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Meta de 2025-2026</w:t>
            </w:r>
          </w:p>
        </w:tc>
        <w:tc>
          <w:tcPr>
            <w:tcW w:w="1337" w:type="dxa"/>
            <w:tcBorders>
              <w:left w:val="single" w:sz="4" w:space="0" w:color="FFFFFF" w:themeColor="background1"/>
              <w:right w:val="single" w:sz="4" w:space="0" w:color="FFFFFF" w:themeColor="background1"/>
            </w:tcBorders>
            <w:shd w:val="clear" w:color="auto" w:fill="215868"/>
          </w:tcPr>
          <w:p w14:paraId="6218D3BB" w14:textId="77777777" w:rsidR="00512C51"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Meta de 2026-2027</w:t>
            </w:r>
          </w:p>
        </w:tc>
        <w:tc>
          <w:tcPr>
            <w:tcW w:w="1337" w:type="dxa"/>
            <w:tcBorders>
              <w:left w:val="single" w:sz="4" w:space="0" w:color="FFFFFF" w:themeColor="background1"/>
              <w:right w:val="single" w:sz="4" w:space="0" w:color="FFFFFF" w:themeColor="background1"/>
            </w:tcBorders>
            <w:shd w:val="clear" w:color="auto" w:fill="215868"/>
          </w:tcPr>
          <w:p w14:paraId="6D7FA351" w14:textId="77777777" w:rsidR="00512C51"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Meta de 2027-2028</w:t>
            </w:r>
          </w:p>
        </w:tc>
        <w:tc>
          <w:tcPr>
            <w:tcW w:w="1338" w:type="dxa"/>
            <w:tcBorders>
              <w:left w:val="single" w:sz="4" w:space="0" w:color="FFFFFF" w:themeColor="background1"/>
            </w:tcBorders>
            <w:shd w:val="clear" w:color="auto" w:fill="215868"/>
          </w:tcPr>
          <w:p w14:paraId="54A95A54" w14:textId="77777777" w:rsidR="00512C51" w:rsidRPr="00DD06D9"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lang w:val="pt-BR"/>
              </w:rPr>
              <w:t>Meta de 2028-2029</w:t>
            </w:r>
          </w:p>
        </w:tc>
      </w:tr>
      <w:tr w:rsidR="00C566B2" w14:paraId="6BB291FB" w14:textId="77777777" w:rsidTr="00C56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60BDCA97" w14:textId="77777777" w:rsidR="00512C51" w:rsidRPr="00CC1CB4" w:rsidRDefault="00000000" w:rsidP="004D2055">
            <w:pPr>
              <w:rPr>
                <w:b w:val="0"/>
                <w:bCs w:val="0"/>
                <w:lang w:val="es-ES"/>
              </w:rPr>
            </w:pPr>
            <w:r>
              <w:rPr>
                <w:rStyle w:val="normaltextrun"/>
                <w:rFonts w:eastAsia="Times New Roman" w:cs="Times New Roman"/>
                <w:b w:val="0"/>
                <w:bCs w:val="0"/>
                <w:lang w:val="pt-BR"/>
              </w:rPr>
              <w:t xml:space="preserve">Alunos multilíngues em todo o estado </w:t>
            </w:r>
          </w:p>
        </w:tc>
        <w:tc>
          <w:tcPr>
            <w:tcW w:w="1337" w:type="dxa"/>
            <w:shd w:val="clear" w:color="auto" w:fill="DBE5F1"/>
          </w:tcPr>
          <w:p w14:paraId="6C11F1F9"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eastAsia="Times New Roman" w:cs="Times New Roman"/>
                <w:bCs/>
                <w:lang w:val="pt-BR"/>
              </w:rPr>
              <w:t>28,6%</w:t>
            </w:r>
          </w:p>
        </w:tc>
        <w:tc>
          <w:tcPr>
            <w:tcW w:w="1337" w:type="dxa"/>
            <w:shd w:val="clear" w:color="auto" w:fill="DBE5F1"/>
          </w:tcPr>
          <w:p w14:paraId="077CC59C"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eastAsia="Times New Roman" w:cs="Times New Roman"/>
                <w:lang w:val="pt-BR"/>
              </w:rPr>
              <w:t>29,6%</w:t>
            </w:r>
          </w:p>
        </w:tc>
        <w:tc>
          <w:tcPr>
            <w:tcW w:w="1337" w:type="dxa"/>
            <w:shd w:val="clear" w:color="auto" w:fill="DBE5F1"/>
          </w:tcPr>
          <w:p w14:paraId="58B5B7BB"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eastAsia="Times New Roman" w:cs="Times New Roman"/>
                <w:lang w:val="pt-BR"/>
              </w:rPr>
              <w:t>30,6%</w:t>
            </w:r>
          </w:p>
        </w:tc>
        <w:tc>
          <w:tcPr>
            <w:tcW w:w="1337" w:type="dxa"/>
            <w:shd w:val="clear" w:color="auto" w:fill="DBE5F1"/>
          </w:tcPr>
          <w:p w14:paraId="4E565467"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eastAsia="Times New Roman" w:cs="Times New Roman"/>
                <w:lang w:val="pt-BR"/>
              </w:rPr>
              <w:t>31,6%</w:t>
            </w:r>
          </w:p>
        </w:tc>
        <w:tc>
          <w:tcPr>
            <w:tcW w:w="1337" w:type="dxa"/>
            <w:shd w:val="clear" w:color="auto" w:fill="DBE5F1"/>
          </w:tcPr>
          <w:p w14:paraId="60F0DA98"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eastAsia="Times New Roman" w:cs="Times New Roman"/>
                <w:lang w:val="pt-BR"/>
              </w:rPr>
              <w:t>32,6%</w:t>
            </w:r>
          </w:p>
        </w:tc>
        <w:tc>
          <w:tcPr>
            <w:tcW w:w="1337" w:type="dxa"/>
            <w:shd w:val="clear" w:color="auto" w:fill="DBE5F1"/>
          </w:tcPr>
          <w:p w14:paraId="12FED7A2"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eastAsia="Times New Roman" w:cs="Times New Roman"/>
                <w:lang w:val="pt-BR"/>
              </w:rPr>
              <w:t>33,6%</w:t>
            </w:r>
          </w:p>
        </w:tc>
        <w:tc>
          <w:tcPr>
            <w:tcW w:w="1338" w:type="dxa"/>
            <w:shd w:val="clear" w:color="auto" w:fill="DBE5F1"/>
          </w:tcPr>
          <w:p w14:paraId="55A3103B"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r>
              <w:rPr>
                <w:rFonts w:eastAsia="Times New Roman" w:cs="Times New Roman"/>
                <w:color w:val="000000"/>
                <w:lang w:val="pt-BR"/>
              </w:rPr>
              <w:t>34,6%</w:t>
            </w:r>
          </w:p>
        </w:tc>
      </w:tr>
      <w:tr w:rsidR="00C566B2" w14:paraId="67AA6F33" w14:textId="77777777" w:rsidTr="00C566B2">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3C972F43" w14:textId="77777777" w:rsidR="00512C51" w:rsidRPr="00CC1CB4" w:rsidRDefault="00000000" w:rsidP="004D2055">
            <w:pPr>
              <w:rPr>
                <w:b w:val="0"/>
                <w:bCs w:val="0"/>
                <w:lang w:val="es-ES"/>
              </w:rPr>
            </w:pPr>
            <w:r>
              <w:rPr>
                <w:rStyle w:val="normaltextrun"/>
                <w:rFonts w:eastAsia="Times New Roman" w:cs="Times New Roman"/>
                <w:b w:val="0"/>
                <w:bCs w:val="0"/>
                <w:lang w:val="pt-BR"/>
              </w:rPr>
              <w:lastRenderedPageBreak/>
              <w:t>Escolas/LEAs que atendem até o 5º ano</w:t>
            </w:r>
          </w:p>
        </w:tc>
        <w:tc>
          <w:tcPr>
            <w:tcW w:w="1337" w:type="dxa"/>
          </w:tcPr>
          <w:p w14:paraId="0EFCF888" w14:textId="77777777" w:rsidR="00512C51" w:rsidRPr="00DD06D9"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eastAsia="Times New Roman" w:cs="Times New Roman"/>
                <w:bCs/>
                <w:lang w:val="pt-BR"/>
              </w:rPr>
              <w:t>43,0%</w:t>
            </w:r>
          </w:p>
        </w:tc>
        <w:tc>
          <w:tcPr>
            <w:tcW w:w="1337" w:type="dxa"/>
          </w:tcPr>
          <w:p w14:paraId="19D72F0F" w14:textId="77777777" w:rsidR="00512C51" w:rsidRPr="00DD06D9"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eastAsia="Times New Roman" w:cs="Times New Roman"/>
                <w:lang w:val="pt-BR"/>
              </w:rPr>
              <w:t>44,0%</w:t>
            </w:r>
          </w:p>
        </w:tc>
        <w:tc>
          <w:tcPr>
            <w:tcW w:w="1337" w:type="dxa"/>
          </w:tcPr>
          <w:p w14:paraId="6F350805" w14:textId="77777777" w:rsidR="00512C51" w:rsidRPr="00DD06D9"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eastAsia="Times New Roman" w:cs="Times New Roman"/>
                <w:lang w:val="pt-BR"/>
              </w:rPr>
              <w:t>45,0%</w:t>
            </w:r>
          </w:p>
        </w:tc>
        <w:tc>
          <w:tcPr>
            <w:tcW w:w="1337" w:type="dxa"/>
          </w:tcPr>
          <w:p w14:paraId="6081A326" w14:textId="77777777" w:rsidR="00512C51" w:rsidRPr="00DD06D9"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eastAsia="Times New Roman" w:cs="Times New Roman"/>
                <w:lang w:val="pt-BR"/>
              </w:rPr>
              <w:t>46,0%</w:t>
            </w:r>
          </w:p>
        </w:tc>
        <w:tc>
          <w:tcPr>
            <w:tcW w:w="1337" w:type="dxa"/>
          </w:tcPr>
          <w:p w14:paraId="685CC20B" w14:textId="77777777" w:rsidR="00512C51" w:rsidRPr="00DD06D9"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eastAsia="Times New Roman" w:cs="Times New Roman"/>
                <w:lang w:val="pt-BR"/>
              </w:rPr>
              <w:t>47,0%</w:t>
            </w:r>
          </w:p>
        </w:tc>
        <w:tc>
          <w:tcPr>
            <w:tcW w:w="1337" w:type="dxa"/>
          </w:tcPr>
          <w:p w14:paraId="498D06A6" w14:textId="77777777" w:rsidR="00512C51" w:rsidRPr="00DD06D9"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eastAsia="Times New Roman" w:cs="Times New Roman"/>
                <w:lang w:val="pt-BR"/>
              </w:rPr>
              <w:t>48,0%</w:t>
            </w:r>
          </w:p>
        </w:tc>
        <w:tc>
          <w:tcPr>
            <w:tcW w:w="1338" w:type="dxa"/>
          </w:tcPr>
          <w:p w14:paraId="4244E24D" w14:textId="77777777" w:rsidR="00512C51" w:rsidRPr="00DD06D9" w:rsidRDefault="00000000">
            <w:pPr>
              <w:jc w:val="center"/>
              <w:cnfStyle w:val="000000000000" w:firstRow="0" w:lastRow="0" w:firstColumn="0" w:lastColumn="0" w:oddVBand="0" w:evenVBand="0" w:oddHBand="0" w:evenHBand="0" w:firstRowFirstColumn="0" w:firstRowLastColumn="0" w:lastRowFirstColumn="0" w:lastRowLastColumn="0"/>
              <w:rPr>
                <w:rFonts w:cs="Times New Roman"/>
                <w:color w:val="000000"/>
              </w:rPr>
            </w:pPr>
            <w:r>
              <w:rPr>
                <w:rFonts w:eastAsia="Times New Roman" w:cs="Times New Roman"/>
                <w:color w:val="000000"/>
                <w:lang w:val="pt-BR"/>
              </w:rPr>
              <w:t>49,0%</w:t>
            </w:r>
          </w:p>
        </w:tc>
      </w:tr>
      <w:tr w:rsidR="00C566B2" w14:paraId="4DE0D2BD" w14:textId="77777777" w:rsidTr="00C56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1078DF75" w14:textId="77777777" w:rsidR="00512C51" w:rsidRPr="00CC1CB4" w:rsidRDefault="00000000" w:rsidP="004D2055">
            <w:pPr>
              <w:rPr>
                <w:b w:val="0"/>
                <w:bCs w:val="0"/>
                <w:lang w:val="es-ES"/>
              </w:rPr>
            </w:pPr>
            <w:r>
              <w:rPr>
                <w:rStyle w:val="normaltextrun"/>
                <w:rFonts w:eastAsia="Times New Roman" w:cs="Times New Roman"/>
                <w:b w:val="0"/>
                <w:bCs w:val="0"/>
                <w:lang w:val="pt-BR"/>
              </w:rPr>
              <w:t>Escolas/LEAs que atendem acima do 5º ano</w:t>
            </w:r>
          </w:p>
        </w:tc>
        <w:tc>
          <w:tcPr>
            <w:tcW w:w="1337" w:type="dxa"/>
            <w:shd w:val="clear" w:color="auto" w:fill="DBE5F1"/>
          </w:tcPr>
          <w:p w14:paraId="08213C83"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eastAsia="Times New Roman" w:cs="Times New Roman"/>
                <w:bCs/>
                <w:lang w:val="pt-BR"/>
              </w:rPr>
              <w:t>21,7%</w:t>
            </w:r>
          </w:p>
        </w:tc>
        <w:tc>
          <w:tcPr>
            <w:tcW w:w="1337" w:type="dxa"/>
            <w:shd w:val="clear" w:color="auto" w:fill="DBE5F1"/>
          </w:tcPr>
          <w:p w14:paraId="7E1B191F"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eastAsia="Times New Roman" w:cs="Times New Roman"/>
                <w:lang w:val="pt-BR"/>
              </w:rPr>
              <w:t>22,7%</w:t>
            </w:r>
          </w:p>
        </w:tc>
        <w:tc>
          <w:tcPr>
            <w:tcW w:w="1337" w:type="dxa"/>
            <w:shd w:val="clear" w:color="auto" w:fill="DBE5F1"/>
          </w:tcPr>
          <w:p w14:paraId="709FA88E"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eastAsia="Times New Roman" w:cs="Times New Roman"/>
                <w:lang w:val="pt-BR"/>
              </w:rPr>
              <w:t>23,7%</w:t>
            </w:r>
          </w:p>
        </w:tc>
        <w:tc>
          <w:tcPr>
            <w:tcW w:w="1337" w:type="dxa"/>
            <w:shd w:val="clear" w:color="auto" w:fill="DBE5F1"/>
          </w:tcPr>
          <w:p w14:paraId="381237D0"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eastAsia="Times New Roman" w:cs="Times New Roman"/>
                <w:lang w:val="pt-BR"/>
              </w:rPr>
              <w:t>24,7%</w:t>
            </w:r>
          </w:p>
        </w:tc>
        <w:tc>
          <w:tcPr>
            <w:tcW w:w="1337" w:type="dxa"/>
            <w:shd w:val="clear" w:color="auto" w:fill="DBE5F1"/>
          </w:tcPr>
          <w:p w14:paraId="2DF3F384"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eastAsia="Times New Roman" w:cs="Times New Roman"/>
                <w:lang w:val="pt-BR"/>
              </w:rPr>
              <w:t>25,7%</w:t>
            </w:r>
          </w:p>
        </w:tc>
        <w:tc>
          <w:tcPr>
            <w:tcW w:w="1337" w:type="dxa"/>
            <w:shd w:val="clear" w:color="auto" w:fill="DBE5F1"/>
          </w:tcPr>
          <w:p w14:paraId="02D1D757"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eastAsia="Times New Roman" w:cs="Times New Roman"/>
                <w:lang w:val="pt-BR"/>
              </w:rPr>
              <w:t>26,7%</w:t>
            </w:r>
          </w:p>
        </w:tc>
        <w:tc>
          <w:tcPr>
            <w:tcW w:w="1338" w:type="dxa"/>
            <w:shd w:val="clear" w:color="auto" w:fill="DBE5F1"/>
          </w:tcPr>
          <w:p w14:paraId="473EC38D" w14:textId="77777777" w:rsidR="00512C51" w:rsidRPr="00DD06D9" w:rsidRDefault="00000000">
            <w:pPr>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r>
              <w:rPr>
                <w:rFonts w:eastAsia="Times New Roman" w:cs="Times New Roman"/>
                <w:color w:val="000000"/>
                <w:lang w:val="pt-BR"/>
              </w:rPr>
              <w:t>27,7%</w:t>
            </w:r>
          </w:p>
        </w:tc>
      </w:tr>
    </w:tbl>
    <w:p w14:paraId="45017753" w14:textId="77777777" w:rsidR="00BE57EC" w:rsidRPr="00856537" w:rsidRDefault="00BE57EC" w:rsidP="00856537">
      <w:pPr>
        <w:sectPr w:rsidR="00BE57EC" w:rsidRPr="00856537" w:rsidSect="00BE57EC">
          <w:pgSz w:w="15840" w:h="12240" w:orient="landscape"/>
          <w:pgMar w:top="1440" w:right="1440" w:bottom="1440" w:left="1440" w:header="864" w:footer="864" w:gutter="0"/>
          <w:cols w:space="720"/>
          <w:noEndnote/>
          <w:titlePg/>
          <w:docGrid w:linePitch="299"/>
        </w:sectPr>
      </w:pPr>
    </w:p>
    <w:p w14:paraId="644B7CBF" w14:textId="77777777" w:rsidR="00221C5C" w:rsidRPr="00C04CDD" w:rsidRDefault="00000000" w:rsidP="0051040D">
      <w:pPr>
        <w:pStyle w:val="1"/>
        <w:rPr>
          <w:lang w:val="fr-FR"/>
        </w:rPr>
      </w:pPr>
      <w:bookmarkStart w:id="263" w:name="_Toc211004658"/>
      <w:r>
        <w:rPr>
          <w:rFonts w:eastAsia="Cambria"/>
          <w:szCs w:val="36"/>
          <w:lang w:val="pt-BR"/>
        </w:rPr>
        <w:lastRenderedPageBreak/>
        <w:t>Anexo B: Lei de Disposições Gerais de Educação (Seção 427)</w:t>
      </w:r>
      <w:bookmarkEnd w:id="263"/>
      <w:r>
        <w:rPr>
          <w:rFonts w:eastAsia="Cambria"/>
          <w:szCs w:val="36"/>
          <w:lang w:val="pt-BR"/>
        </w:rPr>
        <w:t xml:space="preserve"> </w:t>
      </w:r>
    </w:p>
    <w:p w14:paraId="3EFDA42C" w14:textId="77777777" w:rsidR="00221C5C" w:rsidRPr="00CC1CB4" w:rsidRDefault="00000000" w:rsidP="00221C5C">
      <w:pPr>
        <w:rPr>
          <w:rFonts w:cs="Times New Roman"/>
          <w:color w:val="000000" w:themeColor="text1"/>
          <w:lang w:val="es-ES"/>
        </w:rPr>
      </w:pPr>
      <w:r>
        <w:rPr>
          <w:rFonts w:eastAsia="Times New Roman" w:cs="Times New Roman"/>
          <w:color w:val="000000"/>
          <w:lang w:val="pt-BR"/>
        </w:rPr>
        <w:t xml:space="preserve">[iniciar a resposta do NJDOE] </w:t>
      </w:r>
    </w:p>
    <w:p w14:paraId="238FFE55" w14:textId="77777777" w:rsidR="00221C5C" w:rsidRPr="00CC1CB4" w:rsidRDefault="00000000" w:rsidP="00221C5C">
      <w:pPr>
        <w:rPr>
          <w:color w:val="000000" w:themeColor="text1"/>
          <w:lang w:val="es-ES"/>
        </w:rPr>
      </w:pPr>
      <w:r>
        <w:rPr>
          <w:rFonts w:eastAsia="Times New Roman" w:cs="Arial"/>
          <w:color w:val="000000"/>
          <w:lang w:val="pt-BR"/>
        </w:rPr>
        <w:t xml:space="preserve">O NJDOE continua comprometida em fornecer aos alunos acesso equitativo e participação em programas educacionais de acordo com as proteções de direitos civis estaduais e federais, incluindo a seção 427 da Lei de Disposições Gerais de Educação (General Education Provisions Act, GEPA). A Seção 427 da GEPA está alinhada com o compromisso do NJDOE de garantir que todos os alunos recebam uma educação de alta qualidade. </w:t>
      </w:r>
    </w:p>
    <w:p w14:paraId="661CCE41" w14:textId="77777777" w:rsidR="00221C5C" w:rsidRPr="00CC1CB4" w:rsidRDefault="00000000" w:rsidP="00221C5C">
      <w:pPr>
        <w:rPr>
          <w:color w:val="000000" w:themeColor="text1"/>
          <w:lang w:val="es-ES"/>
        </w:rPr>
      </w:pPr>
      <w:r>
        <w:rPr>
          <w:rFonts w:eastAsia="Times New Roman" w:cs="Arial"/>
          <w:color w:val="000000"/>
          <w:lang w:val="pt-BR"/>
        </w:rPr>
        <w:t xml:space="preserve">Em Nova Jersey, todos os distritos que implementam programas da ESSA também devem cumprir a N.J.A.C. 6A:7, Managing for Equity in Education. Estes regulamentos asseguram que todos os alunos “tenham acesso igualitário a atividades e programas educacionais pelos conselhos de educação do distrito”. </w:t>
      </w:r>
    </w:p>
    <w:p w14:paraId="7A218979" w14:textId="77777777" w:rsidR="00221C5C" w:rsidRPr="00CC1CB4" w:rsidRDefault="00000000" w:rsidP="00221C5C">
      <w:pPr>
        <w:rPr>
          <w:color w:val="000000" w:themeColor="text1"/>
          <w:lang w:val="es-ES"/>
        </w:rPr>
      </w:pPr>
      <w:r>
        <w:rPr>
          <w:rFonts w:eastAsia="Times New Roman" w:cs="Arial"/>
          <w:color w:val="000000"/>
          <w:lang w:val="pt-BR"/>
        </w:rPr>
        <w:t xml:space="preserve">De acordo com o N.J.A.C. 6A:7, cada LEA deve desenvolver e enviar ao NJDOE um plano de ações abrangente a cada três anos. O plano de equidade abrangente deve identificar e corrigir todas as práticas educacionais discriminatórias e desiguais que afetam as instalações, programas, alunos e funcionários da LEA. Os regulamentos também exigem que as LEAs, antes de desenvolver seus planos abrangentes de equidade, avalie suas necessidades para alcançar a equidade em programas educacionais em termos de conteúdo e acesso. </w:t>
      </w:r>
    </w:p>
    <w:p w14:paraId="73A3DC71" w14:textId="77777777" w:rsidR="00221C5C" w:rsidRPr="00012C36" w:rsidRDefault="00000000" w:rsidP="00221C5C">
      <w:pPr>
        <w:rPr>
          <w:color w:val="000000" w:themeColor="text1"/>
        </w:rPr>
      </w:pPr>
      <w:r>
        <w:rPr>
          <w:rFonts w:eastAsia="Times New Roman" w:cs="Arial"/>
          <w:color w:val="000000"/>
          <w:lang w:val="pt-BR"/>
        </w:rPr>
        <w:t xml:space="preserve">O NJDOE identificará se as barreiras podem impedir que alunos, professores etc., acessem ou participem de projetos ou atividades financiadas pelo governo federal e tomará as medidas necessárias para superar as barreiras ao acesso equitativo a todos os programas financiados pelo governo federal incluídos aqui. Essas etapas incluirão, entre outras: </w:t>
      </w:r>
    </w:p>
    <w:p w14:paraId="704CD40F" w14:textId="77777777" w:rsidR="00221C5C" w:rsidRPr="00CC1CB4" w:rsidRDefault="00000000" w:rsidP="00221C5C">
      <w:pPr>
        <w:pStyle w:val="a6"/>
        <w:numPr>
          <w:ilvl w:val="0"/>
          <w:numId w:val="219"/>
        </w:numPr>
        <w:spacing w:after="160" w:line="259" w:lineRule="auto"/>
        <w:rPr>
          <w:color w:val="000000" w:themeColor="text1"/>
          <w:lang w:val="es-ES"/>
        </w:rPr>
      </w:pPr>
      <w:r>
        <w:rPr>
          <w:rFonts w:eastAsia="Times New Roman" w:cs="Arial"/>
          <w:color w:val="000000"/>
          <w:lang w:val="pt-BR"/>
        </w:rPr>
        <w:t xml:space="preserve">garantir a conformidade da LEA com a seção 427 da GEPA para todos os programas financiados pelo governo federal e com os regulamentos estaduais relativos à equidade; </w:t>
      </w:r>
    </w:p>
    <w:p w14:paraId="4E702AC6" w14:textId="77777777" w:rsidR="00221C5C" w:rsidRPr="00CC1CB4" w:rsidRDefault="00000000" w:rsidP="00221C5C">
      <w:pPr>
        <w:pStyle w:val="a6"/>
        <w:numPr>
          <w:ilvl w:val="0"/>
          <w:numId w:val="219"/>
        </w:numPr>
        <w:spacing w:after="160" w:line="259" w:lineRule="auto"/>
        <w:rPr>
          <w:color w:val="000000" w:themeColor="text1"/>
          <w:lang w:val="es-ES"/>
        </w:rPr>
      </w:pPr>
      <w:r>
        <w:rPr>
          <w:rFonts w:eastAsia="Times New Roman" w:cs="Arial"/>
          <w:color w:val="000000"/>
          <w:lang w:val="pt-BR"/>
        </w:rPr>
        <w:t xml:space="preserve">garantir que os materiais educacionais relacionados à ESSA sejam acessíveis a indivíduos com deficiências e alunos multilíngues (incluindo tradução de material, quando apropriado); </w:t>
      </w:r>
    </w:p>
    <w:p w14:paraId="4025DA5A" w14:textId="77777777" w:rsidR="00221C5C" w:rsidRPr="00CC1CB4" w:rsidRDefault="00000000" w:rsidP="00221C5C">
      <w:pPr>
        <w:pStyle w:val="a6"/>
        <w:numPr>
          <w:ilvl w:val="0"/>
          <w:numId w:val="219"/>
        </w:numPr>
        <w:spacing w:after="160" w:line="259" w:lineRule="auto"/>
        <w:rPr>
          <w:color w:val="000000" w:themeColor="text1"/>
          <w:lang w:val="es-ES"/>
        </w:rPr>
      </w:pPr>
      <w:r>
        <w:rPr>
          <w:rFonts w:eastAsia="Times New Roman" w:cs="Arial"/>
          <w:color w:val="000000"/>
          <w:lang w:val="pt-BR"/>
        </w:rPr>
        <w:t xml:space="preserve">fornecer orientação e assistência técnica para garantir que as LEAs obtenham informações das partes interessadas sobre as necessidades dos alunos e programas financiados pelo governo federal para abordar essas necessidades de populações tradicionalmente sub-representadas, incluindo pais e famílias de alunos com deficiências, alunos multilíngues e alunos economicamente desfavorecidos. </w:t>
      </w:r>
    </w:p>
    <w:p w14:paraId="0736822B" w14:textId="77777777" w:rsidR="00313A01" w:rsidRPr="00CC1CB4" w:rsidRDefault="00000000">
      <w:pPr>
        <w:rPr>
          <w:color w:val="000000" w:themeColor="text1"/>
          <w:lang w:val="es-ES"/>
        </w:rPr>
      </w:pPr>
      <w:r>
        <w:rPr>
          <w:rFonts w:eastAsia="Times New Roman" w:cs="Arial"/>
          <w:color w:val="000000"/>
          <w:lang w:val="pt-BR"/>
        </w:rPr>
        <w:t>De acordo com a seção 427 da GEPA, o NJDOE continuará a garantir a conformidade com essas regulamentações no que diz respeito a todos os programas educacionais desenvolvidos localmente, incluindo aqueles sob a ESSA.</w:t>
      </w:r>
      <w:r>
        <w:rPr>
          <w:rFonts w:eastAsia="Times New Roman" w:cs="Arial"/>
          <w:color w:val="000000"/>
          <w:lang w:val="pt-BR"/>
        </w:rPr>
        <w:br w:type="page"/>
      </w:r>
    </w:p>
    <w:p w14:paraId="512C6C6F" w14:textId="77777777" w:rsidR="00A17CC7" w:rsidRPr="00CC1CB4" w:rsidRDefault="00000000" w:rsidP="0051040D">
      <w:pPr>
        <w:pStyle w:val="1"/>
        <w:rPr>
          <w:lang w:val="es-ES"/>
        </w:rPr>
      </w:pPr>
      <w:bookmarkStart w:id="264" w:name="_Toc211004659"/>
      <w:r>
        <w:rPr>
          <w:rFonts w:eastAsia="Cambria"/>
          <w:szCs w:val="36"/>
          <w:lang w:val="pt-BR"/>
        </w:rPr>
        <w:lastRenderedPageBreak/>
        <w:t>Anexo C</w:t>
      </w:r>
      <w:bookmarkStart w:id="265" w:name="_Toc171333340"/>
      <w:r>
        <w:rPr>
          <w:rFonts w:eastAsia="Cambria"/>
          <w:szCs w:val="36"/>
          <w:lang w:val="pt-BR"/>
        </w:rPr>
        <w:t>: Versões de texto dos diagramas</w:t>
      </w:r>
      <w:bookmarkEnd w:id="264"/>
      <w:bookmarkEnd w:id="265"/>
    </w:p>
    <w:p w14:paraId="3048BCBC" w14:textId="77777777" w:rsidR="00A17CC7" w:rsidRPr="00856537" w:rsidRDefault="00000000" w:rsidP="00856537">
      <w:pPr>
        <w:pStyle w:val="A20"/>
        <w:spacing w:before="0"/>
      </w:pPr>
      <w:bookmarkStart w:id="266" w:name="_NJ_ESSA_State"/>
      <w:bookmarkStart w:id="267" w:name="_Toc199403827"/>
      <w:bookmarkEnd w:id="266"/>
      <w:r>
        <w:t>Cronograma do plano estadual da ESSA de NJ</w:t>
      </w:r>
      <w:bookmarkEnd w:id="267"/>
    </w:p>
    <w:p w14:paraId="717D4D0A" w14:textId="77777777" w:rsidR="00A17CC7" w:rsidRPr="004A7E9C" w:rsidRDefault="00000000">
      <w:pPr>
        <w:pStyle w:val="a6"/>
        <w:numPr>
          <w:ilvl w:val="0"/>
          <w:numId w:val="96"/>
        </w:numPr>
        <w:shd w:val="clear" w:color="auto" w:fill="FFFFFF" w:themeFill="background1"/>
        <w:spacing w:after="120"/>
        <w:contextualSpacing w:val="0"/>
        <w:textAlignment w:val="baseline"/>
        <w:rPr>
          <w:rFonts w:cs="Times New Roman"/>
        </w:rPr>
      </w:pPr>
      <w:r>
        <w:rPr>
          <w:rFonts w:eastAsia="Times New Roman" w:cs="Times New Roman"/>
          <w:lang w:val="pt-BR"/>
        </w:rPr>
        <w:t>2015: ESSA se torna lei</w:t>
      </w:r>
    </w:p>
    <w:p w14:paraId="6F01632E" w14:textId="77777777" w:rsidR="00A17CC7" w:rsidRPr="00CC1CB4" w:rsidRDefault="00000000">
      <w:pPr>
        <w:pStyle w:val="a6"/>
        <w:numPr>
          <w:ilvl w:val="0"/>
          <w:numId w:val="96"/>
        </w:numPr>
        <w:shd w:val="clear" w:color="auto" w:fill="FFFFFF" w:themeFill="background1"/>
        <w:spacing w:after="120"/>
        <w:contextualSpacing w:val="0"/>
        <w:textAlignment w:val="baseline"/>
        <w:rPr>
          <w:rFonts w:cs="Times New Roman"/>
          <w:lang w:val="es-ES"/>
        </w:rPr>
      </w:pPr>
      <w:r>
        <w:rPr>
          <w:rFonts w:eastAsia="Times New Roman" w:cs="Times New Roman"/>
          <w:lang w:val="pt-BR"/>
        </w:rPr>
        <w:t>2017: Plano estadual da ESSA de NJ aprovado</w:t>
      </w:r>
    </w:p>
    <w:p w14:paraId="2346C0F1" w14:textId="77777777" w:rsidR="00A17CC7" w:rsidRPr="004A7E9C" w:rsidRDefault="00000000">
      <w:pPr>
        <w:pStyle w:val="a6"/>
        <w:numPr>
          <w:ilvl w:val="0"/>
          <w:numId w:val="96"/>
        </w:numPr>
        <w:shd w:val="clear" w:color="auto" w:fill="FFFFFF" w:themeFill="background1"/>
        <w:spacing w:after="120"/>
        <w:contextualSpacing w:val="0"/>
        <w:textAlignment w:val="baseline"/>
        <w:rPr>
          <w:rFonts w:cs="Times New Roman"/>
        </w:rPr>
      </w:pPr>
      <w:r>
        <w:rPr>
          <w:rFonts w:eastAsia="Times New Roman" w:cs="Times New Roman"/>
          <w:lang w:val="pt-BR"/>
        </w:rPr>
        <w:t>2019: Monitoramento abrangente da ESSA</w:t>
      </w:r>
    </w:p>
    <w:p w14:paraId="6C64A04F" w14:textId="77777777" w:rsidR="00A17CC7" w:rsidRPr="004A7E9C" w:rsidRDefault="00000000">
      <w:pPr>
        <w:pStyle w:val="a6"/>
        <w:numPr>
          <w:ilvl w:val="0"/>
          <w:numId w:val="96"/>
        </w:numPr>
        <w:shd w:val="clear" w:color="auto" w:fill="FFFFFF" w:themeFill="background1"/>
        <w:spacing w:after="120"/>
        <w:contextualSpacing w:val="0"/>
        <w:textAlignment w:val="baseline"/>
        <w:rPr>
          <w:rFonts w:cs="Times New Roman"/>
        </w:rPr>
      </w:pPr>
      <w:r>
        <w:rPr>
          <w:rFonts w:eastAsia="Times New Roman" w:cs="Times New Roman"/>
          <w:lang w:val="pt-BR"/>
        </w:rPr>
        <w:t>2021: Adendo à COVID</w:t>
      </w:r>
    </w:p>
    <w:p w14:paraId="6B66F0D4" w14:textId="77777777" w:rsidR="00A17CC7" w:rsidRPr="004A7E9C" w:rsidRDefault="00000000">
      <w:pPr>
        <w:pStyle w:val="a6"/>
        <w:numPr>
          <w:ilvl w:val="0"/>
          <w:numId w:val="96"/>
        </w:numPr>
        <w:shd w:val="clear" w:color="auto" w:fill="FFFFFF" w:themeFill="background1"/>
        <w:spacing w:after="120"/>
        <w:contextualSpacing w:val="0"/>
        <w:textAlignment w:val="baseline"/>
        <w:rPr>
          <w:rFonts w:cs="Times New Roman"/>
        </w:rPr>
      </w:pPr>
      <w:r>
        <w:rPr>
          <w:rFonts w:eastAsia="Times New Roman" w:cs="Times New Roman"/>
          <w:lang w:val="pt-BR"/>
        </w:rPr>
        <w:t>2023: Versão com alterações aprovada</w:t>
      </w:r>
    </w:p>
    <w:p w14:paraId="6731F837" w14:textId="77777777" w:rsidR="00A17CC7" w:rsidRPr="00CC1CB4" w:rsidRDefault="00000000">
      <w:pPr>
        <w:pStyle w:val="a6"/>
        <w:numPr>
          <w:ilvl w:val="0"/>
          <w:numId w:val="96"/>
        </w:numPr>
        <w:shd w:val="clear" w:color="auto" w:fill="FFFFFF" w:themeFill="background1"/>
        <w:spacing w:after="120"/>
        <w:contextualSpacing w:val="0"/>
        <w:textAlignment w:val="baseline"/>
        <w:rPr>
          <w:rFonts w:cs="Times New Roman"/>
          <w:lang w:val="es-ES"/>
        </w:rPr>
      </w:pPr>
      <w:r>
        <w:rPr>
          <w:rFonts w:eastAsia="Times New Roman" w:cs="Times New Roman"/>
          <w:lang w:val="pt-BR"/>
        </w:rPr>
        <w:t>2024: Plano estadual da ESSA de NJ revisado</w:t>
      </w:r>
    </w:p>
    <w:p w14:paraId="030C31EC" w14:textId="77777777" w:rsidR="00A17CC7" w:rsidRPr="00CC1CB4" w:rsidRDefault="00000000" w:rsidP="00A17CC7">
      <w:pPr>
        <w:spacing w:after="360"/>
        <w:rPr>
          <w:rStyle w:val="af7"/>
          <w:rFonts w:cs="Times New Roman"/>
          <w:lang w:val="es-ES"/>
        </w:rPr>
      </w:pPr>
      <w:r>
        <w:rPr>
          <w:rFonts w:cs="Times New Roman"/>
        </w:rPr>
        <w:fldChar w:fldCharType="begin"/>
      </w:r>
      <w:r w:rsidR="00C345B6" w:rsidRPr="00CC1CB4">
        <w:rPr>
          <w:rFonts w:cs="Times New Roman"/>
          <w:lang w:val="es-ES"/>
        </w:rPr>
        <w:instrText>HYPERLINK  \l "_Meaningful_Consultation"</w:instrText>
      </w:r>
      <w:r>
        <w:rPr>
          <w:rFonts w:cs="Times New Roman"/>
        </w:rPr>
      </w:r>
      <w:r>
        <w:rPr>
          <w:rFonts w:cs="Times New Roman"/>
        </w:rPr>
        <w:fldChar w:fldCharType="separate"/>
      </w:r>
      <w:r>
        <w:rPr>
          <w:rFonts w:eastAsia="Times New Roman" w:cs="Times New Roman"/>
          <w:color w:val="0000FF"/>
          <w:u w:val="single"/>
          <w:lang w:val="pt-BR"/>
        </w:rPr>
        <w:t>Voltar à seção após o cronograma (Consulta Significativa)</w:t>
      </w:r>
    </w:p>
    <w:bookmarkStart w:id="268" w:name="_Diagram_2:_The"/>
    <w:bookmarkStart w:id="269" w:name="_The_Continuous_Improvement"/>
    <w:bookmarkEnd w:id="268"/>
    <w:bookmarkEnd w:id="269"/>
    <w:p w14:paraId="05E3D958" w14:textId="77777777" w:rsidR="00A17CC7" w:rsidRPr="00CC1CB4" w:rsidRDefault="00000000" w:rsidP="00856537">
      <w:pPr>
        <w:pStyle w:val="A20"/>
      </w:pPr>
      <w:r>
        <w:rPr>
          <w:rFonts w:eastAsiaTheme="minorHAnsi"/>
          <w:color w:val="auto"/>
        </w:rPr>
        <w:fldChar w:fldCharType="end"/>
      </w:r>
      <w:bookmarkStart w:id="270" w:name="_Toc199403828"/>
      <w:r>
        <w:t>O ciclo de melhoria contínua</w:t>
      </w:r>
      <w:bookmarkEnd w:id="270"/>
    </w:p>
    <w:p w14:paraId="1115B7B3" w14:textId="77777777" w:rsidR="00A17CC7" w:rsidRPr="00CC1CB4" w:rsidRDefault="00000000" w:rsidP="00CF0B78">
      <w:pPr>
        <w:spacing w:after="120"/>
        <w:rPr>
          <w:rFonts w:cs="Times New Roman"/>
          <w:lang w:val="es-ES"/>
        </w:rPr>
      </w:pPr>
      <w:r>
        <w:rPr>
          <w:rFonts w:eastAsia="Times New Roman" w:cs="Times New Roman"/>
          <w:lang w:val="pt-BR"/>
        </w:rPr>
        <w:t>Tomada de decisão baseada em evidências</w:t>
      </w:r>
    </w:p>
    <w:p w14:paraId="09351760" w14:textId="77777777" w:rsidR="00A17CC7" w:rsidRPr="00CC1CB4" w:rsidRDefault="00000000">
      <w:pPr>
        <w:pStyle w:val="a6"/>
        <w:numPr>
          <w:ilvl w:val="0"/>
          <w:numId w:val="97"/>
        </w:numPr>
        <w:shd w:val="clear" w:color="auto" w:fill="FFFFFF" w:themeFill="background1"/>
        <w:spacing w:after="120"/>
        <w:contextualSpacing w:val="0"/>
        <w:textAlignment w:val="baseline"/>
        <w:rPr>
          <w:rFonts w:cs="Times New Roman"/>
          <w:lang w:val="es-ES"/>
        </w:rPr>
      </w:pPr>
      <w:r>
        <w:rPr>
          <w:rFonts w:eastAsia="Times New Roman" w:cs="Times New Roman"/>
          <w:lang w:val="pt-BR"/>
        </w:rPr>
        <w:t>Selecionar: identificar, examinar e selecionar intervenções.</w:t>
      </w:r>
    </w:p>
    <w:p w14:paraId="54CE81CC" w14:textId="77777777" w:rsidR="00A17CC7" w:rsidRPr="00CC1CB4" w:rsidRDefault="00000000">
      <w:pPr>
        <w:pStyle w:val="a6"/>
        <w:numPr>
          <w:ilvl w:val="0"/>
          <w:numId w:val="97"/>
        </w:numPr>
        <w:shd w:val="clear" w:color="auto" w:fill="FFFFFF" w:themeFill="background1"/>
        <w:spacing w:after="120"/>
        <w:contextualSpacing w:val="0"/>
        <w:textAlignment w:val="baseline"/>
        <w:rPr>
          <w:rFonts w:cs="Times New Roman"/>
          <w:lang w:val="es-ES"/>
        </w:rPr>
      </w:pPr>
      <w:r>
        <w:rPr>
          <w:rFonts w:eastAsia="Times New Roman" w:cs="Times New Roman"/>
          <w:lang w:val="pt-BR"/>
        </w:rPr>
        <w:t>Planejar: desenvolver estratégias de implementação.</w:t>
      </w:r>
    </w:p>
    <w:p w14:paraId="11564EFC" w14:textId="77777777" w:rsidR="00A17CC7" w:rsidRPr="00C04CDD" w:rsidRDefault="00000000">
      <w:pPr>
        <w:pStyle w:val="a6"/>
        <w:numPr>
          <w:ilvl w:val="0"/>
          <w:numId w:val="97"/>
        </w:numPr>
        <w:shd w:val="clear" w:color="auto" w:fill="FFFFFF" w:themeFill="background1"/>
        <w:spacing w:after="120"/>
        <w:contextualSpacing w:val="0"/>
        <w:textAlignment w:val="baseline"/>
        <w:rPr>
          <w:rFonts w:cs="Times New Roman"/>
          <w:lang w:val="fr-FR"/>
        </w:rPr>
      </w:pPr>
      <w:r>
        <w:rPr>
          <w:rFonts w:eastAsia="Times New Roman" w:cs="Times New Roman"/>
          <w:lang w:val="pt-BR"/>
        </w:rPr>
        <w:t>Implementar: prosseguir com as intervenções, fazer ajustes formativos.</w:t>
      </w:r>
    </w:p>
    <w:p w14:paraId="3720C980" w14:textId="77777777" w:rsidR="00A17CC7" w:rsidRPr="00CC1CB4" w:rsidRDefault="00000000">
      <w:pPr>
        <w:pStyle w:val="a6"/>
        <w:numPr>
          <w:ilvl w:val="0"/>
          <w:numId w:val="97"/>
        </w:numPr>
        <w:shd w:val="clear" w:color="auto" w:fill="FFFFFF" w:themeFill="background1"/>
        <w:spacing w:after="120"/>
        <w:contextualSpacing w:val="0"/>
        <w:textAlignment w:val="baseline"/>
        <w:rPr>
          <w:rFonts w:cs="Times New Roman"/>
          <w:lang w:val="es-ES"/>
        </w:rPr>
      </w:pPr>
      <w:r>
        <w:rPr>
          <w:rFonts w:eastAsia="Times New Roman" w:cs="Times New Roman"/>
          <w:lang w:val="pt-BR"/>
        </w:rPr>
        <w:t>Analisar: conduzir avaliação somativa de desempenho e eficácia.</w:t>
      </w:r>
    </w:p>
    <w:p w14:paraId="7FDF16ED" w14:textId="77777777" w:rsidR="00A17CC7" w:rsidRPr="00CC1CB4" w:rsidRDefault="00000000">
      <w:pPr>
        <w:pStyle w:val="a6"/>
        <w:numPr>
          <w:ilvl w:val="0"/>
          <w:numId w:val="97"/>
        </w:numPr>
        <w:shd w:val="clear" w:color="auto" w:fill="FFFFFF" w:themeFill="background1"/>
        <w:spacing w:after="120"/>
        <w:contextualSpacing w:val="0"/>
        <w:textAlignment w:val="baseline"/>
        <w:rPr>
          <w:rFonts w:cs="Times New Roman"/>
          <w:lang w:val="es-ES"/>
        </w:rPr>
      </w:pPr>
      <w:r>
        <w:rPr>
          <w:rFonts w:eastAsia="Times New Roman" w:cs="Times New Roman"/>
          <w:lang w:val="pt-BR"/>
        </w:rPr>
        <w:t>Informar: analisar as necessidades locais, ajustar o foco.</w:t>
      </w:r>
    </w:p>
    <w:p w14:paraId="2C7F83BA" w14:textId="77777777" w:rsidR="00B85F51" w:rsidRPr="00CC1CB4" w:rsidRDefault="00000000">
      <w:pPr>
        <w:rPr>
          <w:rStyle w:val="af7"/>
          <w:rFonts w:cs="Times New Roman"/>
          <w:lang w:val="es-ES"/>
        </w:rPr>
      </w:pPr>
      <w:hyperlink w:anchor="cycle_recruitment" w:history="1">
        <w:r w:rsidR="00B85F51">
          <w:rPr>
            <w:rFonts w:eastAsia="Times New Roman" w:cs="Times New Roman"/>
            <w:color w:val="0000FF"/>
            <w:u w:val="single"/>
            <w:lang w:val="pt-BR"/>
          </w:rPr>
          <w:t>Voltar para a seção Recrutamento e retenção de funcionários educadores diversificados</w:t>
        </w:r>
      </w:hyperlink>
      <w:bookmarkStart w:id="271" w:name="_Levels_of_Comprehensive"/>
      <w:bookmarkEnd w:id="271"/>
    </w:p>
    <w:p w14:paraId="32ED3357" w14:textId="77777777" w:rsidR="00822A9C" w:rsidRPr="00CC1CB4" w:rsidRDefault="00000000">
      <w:pPr>
        <w:rPr>
          <w:rStyle w:val="af7"/>
          <w:rFonts w:cs="Times New Roman"/>
          <w:lang w:val="es-ES"/>
        </w:rPr>
      </w:pPr>
      <w:hyperlink w:anchor="_Parent_Input_into" w:history="1">
        <w:r w:rsidR="00822A9C">
          <w:rPr>
            <w:rFonts w:eastAsia="Times New Roman" w:cs="Times New Roman"/>
            <w:color w:val="0000FF"/>
            <w:u w:val="single"/>
            <w:lang w:val="pt-BR"/>
          </w:rPr>
          <w:t>Voltar à seção após o Plano de prestação de serviços (Entrada dos pais no Plano de prestação de serviços)</w:t>
        </w:r>
      </w:hyperlink>
    </w:p>
    <w:p w14:paraId="50D74FFE" w14:textId="77777777" w:rsidR="00B85F51" w:rsidRPr="00CC1CB4" w:rsidRDefault="00000000" w:rsidP="00856537">
      <w:pPr>
        <w:pStyle w:val="A20"/>
      </w:pPr>
      <w:bookmarkStart w:id="272" w:name="_Iceberg_Data_Analogy"/>
      <w:bookmarkStart w:id="273" w:name="_Toc199403829"/>
      <w:bookmarkEnd w:id="272"/>
      <w:r>
        <w:t>Analogia de dados Iceberg</w:t>
      </w:r>
      <w:bookmarkEnd w:id="273"/>
    </w:p>
    <w:p w14:paraId="6F24B6BC" w14:textId="77777777" w:rsidR="00E83629" w:rsidRPr="00CC1CB4" w:rsidRDefault="00000000" w:rsidP="00B85F51">
      <w:pPr>
        <w:rPr>
          <w:lang w:val="es-ES"/>
        </w:rPr>
      </w:pPr>
      <w:r>
        <w:rPr>
          <w:rFonts w:eastAsia="Times New Roman" w:cs="Arial"/>
          <w:lang w:val="pt-BR"/>
        </w:rPr>
        <w:t>O diagrama mostra um iceberg de lado. Há uma pequena seção acima da linha d'água (ponta do iceberg) e uma seção muito maior abaixo da linha d'água.</w:t>
      </w:r>
    </w:p>
    <w:p w14:paraId="6E8346FA" w14:textId="77777777" w:rsidR="00B85F51" w:rsidRPr="00CC1CB4" w:rsidRDefault="00000000">
      <w:pPr>
        <w:pStyle w:val="a6"/>
        <w:numPr>
          <w:ilvl w:val="0"/>
          <w:numId w:val="170"/>
        </w:numPr>
        <w:rPr>
          <w:lang w:val="es-ES"/>
        </w:rPr>
      </w:pPr>
      <w:r>
        <w:rPr>
          <w:rFonts w:eastAsia="Times New Roman" w:cs="Arial"/>
          <w:b/>
          <w:bCs/>
          <w:lang w:val="pt-BR"/>
        </w:rPr>
        <w:t>Seção acima da linha d'água</w:t>
      </w:r>
      <w:r>
        <w:rPr>
          <w:rFonts w:eastAsia="Times New Roman" w:cs="Arial"/>
          <w:lang w:val="pt-BR"/>
        </w:rPr>
        <w:t>: Dados usados para identificar escolas para apoio abrangente ou direcionado</w:t>
      </w:r>
    </w:p>
    <w:p w14:paraId="3D46C840" w14:textId="77777777" w:rsidR="00E83629" w:rsidRPr="00CC1CB4" w:rsidRDefault="00000000">
      <w:pPr>
        <w:pStyle w:val="a6"/>
        <w:numPr>
          <w:ilvl w:val="0"/>
          <w:numId w:val="170"/>
        </w:numPr>
        <w:rPr>
          <w:lang w:val="es-ES"/>
        </w:rPr>
      </w:pPr>
      <w:r>
        <w:rPr>
          <w:rFonts w:eastAsia="Times New Roman" w:cs="Arial"/>
          <w:b/>
          <w:bCs/>
          <w:lang w:val="pt-BR"/>
        </w:rPr>
        <w:t>Seção abaixo da linha d'água</w:t>
      </w:r>
      <w:r>
        <w:rPr>
          <w:rFonts w:eastAsia="Times New Roman" w:cs="Arial"/>
          <w:lang w:val="pt-BR"/>
        </w:rPr>
        <w:t>: Dados necessários para entender as necessidades específicas dos alunos, identificar as causas-raiz das lacunas de desempenho, avaliar a eficácia das práticas educacionais etc.</w:t>
      </w:r>
    </w:p>
    <w:p w14:paraId="5F7D1A96" w14:textId="77777777" w:rsidR="00673011" w:rsidRPr="00CC1CB4" w:rsidRDefault="00000000" w:rsidP="003E7510">
      <w:pPr>
        <w:rPr>
          <w:color w:val="0000FF"/>
          <w:u w:val="single"/>
          <w:lang w:val="es-ES"/>
        </w:rPr>
      </w:pPr>
      <w:hyperlink w:anchor="iceberg" w:history="1">
        <w:r w:rsidR="00673011">
          <w:rPr>
            <w:rFonts w:eastAsia="Times New Roman" w:cs="Arial"/>
            <w:color w:val="0000FF"/>
            <w:u w:val="single"/>
            <w:lang w:val="pt-BR"/>
          </w:rPr>
          <w:t>Voltar ao parágrafo após o diagrama de Iceberg</w:t>
        </w:r>
      </w:hyperlink>
      <w:bookmarkStart w:id="274" w:name="_NJTSS_Diagram"/>
      <w:bookmarkEnd w:id="274"/>
      <w:r w:rsidR="00673011">
        <w:rPr>
          <w:rFonts w:eastAsia="Times New Roman" w:cs="Arial"/>
          <w:color w:val="0000FF"/>
          <w:lang w:val="pt-BR"/>
        </w:rPr>
        <w:br w:type="page"/>
      </w:r>
    </w:p>
    <w:p w14:paraId="5D71D670" w14:textId="77777777" w:rsidR="003D261F" w:rsidRPr="00CC1CB4" w:rsidRDefault="00000000" w:rsidP="00DF15EA">
      <w:pPr>
        <w:pStyle w:val="1"/>
        <w:rPr>
          <w:lang w:val="es-ES"/>
        </w:rPr>
      </w:pPr>
      <w:bookmarkStart w:id="275" w:name="_Toc211004660"/>
      <w:r>
        <w:rPr>
          <w:rFonts w:eastAsia="Cambria"/>
          <w:szCs w:val="36"/>
          <w:lang w:val="pt-BR"/>
        </w:rPr>
        <w:lastRenderedPageBreak/>
        <w:t>Anexo D: Envolvimento de partes interessadas externas</w:t>
      </w:r>
      <w:bookmarkEnd w:id="275"/>
    </w:p>
    <w:p w14:paraId="733C80BE" w14:textId="77777777" w:rsidR="002E475C" w:rsidRPr="00CC1CB4" w:rsidRDefault="00000000" w:rsidP="00856537">
      <w:pPr>
        <w:pStyle w:val="A20"/>
      </w:pPr>
      <w:bookmarkStart w:id="276" w:name="_Toc171333342"/>
      <w:bookmarkStart w:id="277" w:name="_Toc199403831"/>
      <w:r>
        <w:t>Introdução</w:t>
      </w:r>
      <w:bookmarkEnd w:id="276"/>
      <w:bookmarkEnd w:id="277"/>
    </w:p>
    <w:p w14:paraId="7323F51A" w14:textId="77777777" w:rsidR="00835F22" w:rsidRPr="00CC1CB4" w:rsidRDefault="00000000" w:rsidP="003D261F">
      <w:pPr>
        <w:rPr>
          <w:lang w:val="es-ES"/>
        </w:rPr>
      </w:pPr>
      <w:r>
        <w:rPr>
          <w:rFonts w:eastAsia="Times New Roman" w:cs="Arial"/>
          <w:lang w:val="pt-BR"/>
        </w:rPr>
        <w:t xml:space="preserve">Ao longo de 2023 e 2024, p NJDOE consultou a equipe interagências, pesquisadores e partes interessadas de Nova Jersey. As principais alterações ao plano foram analisadas e discutidas com vários grupos de foco do NJDOE e com o Grupo de Trabalho das Partes Interessadas da ESSA. Mais de 50 organizações de Nova Jersey foram representadas na ESSA Stakeholder Working Group, que se reuniu para cinco sessões entre janeiro e março de 2024 para discutir e fornecer feedback sobre as várias propostas. A Parte I deste Anexo descreve os tópicos de discussão e o feedback que o NJDOE recebeu dos participantes da reunião, bem como uma lista de organizações que aceitaram o convite para participar do Grupo de Trabalho de Partes Interessadas da ESSA. </w:t>
      </w:r>
    </w:p>
    <w:p w14:paraId="457EDEDB" w14:textId="77777777" w:rsidR="00835F22" w:rsidRPr="00CC1CB4" w:rsidRDefault="00000000" w:rsidP="003D261F">
      <w:pPr>
        <w:rPr>
          <w:lang w:val="es-ES"/>
        </w:rPr>
      </w:pPr>
      <w:r>
        <w:rPr>
          <w:rFonts w:eastAsia="Times New Roman" w:cs="Arial"/>
          <w:lang w:val="pt-BR"/>
        </w:rPr>
        <w:t xml:space="preserve">Ao longo de agosto de 2024, o NJDOE publicou o rascunho do Plano estadual da ESSA de 2024 em sua totalidade online. Por meio de um memorando de divulgação pública e um comunicado à imprensa, os membros do público, incluindo educadores e membros da comunidade em todas as escolas e distritos de Nova Jersey, foram convidados a analisar o esboço do Plano estadual e enviar comentários por e-mail para o NJDOE. Folhas de informações curtas foram publicadas em espanhol e inglês. Os membros do Grupo de Trabalho de Partes Interessadas da ESSA foram incentivados a compartilhar o rascunho com os milhares de membros da organização que representaram coletivamente. A Parte II deste Anexo resume as informações públicas recebidas. </w:t>
      </w:r>
    </w:p>
    <w:p w14:paraId="2F384D81" w14:textId="77777777" w:rsidR="00C80C69" w:rsidRPr="00CC1CB4" w:rsidRDefault="00000000" w:rsidP="003D261F">
      <w:pPr>
        <w:rPr>
          <w:lang w:val="es-ES"/>
        </w:rPr>
      </w:pPr>
      <w:r>
        <w:rPr>
          <w:rFonts w:eastAsia="Times New Roman" w:cs="Arial"/>
          <w:lang w:val="pt-BR"/>
        </w:rPr>
        <w:t xml:space="preserve">A partir do outono de 2023, o NJDOE atualizou o Comitê Consultivo para Programas Financiados pelo Governo Federal (Advisory Committee for Federally Funded Programs, ACFFP) e buscou feedback durante todo o processo de elaboração durante a primavera e o verão de 2024. Este comitê inclui administradores, professores de escolas públicas tradicionais e escolas de fretamento, diretores, outros líderes escolares, pais, membros de conselhos locais de educação, pessoal especializado em apoio instrucional, paraprofissionais, representantes de crianças de escolas não públicas e líderes de escolas de fretamento. Eles se reúnem com o NJDOE periodicamente para discutir mudanças e a implementação de vários programas financiados pelo governo federal em Nova Jersey. Os membros deste comitê analisaram as minutas do Plano estadual da ESSA de 2024 antes e durante o período de comentários públicos. </w:t>
      </w:r>
    </w:p>
    <w:p w14:paraId="1E020E74" w14:textId="77777777" w:rsidR="002E475C" w:rsidRPr="00CC1CB4" w:rsidRDefault="00000000" w:rsidP="003D261F">
      <w:pPr>
        <w:rPr>
          <w:lang w:val="es-ES"/>
        </w:rPr>
      </w:pPr>
      <w:r>
        <w:rPr>
          <w:rFonts w:eastAsia="Times New Roman" w:cs="Arial"/>
          <w:lang w:val="pt-BR"/>
        </w:rPr>
        <w:t xml:space="preserve">O NJDOE também enviou notificações por e-mail sobre a oportunidade de comentários públicos às listas de servidores de liderança da LEA, incluindo mais de 1.400 administradores e funcionários da escola, como coordenadores de programas federais e administradores de empresas. </w:t>
      </w:r>
    </w:p>
    <w:p w14:paraId="4FF141A5" w14:textId="77777777" w:rsidR="002E475C" w:rsidRPr="00CC1CB4" w:rsidRDefault="00000000" w:rsidP="003D261F">
      <w:pPr>
        <w:rPr>
          <w:lang w:val="es-ES"/>
        </w:rPr>
      </w:pPr>
      <w:r>
        <w:rPr>
          <w:rFonts w:eastAsia="Times New Roman" w:cs="Arial"/>
          <w:lang w:val="pt-BR"/>
        </w:rPr>
        <w:t>A equipe do NJDOE é extremamente grata às muitas partes interessadas, internas e externas ao NJDOE, que forneceram informações e conhecimentos valiosos sobre esse processo. O excelente feedback recebido levou e continuará a levar às políticas, práticas e implementação do NJDOE para que todos os alunos em Nova Jersey tenham acesso equitativo à educação de alta qualidade.</w:t>
      </w:r>
    </w:p>
    <w:p w14:paraId="7570380C" w14:textId="77777777" w:rsidR="002E475C" w:rsidRPr="00CC1CB4" w:rsidRDefault="00000000" w:rsidP="00856537">
      <w:pPr>
        <w:pStyle w:val="A20"/>
      </w:pPr>
      <w:bookmarkStart w:id="278" w:name="_Toc171333343"/>
      <w:bookmarkStart w:id="279" w:name="_Toc199403832"/>
      <w:r>
        <w:t>Parte I</w:t>
      </w:r>
      <w:bookmarkEnd w:id="278"/>
      <w:bookmarkEnd w:id="279"/>
    </w:p>
    <w:p w14:paraId="6D230DC8" w14:textId="77777777" w:rsidR="002E475C" w:rsidRPr="00CC1CB4" w:rsidRDefault="00000000" w:rsidP="003D261F">
      <w:pPr>
        <w:rPr>
          <w:rStyle w:val="eop"/>
          <w:rFonts w:cs="Times New Roman"/>
          <w:color w:val="000000"/>
          <w:shd w:val="clear" w:color="auto" w:fill="FFFFFF"/>
          <w:lang w:val="es-ES"/>
        </w:rPr>
      </w:pPr>
      <w:r>
        <w:rPr>
          <w:rStyle w:val="normaltextrun"/>
          <w:rFonts w:eastAsia="Times New Roman" w:cs="Times New Roman"/>
          <w:color w:val="000000"/>
          <w:shd w:val="clear" w:color="auto" w:fill="FFFFFF"/>
          <w:lang w:val="pt-BR"/>
        </w:rPr>
        <w:t xml:space="preserve">A Parte I deste anexo fornece respostas de alto nível às propostas apresentadas em cada uma das cinco sessões do Grupo de trabalho de partes interessadas da ESSA de 2024. O feedback foi fornecido por meio de conversas virtuais e presenciais, e pesquisas foram emitidas no final de cada sessão. Cada reunião </w:t>
      </w:r>
      <w:r>
        <w:rPr>
          <w:rStyle w:val="normaltextrun"/>
          <w:rFonts w:eastAsia="Times New Roman" w:cs="Times New Roman"/>
          <w:color w:val="000000"/>
          <w:shd w:val="clear" w:color="auto" w:fill="FFFFFF"/>
          <w:lang w:val="pt-BR"/>
        </w:rPr>
        <w:lastRenderedPageBreak/>
        <w:t xml:space="preserve">contou com a participação de aproximadamente 40 a 60 participantes, e discussões em pequenos grupos entre 5 a 10 indivíduos foram facilitadas por um responsável designado pela anotação da equipe do NJDOE. Como as conversas foram fluidas com oportunidades para perguntas e respostas, as observações abaixo incluem perguntas e reações em tempo real às políticas e ao processo do NJDOE. No geral, as partes interessadas reagiram favoravelmente a todas as alterações propostas substanciais refletidas no Plano estadual da ESSA de 2024. Dúvidas sobre este resumo ou o processo de contratação podem ser encaminhadas à equipe de ESSA do NJDOE pelo e-mail </w:t>
      </w:r>
      <w:hyperlink r:id="rId53" w:history="1">
        <w:r w:rsidR="002E475C">
          <w:rPr>
            <w:rStyle w:val="normaltextrun"/>
            <w:rFonts w:eastAsia="Times New Roman" w:cs="Times New Roman"/>
            <w:color w:val="0000FF"/>
            <w:u w:val="single"/>
            <w:shd w:val="clear" w:color="auto" w:fill="FFFFFF"/>
            <w:lang w:val="pt-BR"/>
          </w:rPr>
          <w:t>essa@doe.nj.gov</w:t>
        </w:r>
      </w:hyperlink>
      <w:r>
        <w:rPr>
          <w:rStyle w:val="normaltextrun"/>
          <w:rFonts w:eastAsia="Times New Roman" w:cs="Times New Roman"/>
          <w:color w:val="000000"/>
          <w:shd w:val="clear" w:color="auto" w:fill="FFFFFF"/>
          <w:lang w:val="pt-BR"/>
        </w:rPr>
        <w:t xml:space="preserve">. </w:t>
      </w:r>
    </w:p>
    <w:p w14:paraId="74D4A15F" w14:textId="77777777" w:rsidR="002E475C" w:rsidRPr="009D79C9" w:rsidRDefault="00000000" w:rsidP="004D2055">
      <w:pPr>
        <w:rPr>
          <w:rStyle w:val="normaltextrun"/>
          <w:rFonts w:ascii="Cambria" w:hAnsi="Cambria"/>
          <w:b/>
          <w:bCs/>
          <w:bdr w:val="none" w:sz="0" w:space="0" w:color="auto" w:frame="1"/>
        </w:rPr>
      </w:pPr>
      <w:r>
        <w:rPr>
          <w:rStyle w:val="normaltextrun"/>
          <w:rFonts w:ascii="Cambria" w:eastAsia="Cambria" w:hAnsi="Cambria" w:cs="Arial"/>
          <w:lang w:val="pt-BR"/>
        </w:rPr>
        <w:t>Tópicos de propostas discutidos:</w:t>
      </w:r>
    </w:p>
    <w:p w14:paraId="1C3FB31F" w14:textId="77777777" w:rsidR="002E475C" w:rsidRPr="00CC1CB4" w:rsidRDefault="00000000">
      <w:pPr>
        <w:pStyle w:val="aff9"/>
        <w:numPr>
          <w:ilvl w:val="0"/>
          <w:numId w:val="98"/>
        </w:numPr>
        <w:spacing w:after="120"/>
        <w:rPr>
          <w:color w:val="0000FF"/>
          <w:lang w:val="es-ES"/>
        </w:rPr>
      </w:pPr>
      <w:hyperlink w:anchor="_Feedback_on_the" w:history="1">
        <w:r w:rsidR="002E475C">
          <w:rPr>
            <w:rFonts w:ascii="Cambria" w:eastAsia="Cambria" w:hAnsi="Cambria" w:cs="Arial"/>
            <w:color w:val="0000FF"/>
            <w:u w:val="single"/>
            <w:lang w:val="pt-BR"/>
          </w:rPr>
          <w:t>Metas de longo prazo e alvos</w:t>
        </w:r>
        <w:bookmarkStart w:id="280" w:name="_Hlt170475451"/>
        <w:r w:rsidR="002E475C">
          <w:rPr>
            <w:rFonts w:ascii="Cambria" w:eastAsia="Cambria" w:hAnsi="Cambria" w:cs="Arial"/>
            <w:color w:val="0000FF"/>
            <w:u w:val="single"/>
            <w:lang w:val="pt-BR"/>
          </w:rPr>
          <w:t xml:space="preserve"> </w:t>
        </w:r>
        <w:bookmarkEnd w:id="280"/>
        <w:r w:rsidR="002E475C">
          <w:rPr>
            <w:rFonts w:ascii="Cambria" w:eastAsia="Cambria" w:hAnsi="Cambria" w:cs="Arial"/>
            <w:color w:val="0000FF"/>
            <w:u w:val="single"/>
            <w:lang w:val="pt-BR"/>
          </w:rPr>
          <w:t>provisórios</w:t>
        </w:r>
      </w:hyperlink>
    </w:p>
    <w:p w14:paraId="52C77E9B" w14:textId="77777777" w:rsidR="002E475C" w:rsidRPr="003D261F" w:rsidRDefault="00000000">
      <w:pPr>
        <w:pStyle w:val="aff9"/>
        <w:numPr>
          <w:ilvl w:val="0"/>
          <w:numId w:val="98"/>
        </w:numPr>
        <w:spacing w:after="120"/>
        <w:rPr>
          <w:color w:val="0000FF"/>
        </w:rPr>
      </w:pPr>
      <w:hyperlink w:anchor="_Feedback_on_the_13" w:history="1">
        <w:r w:rsidR="002E475C">
          <w:rPr>
            <w:rFonts w:ascii="Cambria" w:eastAsia="Cambria" w:hAnsi="Cambria" w:cs="Arial"/>
            <w:color w:val="0000FF"/>
            <w:u w:val="single"/>
            <w:lang w:val="pt-BR"/>
          </w:rPr>
          <w:t xml:space="preserve">Taxa </w:t>
        </w:r>
        <w:bookmarkStart w:id="281" w:name="_Hlt170475463"/>
        <w:r w:rsidR="002E475C">
          <w:rPr>
            <w:rFonts w:ascii="Cambria" w:eastAsia="Cambria" w:hAnsi="Cambria" w:cs="Arial"/>
            <w:color w:val="0000FF"/>
            <w:u w:val="single"/>
            <w:lang w:val="pt-BR"/>
          </w:rPr>
          <w:t xml:space="preserve">de </w:t>
        </w:r>
        <w:bookmarkEnd w:id="281"/>
        <w:r w:rsidR="002E475C">
          <w:rPr>
            <w:rFonts w:ascii="Cambria" w:eastAsia="Cambria" w:hAnsi="Cambria" w:cs="Arial"/>
            <w:color w:val="0000FF"/>
            <w:u w:val="single"/>
            <w:lang w:val="pt-BR"/>
          </w:rPr>
          <w:t>formação</w:t>
        </w:r>
      </w:hyperlink>
    </w:p>
    <w:p w14:paraId="4A50F20D" w14:textId="77777777" w:rsidR="002E475C" w:rsidRPr="003D261F" w:rsidRDefault="00000000">
      <w:pPr>
        <w:pStyle w:val="aff9"/>
        <w:numPr>
          <w:ilvl w:val="0"/>
          <w:numId w:val="98"/>
        </w:numPr>
        <w:spacing w:after="120"/>
        <w:rPr>
          <w:color w:val="0000FF"/>
        </w:rPr>
      </w:pPr>
      <w:hyperlink w:anchor="_Feedback_on_the_14" w:history="1">
        <w:r w:rsidR="002E475C">
          <w:rPr>
            <w:rFonts w:ascii="Cambria" w:eastAsia="Cambria" w:hAnsi="Cambria" w:cs="Arial"/>
            <w:color w:val="0000FF"/>
            <w:u w:val="single"/>
            <w:lang w:val="pt-BR"/>
          </w:rPr>
          <w:t>Realização acad</w:t>
        </w:r>
        <w:bookmarkStart w:id="282" w:name="_Hlt170475471"/>
        <w:r w:rsidR="002E475C">
          <w:rPr>
            <w:rFonts w:ascii="Cambria" w:eastAsia="Cambria" w:hAnsi="Cambria" w:cs="Arial"/>
            <w:color w:val="0000FF"/>
            <w:u w:val="single"/>
            <w:lang w:val="pt-BR"/>
          </w:rPr>
          <w:t>ê</w:t>
        </w:r>
        <w:bookmarkEnd w:id="282"/>
        <w:r w:rsidR="002E475C">
          <w:rPr>
            <w:rFonts w:ascii="Cambria" w:eastAsia="Cambria" w:hAnsi="Cambria" w:cs="Arial"/>
            <w:color w:val="0000FF"/>
            <w:u w:val="single"/>
            <w:lang w:val="pt-BR"/>
          </w:rPr>
          <w:t>mica</w:t>
        </w:r>
      </w:hyperlink>
      <w:r w:rsidR="002E475C">
        <w:rPr>
          <w:rFonts w:eastAsia="Palatino Linotype" w:cs="Arial"/>
          <w:color w:val="0000FF"/>
          <w:lang w:val="pt-BR"/>
        </w:rPr>
        <w:t xml:space="preserve"> </w:t>
      </w:r>
    </w:p>
    <w:p w14:paraId="1E62AC39" w14:textId="77777777" w:rsidR="002E475C" w:rsidRPr="00CC1CB4" w:rsidRDefault="00000000">
      <w:pPr>
        <w:pStyle w:val="aff9"/>
        <w:numPr>
          <w:ilvl w:val="0"/>
          <w:numId w:val="98"/>
        </w:numPr>
        <w:spacing w:after="120"/>
        <w:rPr>
          <w:rStyle w:val="af7"/>
          <w:rFonts w:ascii="Cambria" w:hAnsi="Cambria"/>
          <w:bdr w:val="none" w:sz="0" w:space="0" w:color="auto" w:frame="1"/>
          <w:lang w:val="es-ES"/>
        </w:rPr>
      </w:pPr>
      <w:r w:rsidRPr="003D261F">
        <w:rPr>
          <w:rStyle w:val="normaltextrun"/>
          <w:rFonts w:ascii="Cambria" w:hAnsi="Cambria"/>
          <w:color w:val="0000FF"/>
          <w:bdr w:val="none" w:sz="0" w:space="0" w:color="auto" w:frame="1"/>
        </w:rPr>
        <w:fldChar w:fldCharType="begin"/>
      </w:r>
      <w:r w:rsidR="0071495C" w:rsidRPr="00CC1CB4">
        <w:rPr>
          <w:rStyle w:val="normaltextrun"/>
          <w:rFonts w:ascii="Cambria" w:hAnsi="Cambria"/>
          <w:color w:val="0000FF"/>
          <w:bdr w:val="none" w:sz="0" w:space="0" w:color="auto" w:frame="1"/>
          <w:lang w:val="es-ES"/>
        </w:rPr>
        <w:instrText>HYPERLINK  \l "_Feedback_on_the_8"</w:instrText>
      </w:r>
      <w:r w:rsidRPr="003D261F">
        <w:rPr>
          <w:rStyle w:val="normaltextrun"/>
          <w:rFonts w:ascii="Cambria" w:hAnsi="Cambria"/>
          <w:color w:val="0000FF"/>
          <w:bdr w:val="none" w:sz="0" w:space="0" w:color="auto" w:frame="1"/>
        </w:rPr>
      </w:r>
      <w:r w:rsidRPr="003D261F">
        <w:rPr>
          <w:rStyle w:val="normaltextrun"/>
          <w:rFonts w:ascii="Cambria" w:hAnsi="Cambria"/>
          <w:color w:val="0000FF"/>
          <w:bdr w:val="none" w:sz="0" w:space="0" w:color="auto" w:frame="1"/>
        </w:rPr>
        <w:fldChar w:fldCharType="separate"/>
      </w:r>
      <w:r>
        <w:rPr>
          <w:rStyle w:val="normaltextrun"/>
          <w:rFonts w:ascii="Cambria" w:eastAsia="Cambria" w:hAnsi="Cambria" w:cs="Arial"/>
          <w:color w:val="0000FF"/>
          <w:u w:val="single"/>
          <w:lang w:val="pt-BR"/>
        </w:rPr>
        <w:t>Indicador de proficiência em inglês (pesquisa)</w:t>
      </w:r>
    </w:p>
    <w:p w14:paraId="4A75D5D5" w14:textId="77777777" w:rsidR="002E475C" w:rsidRPr="00CC1CB4" w:rsidRDefault="00000000">
      <w:pPr>
        <w:pStyle w:val="aff9"/>
        <w:numPr>
          <w:ilvl w:val="0"/>
          <w:numId w:val="98"/>
        </w:numPr>
        <w:spacing w:after="120"/>
        <w:rPr>
          <w:rStyle w:val="af7"/>
          <w:rFonts w:ascii="Cambria" w:hAnsi="Cambria"/>
          <w:bdr w:val="none" w:sz="0" w:space="0" w:color="auto" w:frame="1"/>
          <w:lang w:val="es-ES"/>
        </w:rPr>
      </w:pPr>
      <w:r w:rsidRPr="003D261F">
        <w:rPr>
          <w:rStyle w:val="normaltextrun"/>
          <w:rFonts w:ascii="Cambria" w:hAnsi="Cambria"/>
          <w:color w:val="0000FF"/>
          <w:bdr w:val="none" w:sz="0" w:space="0" w:color="auto" w:frame="1"/>
        </w:rPr>
        <w:fldChar w:fldCharType="end"/>
      </w:r>
      <w:r w:rsidRPr="003D261F">
        <w:rPr>
          <w:rStyle w:val="normaltextrun"/>
          <w:rFonts w:ascii="Cambria" w:hAnsi="Cambria"/>
          <w:color w:val="0000FF"/>
          <w:bdr w:val="none" w:sz="0" w:space="0" w:color="auto" w:frame="1"/>
        </w:rPr>
        <w:fldChar w:fldCharType="begin"/>
      </w:r>
      <w:r w:rsidR="0071495C" w:rsidRPr="00CC1CB4">
        <w:rPr>
          <w:rStyle w:val="normaltextrun"/>
          <w:rFonts w:ascii="Cambria" w:hAnsi="Cambria"/>
          <w:color w:val="0000FF"/>
          <w:bdr w:val="none" w:sz="0" w:space="0" w:color="auto" w:frame="1"/>
          <w:lang w:val="es-ES"/>
        </w:rPr>
        <w:instrText>HYPERLINK  \l "_Feedback_on_the_15"</w:instrText>
      </w:r>
      <w:r w:rsidRPr="003D261F">
        <w:rPr>
          <w:rStyle w:val="normaltextrun"/>
          <w:rFonts w:ascii="Cambria" w:hAnsi="Cambria"/>
          <w:color w:val="0000FF"/>
          <w:bdr w:val="none" w:sz="0" w:space="0" w:color="auto" w:frame="1"/>
        </w:rPr>
      </w:r>
      <w:r w:rsidRPr="003D261F">
        <w:rPr>
          <w:rStyle w:val="normaltextrun"/>
          <w:rFonts w:ascii="Cambria" w:hAnsi="Cambria"/>
          <w:color w:val="0000FF"/>
          <w:bdr w:val="none" w:sz="0" w:space="0" w:color="auto" w:frame="1"/>
        </w:rPr>
        <w:fldChar w:fldCharType="separate"/>
      </w:r>
      <w:r>
        <w:rPr>
          <w:rStyle w:val="normaltextrun"/>
          <w:rFonts w:ascii="Cambria" w:eastAsia="Cambria" w:hAnsi="Cambria" w:cs="Arial"/>
          <w:color w:val="0000FF"/>
          <w:u w:val="single"/>
          <w:lang w:val="pt-BR"/>
        </w:rPr>
        <w:t>Acesso equitativo a ensino de alta qualidade (Definições)</w:t>
      </w:r>
    </w:p>
    <w:p w14:paraId="25991F07" w14:textId="77777777" w:rsidR="002E475C" w:rsidRPr="00CC1CB4" w:rsidRDefault="00000000">
      <w:pPr>
        <w:pStyle w:val="aff9"/>
        <w:numPr>
          <w:ilvl w:val="0"/>
          <w:numId w:val="98"/>
        </w:numPr>
        <w:spacing w:after="120"/>
        <w:rPr>
          <w:rStyle w:val="af7"/>
          <w:rFonts w:ascii="Cambria" w:hAnsi="Cambria"/>
          <w:bdr w:val="none" w:sz="0" w:space="0" w:color="auto" w:frame="1"/>
          <w:lang w:val="es-ES"/>
        </w:rPr>
      </w:pPr>
      <w:r w:rsidRPr="003D261F">
        <w:rPr>
          <w:rStyle w:val="normaltextrun"/>
          <w:rFonts w:ascii="Cambria" w:hAnsi="Cambria"/>
          <w:color w:val="0000FF"/>
          <w:bdr w:val="none" w:sz="0" w:space="0" w:color="auto" w:frame="1"/>
        </w:rPr>
        <w:fldChar w:fldCharType="end"/>
      </w:r>
      <w:r w:rsidRPr="003D261F">
        <w:rPr>
          <w:rStyle w:val="normaltextrun"/>
          <w:rFonts w:ascii="Cambria" w:hAnsi="Cambria"/>
          <w:color w:val="0000FF"/>
          <w:bdr w:val="none" w:sz="0" w:space="0" w:color="auto" w:frame="1"/>
        </w:rPr>
        <w:fldChar w:fldCharType="begin"/>
      </w:r>
      <w:r w:rsidR="0071495C" w:rsidRPr="00CC1CB4">
        <w:rPr>
          <w:rStyle w:val="normaltextrun"/>
          <w:rFonts w:ascii="Cambria" w:hAnsi="Cambria"/>
          <w:color w:val="0000FF"/>
          <w:bdr w:val="none" w:sz="0" w:space="0" w:color="auto" w:frame="1"/>
          <w:lang w:val="es-ES"/>
        </w:rPr>
        <w:instrText>HYPERLINK  \l "_Feedback_on_the_16"</w:instrText>
      </w:r>
      <w:r w:rsidRPr="003D261F">
        <w:rPr>
          <w:rStyle w:val="normaltextrun"/>
          <w:rFonts w:ascii="Cambria" w:hAnsi="Cambria"/>
          <w:color w:val="0000FF"/>
          <w:bdr w:val="none" w:sz="0" w:space="0" w:color="auto" w:frame="1"/>
        </w:rPr>
      </w:r>
      <w:r w:rsidRPr="003D261F">
        <w:rPr>
          <w:rStyle w:val="normaltextrun"/>
          <w:rFonts w:ascii="Cambria" w:hAnsi="Cambria"/>
          <w:color w:val="0000FF"/>
          <w:bdr w:val="none" w:sz="0" w:space="0" w:color="auto" w:frame="1"/>
        </w:rPr>
        <w:fldChar w:fldCharType="separate"/>
      </w:r>
      <w:r>
        <w:rPr>
          <w:rStyle w:val="normaltextrun"/>
          <w:rFonts w:ascii="Cambria" w:eastAsia="Cambria" w:hAnsi="Cambria" w:cs="Arial"/>
          <w:color w:val="0000FF"/>
          <w:u w:val="single"/>
          <w:lang w:val="pt-BR"/>
        </w:rPr>
        <w:t>Indicadores de sucesso do aluno de qualidade escolar</w:t>
      </w:r>
    </w:p>
    <w:p w14:paraId="7E48106D" w14:textId="77777777" w:rsidR="002E475C" w:rsidRPr="00CC1CB4" w:rsidRDefault="00000000">
      <w:pPr>
        <w:pStyle w:val="aff9"/>
        <w:numPr>
          <w:ilvl w:val="0"/>
          <w:numId w:val="98"/>
        </w:numPr>
        <w:spacing w:after="120"/>
        <w:rPr>
          <w:rStyle w:val="af7"/>
          <w:rFonts w:ascii="Cambria" w:hAnsi="Cambria"/>
          <w:bdr w:val="none" w:sz="0" w:space="0" w:color="auto" w:frame="1"/>
          <w:lang w:val="es-ES"/>
        </w:rPr>
      </w:pPr>
      <w:r w:rsidRPr="003D261F">
        <w:rPr>
          <w:rStyle w:val="normaltextrun"/>
          <w:rFonts w:ascii="Cambria" w:hAnsi="Cambria"/>
          <w:color w:val="0000FF"/>
          <w:bdr w:val="none" w:sz="0" w:space="0" w:color="auto" w:frame="1"/>
        </w:rPr>
        <w:fldChar w:fldCharType="end"/>
      </w:r>
      <w:r w:rsidRPr="00856537">
        <w:rPr>
          <w:rStyle w:val="normaltextrun"/>
          <w:rFonts w:ascii="Cambria" w:hAnsi="Cambria"/>
          <w:color w:val="0000FF"/>
          <w:bdr w:val="none" w:sz="0" w:space="0" w:color="auto" w:frame="1"/>
        </w:rPr>
        <w:fldChar w:fldCharType="begin"/>
      </w:r>
      <w:r w:rsidR="0071495C" w:rsidRPr="00CC1CB4">
        <w:rPr>
          <w:rStyle w:val="normaltextrun"/>
          <w:rFonts w:ascii="Cambria" w:hAnsi="Cambria"/>
          <w:color w:val="0000FF"/>
          <w:bdr w:val="none" w:sz="0" w:space="0" w:color="auto" w:frame="1"/>
          <w:lang w:val="es-ES"/>
        </w:rPr>
        <w:instrText>HYPERLINK  \l "_Feedback_on_the_17"</w:instrText>
      </w:r>
      <w:r w:rsidRPr="00856537">
        <w:rPr>
          <w:rStyle w:val="normaltextrun"/>
          <w:rFonts w:ascii="Cambria" w:hAnsi="Cambria"/>
          <w:color w:val="0000FF"/>
          <w:bdr w:val="none" w:sz="0" w:space="0" w:color="auto" w:frame="1"/>
        </w:rPr>
      </w:r>
      <w:r w:rsidRPr="00856537">
        <w:rPr>
          <w:rStyle w:val="normaltextrun"/>
          <w:rFonts w:ascii="Cambria" w:hAnsi="Cambria"/>
          <w:color w:val="0000FF"/>
          <w:bdr w:val="none" w:sz="0" w:space="0" w:color="auto" w:frame="1"/>
        </w:rPr>
        <w:fldChar w:fldCharType="separate"/>
      </w:r>
      <w:r>
        <w:rPr>
          <w:rStyle w:val="normaltextrun"/>
          <w:rFonts w:ascii="Cambria" w:eastAsia="Cambria" w:hAnsi="Cambria" w:cs="Arial"/>
          <w:color w:val="0000FF"/>
          <w:u w:val="single"/>
          <w:lang w:val="pt-BR"/>
        </w:rPr>
        <w:t>Expansão dos sistemas de sucesso em camadas de Nova Jersey</w:t>
      </w:r>
    </w:p>
    <w:p w14:paraId="734E088D" w14:textId="6F63CC37" w:rsidR="00856537" w:rsidRPr="00856537" w:rsidRDefault="00000000" w:rsidP="00DF15EA">
      <w:pPr>
        <w:pStyle w:val="aff9"/>
        <w:numPr>
          <w:ilvl w:val="0"/>
          <w:numId w:val="98"/>
        </w:numPr>
        <w:spacing w:after="220"/>
        <w:rPr>
          <w:rStyle w:val="normaltextrun"/>
          <w:color w:val="0000FF"/>
          <w:bdr w:val="none" w:sz="0" w:space="0" w:color="auto" w:frame="1"/>
        </w:rPr>
      </w:pPr>
      <w:r w:rsidRPr="00856537">
        <w:rPr>
          <w:rStyle w:val="normaltextrun"/>
          <w:rFonts w:ascii="Cambria" w:hAnsi="Cambria"/>
          <w:color w:val="0000FF"/>
          <w:bdr w:val="none" w:sz="0" w:space="0" w:color="auto" w:frame="1"/>
        </w:rPr>
        <w:fldChar w:fldCharType="end"/>
      </w:r>
      <w:hyperlink w:anchor="_Feedback_on_the_12" w:history="1">
        <w:r w:rsidRPr="00856537">
          <w:rPr>
            <w:rStyle w:val="normaltextrun"/>
            <w:rFonts w:ascii="Cambria" w:eastAsia="Cambria" w:hAnsi="Cambria" w:cs="Arial"/>
            <w:color w:val="0000FF"/>
            <w:u w:val="single"/>
            <w:lang w:val="pt-BR"/>
          </w:rPr>
          <w:t>Traduções de avaliação</w:t>
        </w:r>
      </w:hyperlink>
      <w:bookmarkStart w:id="283" w:name="_Feedback_on_the"/>
      <w:bookmarkStart w:id="284" w:name="_Toc171333345"/>
      <w:bookmarkStart w:id="285" w:name="_Toc199403833"/>
      <w:bookmarkEnd w:id="283"/>
    </w:p>
    <w:p w14:paraId="1B90A74E" w14:textId="6E7756E9" w:rsidR="002E475C" w:rsidRPr="00CC1CB4" w:rsidRDefault="00000000" w:rsidP="00856537">
      <w:pPr>
        <w:pStyle w:val="A30"/>
        <w:spacing w:after="220"/>
        <w:rPr>
          <w:lang w:val="es-ES"/>
        </w:rPr>
      </w:pPr>
      <w:r>
        <w:rPr>
          <w:rStyle w:val="normaltextrun"/>
        </w:rPr>
        <w:t>Feedback sobre a proposta de metas e objetivos de longo prazo</w:t>
      </w:r>
      <w:bookmarkEnd w:id="284"/>
      <w:r>
        <w:rPr>
          <w:rStyle w:val="normaltextrun"/>
        </w:rPr>
        <w:br/>
        <w:t>Sessão 1 (30 de janeiro)</w:t>
      </w:r>
      <w:bookmarkEnd w:id="285"/>
    </w:p>
    <w:p w14:paraId="176F26DE" w14:textId="77777777" w:rsidR="003D261F" w:rsidRPr="00CC1CB4" w:rsidRDefault="00000000" w:rsidP="002E475C">
      <w:pPr>
        <w:rPr>
          <w:rFonts w:cs="Times New Roman"/>
          <w:color w:val="000000"/>
          <w:shd w:val="clear" w:color="auto" w:fill="FFFFFF"/>
          <w:lang w:val="es-ES"/>
        </w:rPr>
      </w:pPr>
      <w:r>
        <w:rPr>
          <w:rFonts w:eastAsia="Times New Roman" w:cs="Arial"/>
          <w:lang w:val="pt-BR"/>
        </w:rPr>
        <w:t xml:space="preserve">Os participantes forneceram </w:t>
      </w:r>
      <w:r>
        <w:rPr>
          <w:rFonts w:eastAsia="Times New Roman" w:cs="Times New Roman"/>
          <w:lang w:val="pt-BR"/>
        </w:rPr>
        <w:t xml:space="preserve">reações iniciais </w:t>
      </w:r>
      <w:r>
        <w:rPr>
          <w:rFonts w:eastAsia="Times New Roman" w:cs="Arial"/>
          <w:lang w:val="pt-BR"/>
        </w:rPr>
        <w:t xml:space="preserve">à </w:t>
      </w:r>
      <w:r>
        <w:rPr>
          <w:rFonts w:eastAsia="Times New Roman" w:cs="Times New Roman"/>
          <w:color w:val="000000"/>
          <w:shd w:val="clear" w:color="auto" w:fill="FFFFFF"/>
          <w:lang w:val="pt-BR"/>
        </w:rPr>
        <w:t xml:space="preserve">proposta com o objetivo de redefinir as metas e objetivos de longo prazo da Every Student Succeeds Act (ESSA) e ajustar as categorias de status alvo. </w:t>
      </w:r>
    </w:p>
    <w:p w14:paraId="1E32C9B9" w14:textId="77777777" w:rsidR="002E475C" w:rsidRPr="00CC1CB4" w:rsidRDefault="00000000" w:rsidP="00C4782A">
      <w:pPr>
        <w:pStyle w:val="4"/>
        <w:rPr>
          <w:lang w:val="es-ES"/>
        </w:rPr>
      </w:pPr>
      <w:bookmarkStart w:id="286" w:name="_Toc199403834"/>
      <w:r>
        <w:rPr>
          <w:rFonts w:ascii="Cambria" w:eastAsia="Cambria" w:hAnsi="Cambria" w:cs="Arial"/>
          <w:szCs w:val="24"/>
          <w:lang w:val="pt-BR"/>
        </w:rPr>
        <w:t>Feedback das partes interessadas</w:t>
      </w:r>
      <w:bookmarkEnd w:id="286"/>
    </w:p>
    <w:p w14:paraId="1D718517" w14:textId="77777777" w:rsidR="00F60C1A" w:rsidRPr="00CC1CB4" w:rsidRDefault="00000000" w:rsidP="002B15CA">
      <w:pPr>
        <w:pStyle w:val="5"/>
        <w:spacing w:before="240"/>
        <w:rPr>
          <w:lang w:val="es-ES"/>
        </w:rPr>
      </w:pPr>
      <w:r>
        <w:rPr>
          <w:rFonts w:ascii="Cambria" w:eastAsia="Cambria" w:hAnsi="Cambria" w:cs="Times New Roman"/>
          <w:bCs/>
          <w:lang w:val="pt-BR"/>
        </w:rPr>
        <w:t>Pergunta 1: Benefícios e preocupações</w:t>
      </w:r>
    </w:p>
    <w:p w14:paraId="270B96C1" w14:textId="77777777" w:rsidR="002E475C" w:rsidRPr="00CC1CB4" w:rsidRDefault="00000000" w:rsidP="00F60C1A">
      <w:pPr>
        <w:rPr>
          <w:b/>
          <w:bCs/>
          <w:lang w:val="es-ES"/>
        </w:rPr>
      </w:pPr>
      <w:r>
        <w:rPr>
          <w:rFonts w:eastAsia="Times New Roman" w:cs="Arial"/>
          <w:b/>
          <w:bCs/>
          <w:color w:val="244061"/>
          <w:lang w:val="pt-BR"/>
        </w:rPr>
        <w:t>Quais são os benefícios da proposta? Quais são algumas preocupações?</w:t>
      </w:r>
    </w:p>
    <w:p w14:paraId="02A323F6" w14:textId="77777777" w:rsidR="002E475C" w:rsidRPr="00CC1CB4" w:rsidRDefault="00000000" w:rsidP="00C4782A">
      <w:pPr>
        <w:pStyle w:val="6"/>
        <w:rPr>
          <w:lang w:val="es-ES"/>
        </w:rPr>
      </w:pPr>
      <w:r>
        <w:rPr>
          <w:rFonts w:ascii="Cambria" w:eastAsia="Cambria" w:hAnsi="Cambria" w:cs="Arial"/>
          <w:lang w:val="pt-BR"/>
        </w:rPr>
        <w:t>Respostas</w:t>
      </w:r>
    </w:p>
    <w:p w14:paraId="47A75089" w14:textId="77777777" w:rsidR="002E475C" w:rsidRPr="00CC1CB4" w:rsidRDefault="00000000" w:rsidP="00C4782A">
      <w:pPr>
        <w:spacing w:after="120"/>
        <w:rPr>
          <w:rFonts w:cs="Times New Roman"/>
          <w:b/>
          <w:bCs/>
          <w:lang w:val="es-ES"/>
        </w:rPr>
      </w:pPr>
      <w:r>
        <w:rPr>
          <w:rFonts w:eastAsia="Times New Roman" w:cs="Times New Roman"/>
          <w:b/>
          <w:bCs/>
          <w:lang w:val="pt-BR"/>
        </w:rPr>
        <w:t>Benefícios:</w:t>
      </w:r>
    </w:p>
    <w:p w14:paraId="78C96C23" w14:textId="77777777" w:rsidR="002E475C" w:rsidRPr="00CC1CB4" w:rsidRDefault="00000000">
      <w:pPr>
        <w:pStyle w:val="a6"/>
        <w:numPr>
          <w:ilvl w:val="0"/>
          <w:numId w:val="119"/>
        </w:numPr>
        <w:spacing w:after="120" w:line="264" w:lineRule="auto"/>
        <w:contextualSpacing w:val="0"/>
        <w:rPr>
          <w:rFonts w:cs="Times New Roman"/>
          <w:lang w:val="es-ES"/>
        </w:rPr>
      </w:pPr>
      <w:r>
        <w:rPr>
          <w:rFonts w:eastAsia="Times New Roman" w:cs="Times New Roman"/>
          <w:lang w:val="pt-BR"/>
        </w:rPr>
        <w:t>Incentiva uma abordagem realista e adaptável para definir metas educacionais pós-COVID.</w:t>
      </w:r>
    </w:p>
    <w:p w14:paraId="62467FC9" w14:textId="77777777" w:rsidR="002E475C" w:rsidRPr="00CC1CB4" w:rsidRDefault="00000000">
      <w:pPr>
        <w:pStyle w:val="a6"/>
        <w:numPr>
          <w:ilvl w:val="0"/>
          <w:numId w:val="119"/>
        </w:numPr>
        <w:spacing w:after="120" w:line="264" w:lineRule="auto"/>
        <w:contextualSpacing w:val="0"/>
        <w:rPr>
          <w:rFonts w:cs="Times New Roman"/>
          <w:lang w:val="es-ES"/>
        </w:rPr>
      </w:pPr>
      <w:r>
        <w:rPr>
          <w:rFonts w:eastAsia="Times New Roman" w:cs="Times New Roman"/>
          <w:lang w:val="pt-BR"/>
        </w:rPr>
        <w:t>Defende medidas de responsabilidade personalizadas e referências flexíveis.</w:t>
      </w:r>
    </w:p>
    <w:p w14:paraId="45A132A3" w14:textId="77777777" w:rsidR="002E475C" w:rsidRPr="00CC1CB4" w:rsidRDefault="00000000">
      <w:pPr>
        <w:pStyle w:val="a6"/>
        <w:numPr>
          <w:ilvl w:val="0"/>
          <w:numId w:val="119"/>
        </w:numPr>
        <w:spacing w:after="120" w:line="264" w:lineRule="auto"/>
        <w:contextualSpacing w:val="0"/>
        <w:rPr>
          <w:rFonts w:cs="Times New Roman"/>
          <w:lang w:val="es-ES"/>
        </w:rPr>
      </w:pPr>
      <w:r>
        <w:rPr>
          <w:rFonts w:eastAsia="Times New Roman" w:cs="Times New Roman"/>
          <w:lang w:val="pt-BR"/>
        </w:rPr>
        <w:t>Garante que as intervenções sejam eficazes e inclusivas em todos os dados demográficos dos alunos.</w:t>
      </w:r>
    </w:p>
    <w:p w14:paraId="54207147" w14:textId="77777777" w:rsidR="002E475C" w:rsidRPr="00CC1CB4" w:rsidRDefault="00000000">
      <w:pPr>
        <w:pStyle w:val="a6"/>
        <w:numPr>
          <w:ilvl w:val="0"/>
          <w:numId w:val="119"/>
        </w:numPr>
        <w:spacing w:after="120" w:line="264" w:lineRule="auto"/>
        <w:contextualSpacing w:val="0"/>
        <w:rPr>
          <w:rFonts w:cs="Times New Roman"/>
          <w:lang w:val="es-ES"/>
        </w:rPr>
      </w:pPr>
      <w:r>
        <w:rPr>
          <w:rFonts w:eastAsia="Times New Roman" w:cs="Times New Roman"/>
          <w:lang w:val="pt-BR"/>
        </w:rPr>
        <w:t>Enfatiza a reavaliação dos níveis de apoio e requisitos para os planos do distrito escolar.</w:t>
      </w:r>
    </w:p>
    <w:p w14:paraId="7BA6975E" w14:textId="77777777" w:rsidR="002E475C" w:rsidRPr="00CC1CB4" w:rsidRDefault="00000000">
      <w:pPr>
        <w:pStyle w:val="a6"/>
        <w:numPr>
          <w:ilvl w:val="0"/>
          <w:numId w:val="119"/>
        </w:numPr>
        <w:spacing w:after="120" w:line="264" w:lineRule="auto"/>
        <w:contextualSpacing w:val="0"/>
        <w:rPr>
          <w:rFonts w:cs="Times New Roman"/>
          <w:lang w:val="es-ES"/>
        </w:rPr>
      </w:pPr>
      <w:r>
        <w:rPr>
          <w:rFonts w:eastAsia="Times New Roman" w:cs="Times New Roman"/>
          <w:lang w:val="pt-BR"/>
        </w:rPr>
        <w:t xml:space="preserve">Compromisso com o crescimento alcançável e reconhecimento de necessidades diversas dos alunos. </w:t>
      </w:r>
    </w:p>
    <w:p w14:paraId="4109E48A" w14:textId="77777777" w:rsidR="002E475C" w:rsidRPr="00CC1CB4" w:rsidRDefault="00000000">
      <w:pPr>
        <w:pStyle w:val="a6"/>
        <w:numPr>
          <w:ilvl w:val="0"/>
          <w:numId w:val="120"/>
        </w:numPr>
        <w:spacing w:after="120" w:line="264" w:lineRule="auto"/>
        <w:contextualSpacing w:val="0"/>
        <w:rPr>
          <w:rFonts w:cs="Times New Roman"/>
          <w:lang w:val="es-ES"/>
        </w:rPr>
      </w:pPr>
      <w:r>
        <w:rPr>
          <w:rFonts w:eastAsia="Times New Roman" w:cs="Times New Roman"/>
          <w:lang w:val="pt-BR"/>
        </w:rPr>
        <w:lastRenderedPageBreak/>
        <w:t>Promove intervenções eficazes e inclusivas, particularmente beneficiando estudantes com deficiências.</w:t>
      </w:r>
    </w:p>
    <w:p w14:paraId="3391517C" w14:textId="77777777" w:rsidR="002E475C" w:rsidRPr="00CC1CB4" w:rsidRDefault="00000000">
      <w:pPr>
        <w:pStyle w:val="a6"/>
        <w:numPr>
          <w:ilvl w:val="0"/>
          <w:numId w:val="121"/>
        </w:numPr>
        <w:spacing w:after="120" w:line="264" w:lineRule="auto"/>
        <w:contextualSpacing w:val="0"/>
        <w:rPr>
          <w:rFonts w:cs="Times New Roman"/>
          <w:lang w:val="es-ES"/>
        </w:rPr>
      </w:pPr>
      <w:r>
        <w:rPr>
          <w:rFonts w:eastAsia="Times New Roman" w:cs="Times New Roman"/>
          <w:lang w:val="pt-BR"/>
        </w:rPr>
        <w:t>A revisão das metas a cada 5 anos pode oferecer vários benefícios.</w:t>
      </w:r>
    </w:p>
    <w:p w14:paraId="68EFC33B" w14:textId="77777777" w:rsidR="002E475C" w:rsidRPr="00CC1CB4" w:rsidRDefault="00000000">
      <w:pPr>
        <w:pStyle w:val="a6"/>
        <w:numPr>
          <w:ilvl w:val="0"/>
          <w:numId w:val="121"/>
        </w:numPr>
        <w:spacing w:after="120" w:line="264" w:lineRule="auto"/>
        <w:contextualSpacing w:val="0"/>
        <w:rPr>
          <w:rFonts w:cs="Times New Roman"/>
          <w:lang w:val="es-ES"/>
        </w:rPr>
      </w:pPr>
      <w:r>
        <w:rPr>
          <w:rFonts w:eastAsia="Times New Roman" w:cs="Times New Roman"/>
          <w:lang w:val="pt-BR"/>
        </w:rPr>
        <w:t>Concentra-se no crescimento e na melhoria contínua – “não é uma linha reta”.</w:t>
      </w:r>
    </w:p>
    <w:p w14:paraId="5121AFAF" w14:textId="77777777" w:rsidR="002E475C" w:rsidRPr="000054FA" w:rsidRDefault="00000000">
      <w:pPr>
        <w:pStyle w:val="a6"/>
        <w:numPr>
          <w:ilvl w:val="0"/>
          <w:numId w:val="121"/>
        </w:numPr>
        <w:spacing w:after="120" w:line="264" w:lineRule="auto"/>
        <w:contextualSpacing w:val="0"/>
        <w:rPr>
          <w:rFonts w:cs="Times New Roman"/>
        </w:rPr>
      </w:pPr>
      <w:r>
        <w:rPr>
          <w:rFonts w:eastAsia="Times New Roman" w:cs="Times New Roman"/>
          <w:lang w:val="pt-BR"/>
        </w:rPr>
        <w:t>Essas mudanças fazem sentido!</w:t>
      </w:r>
    </w:p>
    <w:p w14:paraId="145DB314" w14:textId="77777777" w:rsidR="002E475C" w:rsidRPr="00CC1CB4" w:rsidRDefault="00000000">
      <w:pPr>
        <w:pStyle w:val="a6"/>
        <w:numPr>
          <w:ilvl w:val="0"/>
          <w:numId w:val="121"/>
        </w:numPr>
        <w:spacing w:after="120" w:line="264" w:lineRule="auto"/>
        <w:contextualSpacing w:val="0"/>
        <w:rPr>
          <w:rFonts w:cs="Times New Roman"/>
          <w:lang w:val="es-ES"/>
        </w:rPr>
      </w:pPr>
      <w:r>
        <w:rPr>
          <w:rFonts w:eastAsia="Times New Roman" w:cs="Times New Roman"/>
          <w:lang w:val="pt-BR"/>
        </w:rPr>
        <w:t>Benefícios de revisitar metas com frequência. Oferece uma oportunidade para as escolas melhorarem e documentarem as mudanças.</w:t>
      </w:r>
    </w:p>
    <w:p w14:paraId="69ABCC52" w14:textId="77777777" w:rsidR="002E475C" w:rsidRPr="00CC1CB4" w:rsidRDefault="00000000">
      <w:pPr>
        <w:pStyle w:val="a6"/>
        <w:numPr>
          <w:ilvl w:val="0"/>
          <w:numId w:val="122"/>
        </w:numPr>
        <w:spacing w:after="120" w:line="264" w:lineRule="auto"/>
        <w:contextualSpacing w:val="0"/>
        <w:rPr>
          <w:rFonts w:cs="Times New Roman"/>
          <w:b/>
          <w:bCs/>
          <w:lang w:val="es-ES"/>
        </w:rPr>
      </w:pPr>
      <w:r>
        <w:rPr>
          <w:rFonts w:eastAsia="Times New Roman" w:cs="Times New Roman"/>
          <w:lang w:val="pt-BR"/>
        </w:rPr>
        <w:t xml:space="preserve">O crescimento do gráfico de grupos separados, como alunos com deficiências, alunos multilíngues, alunos transitórios etc., permite um apoio direcionado e fornece uma compreensão mais detalhada do progresso. </w:t>
      </w:r>
    </w:p>
    <w:p w14:paraId="7ECA5F9E" w14:textId="77777777" w:rsidR="002E475C" w:rsidRPr="00CC1CB4" w:rsidRDefault="00000000">
      <w:pPr>
        <w:pStyle w:val="a6"/>
        <w:numPr>
          <w:ilvl w:val="0"/>
          <w:numId w:val="122"/>
        </w:numPr>
        <w:spacing w:after="120" w:line="264" w:lineRule="auto"/>
        <w:contextualSpacing w:val="0"/>
        <w:rPr>
          <w:rFonts w:cs="Times New Roman"/>
          <w:lang w:val="es-ES"/>
        </w:rPr>
      </w:pPr>
      <w:r>
        <w:rPr>
          <w:rFonts w:eastAsia="Times New Roman" w:cs="Times New Roman"/>
          <w:lang w:val="pt-BR"/>
        </w:rPr>
        <w:t>Suporte direcionado aos grupos de alunos mais vulneráveis.</w:t>
      </w:r>
    </w:p>
    <w:p w14:paraId="34C33DF0" w14:textId="77777777" w:rsidR="002E475C" w:rsidRPr="00CC1CB4" w:rsidRDefault="00000000">
      <w:pPr>
        <w:pStyle w:val="a6"/>
        <w:numPr>
          <w:ilvl w:val="0"/>
          <w:numId w:val="122"/>
        </w:numPr>
        <w:spacing w:after="120" w:line="264" w:lineRule="auto"/>
        <w:contextualSpacing w:val="0"/>
        <w:rPr>
          <w:rFonts w:cs="Times New Roman"/>
          <w:b/>
          <w:bCs/>
          <w:lang w:val="es-ES"/>
        </w:rPr>
      </w:pPr>
      <w:r>
        <w:rPr>
          <w:rFonts w:eastAsia="Times New Roman" w:cs="Times New Roman"/>
          <w:lang w:val="pt-BR"/>
        </w:rPr>
        <w:t>Porcentagens ajustadas por grupos de alunos para uma segmentação mais eficaz.</w:t>
      </w:r>
    </w:p>
    <w:p w14:paraId="412BFEAC" w14:textId="77777777" w:rsidR="002E475C" w:rsidRPr="00CC1CB4" w:rsidRDefault="00000000">
      <w:pPr>
        <w:pStyle w:val="a6"/>
        <w:numPr>
          <w:ilvl w:val="0"/>
          <w:numId w:val="122"/>
        </w:numPr>
        <w:spacing w:after="120" w:line="264" w:lineRule="auto"/>
        <w:contextualSpacing w:val="0"/>
        <w:rPr>
          <w:rFonts w:cs="Times New Roman"/>
          <w:lang w:val="es-ES"/>
        </w:rPr>
      </w:pPr>
      <w:r>
        <w:rPr>
          <w:rFonts w:eastAsia="Times New Roman" w:cs="Times New Roman"/>
          <w:lang w:val="pt-BR"/>
        </w:rPr>
        <w:t>As mudanças propostas são focadas em lacunas, fornecendo uma abordagem mais direcionada e eficaz para abordar disparidades na realização.</w:t>
      </w:r>
    </w:p>
    <w:p w14:paraId="4FD5E832" w14:textId="77777777" w:rsidR="002E475C" w:rsidRPr="000054FA" w:rsidRDefault="00000000" w:rsidP="00C4782A">
      <w:pPr>
        <w:spacing w:after="120"/>
        <w:rPr>
          <w:rFonts w:cs="Times New Roman"/>
          <w:b/>
          <w:bCs/>
        </w:rPr>
      </w:pPr>
      <w:r>
        <w:rPr>
          <w:rFonts w:eastAsia="Times New Roman" w:cs="Times New Roman"/>
          <w:b/>
          <w:bCs/>
          <w:lang w:val="pt-BR"/>
        </w:rPr>
        <w:t>Preocupações:</w:t>
      </w:r>
    </w:p>
    <w:p w14:paraId="5C39AC97" w14:textId="77777777" w:rsidR="002E475C" w:rsidRPr="00CC1CB4" w:rsidRDefault="00000000">
      <w:pPr>
        <w:pStyle w:val="a6"/>
        <w:numPr>
          <w:ilvl w:val="0"/>
          <w:numId w:val="122"/>
        </w:numPr>
        <w:spacing w:after="120" w:line="264" w:lineRule="auto"/>
        <w:contextualSpacing w:val="0"/>
        <w:rPr>
          <w:rFonts w:cs="Times New Roman"/>
          <w:lang w:val="es-ES"/>
        </w:rPr>
      </w:pPr>
      <w:r>
        <w:rPr>
          <w:rFonts w:eastAsia="Times New Roman" w:cs="Times New Roman"/>
          <w:lang w:val="pt-BR"/>
        </w:rPr>
        <w:t>Preocupações com o foco em grupos de alunos significativamente baixos em relação a grupos de alto desempenho.</w:t>
      </w:r>
    </w:p>
    <w:p w14:paraId="2B9F024F" w14:textId="77777777" w:rsidR="002E475C" w:rsidRPr="00CC1CB4" w:rsidRDefault="00000000">
      <w:pPr>
        <w:pStyle w:val="a6"/>
        <w:numPr>
          <w:ilvl w:val="0"/>
          <w:numId w:val="122"/>
        </w:numPr>
        <w:spacing w:after="120" w:line="264" w:lineRule="auto"/>
        <w:contextualSpacing w:val="0"/>
        <w:rPr>
          <w:rFonts w:cs="Times New Roman"/>
          <w:lang w:val="es-ES"/>
        </w:rPr>
      </w:pPr>
      <w:r>
        <w:rPr>
          <w:rFonts w:eastAsia="Times New Roman" w:cs="Times New Roman"/>
          <w:lang w:val="pt-BR"/>
        </w:rPr>
        <w:t>Precisa de mudanças mais estratégicas adaptadas a grupos específicos de alunos.</w:t>
      </w:r>
    </w:p>
    <w:p w14:paraId="0E28684B" w14:textId="77777777" w:rsidR="002E475C" w:rsidRPr="00CC1CB4" w:rsidRDefault="00000000">
      <w:pPr>
        <w:pStyle w:val="a6"/>
        <w:numPr>
          <w:ilvl w:val="0"/>
          <w:numId w:val="122"/>
        </w:numPr>
        <w:spacing w:after="120" w:line="264" w:lineRule="auto"/>
        <w:contextualSpacing w:val="0"/>
        <w:rPr>
          <w:rFonts w:cs="Times New Roman"/>
          <w:lang w:val="es-ES"/>
        </w:rPr>
      </w:pPr>
      <w:r>
        <w:rPr>
          <w:rFonts w:eastAsia="Times New Roman" w:cs="Times New Roman"/>
          <w:lang w:val="pt-BR"/>
        </w:rPr>
        <w:t>Perguntas sobre limites baixos de números de linha de base e a eficácia de uma meta de 95%.</w:t>
      </w:r>
    </w:p>
    <w:p w14:paraId="3F35C5AF" w14:textId="77777777" w:rsidR="002E475C" w:rsidRPr="00CC1CB4" w:rsidRDefault="00000000">
      <w:pPr>
        <w:pStyle w:val="a6"/>
        <w:numPr>
          <w:ilvl w:val="0"/>
          <w:numId w:val="122"/>
        </w:numPr>
        <w:spacing w:after="120" w:line="264" w:lineRule="auto"/>
        <w:contextualSpacing w:val="0"/>
        <w:rPr>
          <w:rFonts w:cs="Times New Roman"/>
          <w:lang w:val="es-ES"/>
        </w:rPr>
      </w:pPr>
      <w:r>
        <w:rPr>
          <w:rFonts w:eastAsia="Times New Roman" w:cs="Times New Roman"/>
          <w:lang w:val="pt-BR"/>
        </w:rPr>
        <w:t>Sugestão de um nível mínimo mais alto para intervenção para garantir que todos os alunos recebam o apoio necessário.</w:t>
      </w:r>
    </w:p>
    <w:p w14:paraId="0CEDAC82" w14:textId="77777777" w:rsidR="002E475C" w:rsidRPr="00CC1CB4" w:rsidRDefault="00000000">
      <w:pPr>
        <w:pStyle w:val="a6"/>
        <w:numPr>
          <w:ilvl w:val="0"/>
          <w:numId w:val="123"/>
        </w:numPr>
        <w:spacing w:after="120" w:line="264" w:lineRule="auto"/>
        <w:contextualSpacing w:val="0"/>
        <w:rPr>
          <w:rFonts w:cs="Times New Roman"/>
          <w:lang w:val="es-ES"/>
        </w:rPr>
      </w:pPr>
      <w:r>
        <w:rPr>
          <w:rFonts w:eastAsia="Times New Roman" w:cs="Times New Roman"/>
          <w:lang w:val="pt-BR"/>
        </w:rPr>
        <w:t>Ceticismo sobre referências ambiciosas sem conhecimento claro da situação pós-COVID.</w:t>
      </w:r>
    </w:p>
    <w:p w14:paraId="14FFBA37" w14:textId="77777777" w:rsidR="002E475C" w:rsidRPr="00CC1CB4" w:rsidRDefault="00000000">
      <w:pPr>
        <w:pStyle w:val="a6"/>
        <w:numPr>
          <w:ilvl w:val="0"/>
          <w:numId w:val="123"/>
        </w:numPr>
        <w:spacing w:after="120" w:line="264" w:lineRule="auto"/>
        <w:contextualSpacing w:val="0"/>
        <w:rPr>
          <w:rFonts w:cs="Times New Roman"/>
          <w:lang w:val="es-ES"/>
        </w:rPr>
      </w:pPr>
      <w:r>
        <w:rPr>
          <w:rFonts w:eastAsia="Times New Roman" w:cs="Times New Roman"/>
          <w:lang w:val="pt-BR"/>
        </w:rPr>
        <w:t>Preocupações sobre a viabilidade de reduzir as taxas de proficiência e o nível de apoio do estado.</w:t>
      </w:r>
    </w:p>
    <w:p w14:paraId="3197924B" w14:textId="77777777" w:rsidR="002E475C" w:rsidRPr="00CC1CB4" w:rsidRDefault="00000000">
      <w:pPr>
        <w:pStyle w:val="a6"/>
        <w:numPr>
          <w:ilvl w:val="0"/>
          <w:numId w:val="123"/>
        </w:numPr>
        <w:spacing w:after="120" w:line="264" w:lineRule="auto"/>
        <w:contextualSpacing w:val="0"/>
        <w:rPr>
          <w:rFonts w:cs="Times New Roman"/>
          <w:lang w:val="es-ES"/>
        </w:rPr>
      </w:pPr>
      <w:r>
        <w:rPr>
          <w:rFonts w:eastAsia="Times New Roman" w:cs="Times New Roman"/>
          <w:lang w:val="pt-BR"/>
        </w:rPr>
        <w:t>Ênfase em medidas de responsabilidade personalizadas e referências flexíveis.</w:t>
      </w:r>
    </w:p>
    <w:p w14:paraId="1ED41792" w14:textId="77777777" w:rsidR="002E475C" w:rsidRPr="00CC1CB4" w:rsidRDefault="00000000">
      <w:pPr>
        <w:pStyle w:val="a6"/>
        <w:numPr>
          <w:ilvl w:val="0"/>
          <w:numId w:val="123"/>
        </w:numPr>
        <w:spacing w:after="120" w:line="264" w:lineRule="auto"/>
        <w:contextualSpacing w:val="0"/>
        <w:rPr>
          <w:rFonts w:cs="Times New Roman"/>
          <w:lang w:val="es-ES"/>
        </w:rPr>
      </w:pPr>
      <w:r>
        <w:rPr>
          <w:rFonts w:eastAsia="Times New Roman" w:cs="Times New Roman"/>
          <w:lang w:val="pt-BR"/>
        </w:rPr>
        <w:t>Destacar uma população diversificada de estudantes pode não ser adequadamente servido sob metas uniformes.</w:t>
      </w:r>
    </w:p>
    <w:p w14:paraId="49990B17" w14:textId="77777777" w:rsidR="002E475C" w:rsidRPr="00CC1CB4" w:rsidRDefault="00000000">
      <w:pPr>
        <w:pStyle w:val="a6"/>
        <w:numPr>
          <w:ilvl w:val="0"/>
          <w:numId w:val="124"/>
        </w:numPr>
        <w:spacing w:after="120" w:line="264" w:lineRule="auto"/>
        <w:contextualSpacing w:val="0"/>
        <w:rPr>
          <w:rFonts w:cs="Times New Roman"/>
          <w:lang w:val="es-ES"/>
        </w:rPr>
      </w:pPr>
      <w:r>
        <w:rPr>
          <w:rFonts w:eastAsia="Times New Roman" w:cs="Times New Roman"/>
          <w:lang w:val="pt-BR"/>
        </w:rPr>
        <w:t>Necessidade de reavaliar os níveis de apoio e requisitos para diferentes distritos escolares.</w:t>
      </w:r>
    </w:p>
    <w:p w14:paraId="0F4B3D09" w14:textId="77777777" w:rsidR="002E475C" w:rsidRPr="00CC1CB4" w:rsidRDefault="00000000">
      <w:pPr>
        <w:pStyle w:val="a6"/>
        <w:numPr>
          <w:ilvl w:val="0"/>
          <w:numId w:val="125"/>
        </w:numPr>
        <w:spacing w:after="120" w:line="264" w:lineRule="auto"/>
        <w:contextualSpacing w:val="0"/>
        <w:rPr>
          <w:rFonts w:cs="Times New Roman"/>
          <w:lang w:val="es-ES"/>
        </w:rPr>
      </w:pPr>
      <w:r>
        <w:rPr>
          <w:rFonts w:eastAsia="Times New Roman" w:cs="Times New Roman"/>
          <w:lang w:val="pt-BR"/>
        </w:rPr>
        <w:t>O ceticismo sobre se as mudanças propostas seriam eficazes na abordagem de problemas de longa data, indicando a necessidade de uma abordagem diferente. Enfatizar a importância da liderança, avaliação do sistema para professores e supervisores e implementação de apoios de aprendizagem profissional.</w:t>
      </w:r>
    </w:p>
    <w:p w14:paraId="54714747" w14:textId="77777777" w:rsidR="00F757D9" w:rsidRPr="00CC1CB4" w:rsidRDefault="00000000">
      <w:pPr>
        <w:pStyle w:val="a6"/>
        <w:numPr>
          <w:ilvl w:val="0"/>
          <w:numId w:val="126"/>
        </w:numPr>
        <w:spacing w:after="120" w:line="264" w:lineRule="auto"/>
        <w:contextualSpacing w:val="0"/>
        <w:rPr>
          <w:rFonts w:cs="Times New Roman"/>
          <w:lang w:val="es-ES"/>
        </w:rPr>
      </w:pPr>
      <w:r>
        <w:rPr>
          <w:rFonts w:eastAsia="Times New Roman" w:cs="Times New Roman"/>
          <w:lang w:val="pt-BR"/>
        </w:rPr>
        <w:t xml:space="preserve">Preocupações sobre se 5 anos é suficiente para reduzir a lacuna de desempenho em 25%. </w:t>
      </w:r>
    </w:p>
    <w:p w14:paraId="18C853CD" w14:textId="77777777" w:rsidR="002E475C" w:rsidRPr="00CC1CB4" w:rsidRDefault="00000000">
      <w:pPr>
        <w:pStyle w:val="a6"/>
        <w:numPr>
          <w:ilvl w:val="0"/>
          <w:numId w:val="126"/>
        </w:numPr>
        <w:spacing w:after="120" w:line="264" w:lineRule="auto"/>
        <w:contextualSpacing w:val="0"/>
        <w:rPr>
          <w:rFonts w:cs="Times New Roman"/>
          <w:lang w:val="es-ES"/>
        </w:rPr>
      </w:pPr>
      <w:r>
        <w:rPr>
          <w:rFonts w:eastAsia="Times New Roman" w:cs="Times New Roman"/>
          <w:lang w:val="pt-BR"/>
        </w:rPr>
        <w:t>Sugestão para buscar uma redução de 10% em 5 anos.</w:t>
      </w:r>
    </w:p>
    <w:p w14:paraId="58438D41" w14:textId="77777777" w:rsidR="002E475C" w:rsidRPr="00CC1CB4" w:rsidRDefault="00000000">
      <w:pPr>
        <w:pStyle w:val="a6"/>
        <w:numPr>
          <w:ilvl w:val="0"/>
          <w:numId w:val="127"/>
        </w:numPr>
        <w:spacing w:after="120" w:line="264" w:lineRule="auto"/>
        <w:contextualSpacing w:val="0"/>
        <w:rPr>
          <w:rFonts w:cs="Times New Roman"/>
          <w:lang w:val="es-ES"/>
        </w:rPr>
      </w:pPr>
      <w:r>
        <w:rPr>
          <w:rFonts w:eastAsia="Times New Roman" w:cs="Times New Roman"/>
          <w:lang w:val="pt-BR"/>
        </w:rPr>
        <w:t>Incerteza sobre a melhora das taxas de formação sem melhora da taxa de inclusão.</w:t>
      </w:r>
    </w:p>
    <w:p w14:paraId="328ECFC7" w14:textId="77777777" w:rsidR="002E475C" w:rsidRPr="00CC1CB4" w:rsidRDefault="00000000">
      <w:pPr>
        <w:pStyle w:val="a6"/>
        <w:numPr>
          <w:ilvl w:val="0"/>
          <w:numId w:val="127"/>
        </w:numPr>
        <w:spacing w:after="120" w:line="264" w:lineRule="auto"/>
        <w:contextualSpacing w:val="0"/>
        <w:rPr>
          <w:rFonts w:cs="Times New Roman"/>
          <w:lang w:val="es-ES"/>
        </w:rPr>
      </w:pPr>
      <w:r>
        <w:rPr>
          <w:rFonts w:eastAsia="Times New Roman" w:cs="Times New Roman"/>
          <w:lang w:val="pt-BR"/>
        </w:rPr>
        <w:lastRenderedPageBreak/>
        <w:t>Preocupações sobre o impacto das mudanças propostas nos grupos de estudantes de educação especial.</w:t>
      </w:r>
    </w:p>
    <w:p w14:paraId="2BC5E4FA" w14:textId="77777777" w:rsidR="002E475C" w:rsidRPr="00CC1CB4" w:rsidRDefault="00000000" w:rsidP="002B15CA">
      <w:pPr>
        <w:pStyle w:val="5"/>
        <w:spacing w:before="240"/>
        <w:rPr>
          <w:lang w:val="es-ES"/>
        </w:rPr>
      </w:pPr>
      <w:r>
        <w:rPr>
          <w:rFonts w:ascii="Cambria" w:eastAsia="Cambria" w:hAnsi="Cambria" w:cs="Times New Roman"/>
          <w:bCs/>
          <w:lang w:val="pt-BR"/>
        </w:rPr>
        <w:t>Pergunta 2: Eles ainda são ambiciosos com metas anuais?</w:t>
      </w:r>
    </w:p>
    <w:p w14:paraId="61EE22EF" w14:textId="77777777" w:rsidR="002E475C" w:rsidRPr="00C4782A" w:rsidRDefault="00000000" w:rsidP="00C4782A">
      <w:pPr>
        <w:pStyle w:val="6"/>
      </w:pPr>
      <w:r>
        <w:rPr>
          <w:rFonts w:ascii="Cambria" w:eastAsia="Cambria" w:hAnsi="Cambria" w:cs="Arial"/>
          <w:lang w:val="pt-BR"/>
        </w:rPr>
        <w:t>Respostas</w:t>
      </w:r>
    </w:p>
    <w:p w14:paraId="07BF1C0B" w14:textId="77777777" w:rsidR="002E475C" w:rsidRPr="00CC1CB4" w:rsidRDefault="00000000">
      <w:pPr>
        <w:pStyle w:val="a6"/>
        <w:numPr>
          <w:ilvl w:val="0"/>
          <w:numId w:val="129"/>
        </w:numPr>
        <w:spacing w:after="120" w:line="264" w:lineRule="auto"/>
        <w:contextualSpacing w:val="0"/>
        <w:rPr>
          <w:rFonts w:eastAsia="Times New Roman" w:cs="Times New Roman"/>
          <w:lang w:val="es-ES"/>
        </w:rPr>
      </w:pPr>
      <w:r>
        <w:rPr>
          <w:rFonts w:eastAsia="Times New Roman" w:cs="Times New Roman"/>
          <w:lang w:val="pt-BR"/>
        </w:rPr>
        <w:t>Se os distritos estiverem excedendo as metas, nenhuma preocupação é levantada; no entanto, são sugeridas intervenções para distritos com baixo desempenho.</w:t>
      </w:r>
    </w:p>
    <w:p w14:paraId="49A39714" w14:textId="77777777" w:rsidR="002E475C" w:rsidRPr="00CC1CB4" w:rsidRDefault="00000000">
      <w:pPr>
        <w:pStyle w:val="a6"/>
        <w:numPr>
          <w:ilvl w:val="0"/>
          <w:numId w:val="129"/>
        </w:numPr>
        <w:spacing w:after="120" w:line="264" w:lineRule="auto"/>
        <w:contextualSpacing w:val="0"/>
        <w:rPr>
          <w:rFonts w:eastAsia="Times New Roman" w:cs="Times New Roman"/>
          <w:lang w:val="es-ES"/>
        </w:rPr>
      </w:pPr>
      <w:r>
        <w:rPr>
          <w:rFonts w:eastAsia="Times New Roman" w:cs="Times New Roman"/>
          <w:lang w:val="pt-BR"/>
        </w:rPr>
        <w:t>Perguntas sobre a justificativa por trás da manutenção da meta de 5 anos sem ajuste.</w:t>
      </w:r>
    </w:p>
    <w:p w14:paraId="23E7C63D" w14:textId="77777777" w:rsidR="002E475C" w:rsidRPr="00CC1CB4" w:rsidRDefault="00000000">
      <w:pPr>
        <w:pStyle w:val="a6"/>
        <w:numPr>
          <w:ilvl w:val="0"/>
          <w:numId w:val="129"/>
        </w:numPr>
        <w:spacing w:after="120" w:line="264" w:lineRule="auto"/>
        <w:contextualSpacing w:val="0"/>
        <w:rPr>
          <w:rFonts w:eastAsia="Times New Roman" w:cs="Times New Roman"/>
          <w:lang w:val="es-ES"/>
        </w:rPr>
      </w:pPr>
      <w:r>
        <w:rPr>
          <w:rFonts w:eastAsia="Times New Roman" w:cs="Times New Roman"/>
          <w:lang w:val="pt-BR"/>
        </w:rPr>
        <w:t>Preocupações com relação a maneiras como a eficácia das intervenções para melhorar o desempenho é medida e avaliada.</w:t>
      </w:r>
    </w:p>
    <w:p w14:paraId="0DACE230" w14:textId="77777777" w:rsidR="002E475C" w:rsidRPr="00CC1CB4" w:rsidRDefault="00000000">
      <w:pPr>
        <w:pStyle w:val="paragraph"/>
        <w:numPr>
          <w:ilvl w:val="0"/>
          <w:numId w:val="128"/>
        </w:numPr>
        <w:spacing w:before="0" w:beforeAutospacing="0" w:after="120" w:afterAutospacing="0"/>
        <w:textAlignment w:val="baseline"/>
        <w:rPr>
          <w:szCs w:val="22"/>
          <w:lang w:val="es-ES"/>
        </w:rPr>
      </w:pPr>
      <w:r>
        <w:rPr>
          <w:szCs w:val="22"/>
          <w:lang w:val="pt-BR"/>
        </w:rPr>
        <w:t xml:space="preserve">Perguntas sobre a ambição das metas anuais e os benefícios de ajustar metas nesse ínterim. </w:t>
      </w:r>
    </w:p>
    <w:p w14:paraId="3C6DFE9D" w14:textId="77777777" w:rsidR="002E475C" w:rsidRPr="00CC1CB4" w:rsidRDefault="00000000">
      <w:pPr>
        <w:pStyle w:val="paragraph"/>
        <w:numPr>
          <w:ilvl w:val="0"/>
          <w:numId w:val="128"/>
        </w:numPr>
        <w:spacing w:after="120" w:afterAutospacing="0"/>
        <w:textAlignment w:val="baseline"/>
        <w:rPr>
          <w:szCs w:val="22"/>
          <w:lang w:val="es-ES"/>
        </w:rPr>
      </w:pPr>
      <w:r>
        <w:rPr>
          <w:szCs w:val="22"/>
          <w:lang w:val="pt-BR"/>
        </w:rPr>
        <w:t>Perguntas sobre os critérios para as escolas se qualificarem para apoio adicional se atenderem às metas ajustadas.</w:t>
      </w:r>
    </w:p>
    <w:p w14:paraId="62CDA932" w14:textId="77777777" w:rsidR="002E475C" w:rsidRPr="00CC1CB4" w:rsidRDefault="00000000">
      <w:pPr>
        <w:pStyle w:val="paragraph"/>
        <w:numPr>
          <w:ilvl w:val="0"/>
          <w:numId w:val="128"/>
        </w:numPr>
        <w:spacing w:after="120" w:afterAutospacing="0"/>
        <w:textAlignment w:val="baseline"/>
        <w:rPr>
          <w:szCs w:val="22"/>
          <w:lang w:val="es-ES"/>
        </w:rPr>
      </w:pPr>
      <w:r>
        <w:rPr>
          <w:szCs w:val="22"/>
          <w:lang w:val="pt-BR"/>
        </w:rPr>
        <w:t>Preocupações sobre se as escolas ainda precisarão de apoio se atingirem a meta ajustada, mas ficarem abaixo da linha de base.</w:t>
      </w:r>
    </w:p>
    <w:p w14:paraId="06E0CD0B" w14:textId="77777777" w:rsidR="002E475C" w:rsidRPr="00CC1CB4" w:rsidRDefault="00000000">
      <w:pPr>
        <w:pStyle w:val="a6"/>
        <w:numPr>
          <w:ilvl w:val="0"/>
          <w:numId w:val="130"/>
        </w:numPr>
        <w:spacing w:after="120" w:line="264" w:lineRule="auto"/>
        <w:contextualSpacing w:val="0"/>
        <w:rPr>
          <w:rFonts w:eastAsia="Times New Roman" w:cs="Times New Roman"/>
          <w:lang w:val="es-ES"/>
        </w:rPr>
      </w:pPr>
      <w:r>
        <w:rPr>
          <w:rFonts w:eastAsia="Times New Roman" w:cs="Times New Roman"/>
          <w:lang w:val="pt-BR"/>
        </w:rPr>
        <w:t xml:space="preserve">O ajuste das trajetórias para os alvos foi visto como fazendo mais sentido e sendo mais alcançável para evitar a preparação das escolas para o fracasso. </w:t>
      </w:r>
    </w:p>
    <w:p w14:paraId="7926C55B" w14:textId="77777777" w:rsidR="002E475C" w:rsidRPr="00CC1CB4" w:rsidRDefault="00000000">
      <w:pPr>
        <w:pStyle w:val="a6"/>
        <w:numPr>
          <w:ilvl w:val="0"/>
          <w:numId w:val="130"/>
        </w:numPr>
        <w:spacing w:after="120" w:line="264" w:lineRule="auto"/>
        <w:contextualSpacing w:val="0"/>
        <w:rPr>
          <w:rFonts w:eastAsia="Times New Roman" w:cs="Times New Roman"/>
          <w:lang w:val="es-ES"/>
        </w:rPr>
      </w:pPr>
      <w:r>
        <w:rPr>
          <w:rFonts w:eastAsia="Times New Roman" w:cs="Times New Roman"/>
          <w:lang w:val="pt-BR"/>
        </w:rPr>
        <w:t>Ênfase na importância de ter um caminho claro para alcançar metas, destacando que definir metas é apenas o começo e que o desenvolvimento e a responsabilidade são cruciais para o sucesso.</w:t>
      </w:r>
    </w:p>
    <w:p w14:paraId="5F6E3442" w14:textId="77777777" w:rsidR="002E475C" w:rsidRPr="00CC1CB4" w:rsidRDefault="00000000">
      <w:pPr>
        <w:pStyle w:val="a6"/>
        <w:numPr>
          <w:ilvl w:val="0"/>
          <w:numId w:val="130"/>
        </w:numPr>
        <w:spacing w:after="120" w:line="264" w:lineRule="auto"/>
        <w:contextualSpacing w:val="0"/>
        <w:rPr>
          <w:rFonts w:eastAsia="Times New Roman" w:cs="Times New Roman"/>
          <w:lang w:val="es-ES"/>
        </w:rPr>
      </w:pPr>
      <w:r>
        <w:rPr>
          <w:rFonts w:eastAsia="Times New Roman" w:cs="Times New Roman"/>
          <w:lang w:val="pt-BR"/>
        </w:rPr>
        <w:t>Concordância de que as metas devem ser baseadas nos dados disponíveis, com foco no crescimento dos alunos baseado em evidências, particularmente apoiando a meta de 25%.</w:t>
      </w:r>
    </w:p>
    <w:p w14:paraId="21D7C017" w14:textId="77777777" w:rsidR="002E475C" w:rsidRPr="00CC1CB4" w:rsidRDefault="00000000">
      <w:pPr>
        <w:pStyle w:val="a6"/>
        <w:numPr>
          <w:ilvl w:val="0"/>
          <w:numId w:val="130"/>
        </w:numPr>
        <w:spacing w:after="120" w:line="264" w:lineRule="auto"/>
        <w:contextualSpacing w:val="0"/>
        <w:rPr>
          <w:rFonts w:eastAsia="Times New Roman" w:cs="Times New Roman"/>
          <w:lang w:val="es-ES"/>
        </w:rPr>
      </w:pPr>
      <w:r>
        <w:rPr>
          <w:rFonts w:eastAsia="Times New Roman" w:cs="Times New Roman"/>
          <w:lang w:val="pt-BR"/>
        </w:rPr>
        <w:t>As metas atuais são mais palatáveis e realistas em comparação com as metas anteriores da ESSA.</w:t>
      </w:r>
    </w:p>
    <w:p w14:paraId="6CF0EC59" w14:textId="77777777" w:rsidR="002E475C" w:rsidRPr="00CC1CB4" w:rsidRDefault="00000000">
      <w:pPr>
        <w:pStyle w:val="a6"/>
        <w:numPr>
          <w:ilvl w:val="0"/>
          <w:numId w:val="131"/>
        </w:numPr>
        <w:spacing w:after="120" w:line="264" w:lineRule="auto"/>
        <w:contextualSpacing w:val="0"/>
        <w:rPr>
          <w:rFonts w:eastAsia="Times New Roman" w:cs="Times New Roman"/>
          <w:lang w:val="es-ES"/>
        </w:rPr>
      </w:pPr>
      <w:r>
        <w:rPr>
          <w:rFonts w:eastAsia="Times New Roman" w:cs="Times New Roman"/>
          <w:lang w:val="pt-BR"/>
        </w:rPr>
        <w:t xml:space="preserve">Perguntas sobre a validade e precisão dos dados e estudos que apoiam a iniciativa, ceticismo em relação a testes padronizados. </w:t>
      </w:r>
    </w:p>
    <w:p w14:paraId="71A802CC" w14:textId="77777777" w:rsidR="002E475C" w:rsidRPr="00CC1CB4" w:rsidRDefault="00000000">
      <w:pPr>
        <w:pStyle w:val="a6"/>
        <w:numPr>
          <w:ilvl w:val="0"/>
          <w:numId w:val="131"/>
        </w:numPr>
        <w:spacing w:after="120" w:line="264" w:lineRule="auto"/>
        <w:contextualSpacing w:val="0"/>
        <w:rPr>
          <w:rFonts w:eastAsia="Times New Roman" w:cs="Times New Roman"/>
          <w:lang w:val="es-ES"/>
        </w:rPr>
      </w:pPr>
      <w:r>
        <w:rPr>
          <w:rFonts w:eastAsia="Times New Roman" w:cs="Times New Roman"/>
          <w:lang w:val="pt-BR"/>
        </w:rPr>
        <w:t>Preocupações em focar mais no sistema escolar do que em estudantes individuais, observando a variabilidade dos grupos de estudantes a cada ano. Sugestões para considerar o modelo de grupo para uma abordagem mais abrangente.</w:t>
      </w:r>
    </w:p>
    <w:p w14:paraId="55803EAC" w14:textId="77777777" w:rsidR="002E475C" w:rsidRPr="00CC1CB4" w:rsidRDefault="00000000">
      <w:pPr>
        <w:pStyle w:val="a6"/>
        <w:numPr>
          <w:ilvl w:val="0"/>
          <w:numId w:val="131"/>
        </w:numPr>
        <w:spacing w:after="120" w:line="264" w:lineRule="auto"/>
        <w:contextualSpacing w:val="0"/>
        <w:rPr>
          <w:rFonts w:eastAsia="Times New Roman" w:cs="Times New Roman"/>
          <w:lang w:val="es-ES"/>
        </w:rPr>
      </w:pPr>
      <w:r>
        <w:rPr>
          <w:rFonts w:eastAsia="Times New Roman" w:cs="Times New Roman"/>
          <w:lang w:val="pt-BR"/>
        </w:rPr>
        <w:t>A proposta está alinhada com os planos estratégicos de vários distritos, fornecendo informações sobre as atividades escolares atuais.</w:t>
      </w:r>
    </w:p>
    <w:p w14:paraId="33F14259" w14:textId="77777777" w:rsidR="002E475C" w:rsidRPr="00CC1CB4" w:rsidRDefault="00000000">
      <w:pPr>
        <w:pStyle w:val="a6"/>
        <w:numPr>
          <w:ilvl w:val="0"/>
          <w:numId w:val="132"/>
        </w:numPr>
        <w:spacing w:after="120" w:line="264" w:lineRule="auto"/>
        <w:contextualSpacing w:val="0"/>
        <w:rPr>
          <w:rFonts w:eastAsia="Times New Roman" w:cs="Times New Roman"/>
          <w:lang w:val="es-ES"/>
        </w:rPr>
      </w:pPr>
      <w:r>
        <w:rPr>
          <w:rFonts w:eastAsia="Times New Roman" w:cs="Times New Roman"/>
          <w:lang w:val="pt-BR"/>
        </w:rPr>
        <w:t>A ênfase é dada à importância da implementação para o sucesso.</w:t>
      </w:r>
    </w:p>
    <w:p w14:paraId="498B1F75" w14:textId="77777777" w:rsidR="002E475C" w:rsidRPr="00CC1CB4" w:rsidRDefault="00000000">
      <w:pPr>
        <w:pStyle w:val="a6"/>
        <w:numPr>
          <w:ilvl w:val="0"/>
          <w:numId w:val="133"/>
        </w:numPr>
        <w:spacing w:after="120" w:line="264" w:lineRule="auto"/>
        <w:contextualSpacing w:val="0"/>
        <w:rPr>
          <w:rFonts w:eastAsia="Times New Roman" w:cs="Times New Roman"/>
          <w:lang w:val="es-ES"/>
        </w:rPr>
      </w:pPr>
      <w:r>
        <w:rPr>
          <w:rFonts w:eastAsia="Times New Roman" w:cs="Times New Roman"/>
          <w:lang w:val="pt-BR"/>
        </w:rPr>
        <w:t>Expressa preocupação sobre a possibilidade de as escolas não atingirem as metas e a necessidade potencial de intensificar os esforços para alcançar metas de longo prazo.</w:t>
      </w:r>
    </w:p>
    <w:p w14:paraId="79429E26" w14:textId="77777777" w:rsidR="002E475C" w:rsidRPr="00CC1CB4" w:rsidRDefault="00000000">
      <w:pPr>
        <w:pStyle w:val="a6"/>
        <w:numPr>
          <w:ilvl w:val="0"/>
          <w:numId w:val="133"/>
        </w:numPr>
        <w:spacing w:after="120" w:line="264" w:lineRule="auto"/>
        <w:contextualSpacing w:val="0"/>
        <w:rPr>
          <w:rFonts w:eastAsia="Times New Roman" w:cs="Times New Roman"/>
          <w:lang w:val="es-ES"/>
        </w:rPr>
      </w:pPr>
      <w:r>
        <w:rPr>
          <w:rFonts w:eastAsia="Times New Roman" w:cs="Times New Roman"/>
          <w:lang w:val="pt-BR"/>
        </w:rPr>
        <w:t>Acredita que as metas são ambíguas, enfatizando a necessidade de considerar vários fatores ao definir metas anuais.</w:t>
      </w:r>
    </w:p>
    <w:p w14:paraId="0BB9FF0F" w14:textId="77777777" w:rsidR="002E475C" w:rsidRPr="00CC1CB4" w:rsidRDefault="00000000">
      <w:pPr>
        <w:pStyle w:val="a6"/>
        <w:numPr>
          <w:ilvl w:val="0"/>
          <w:numId w:val="133"/>
        </w:numPr>
        <w:spacing w:after="120" w:line="264" w:lineRule="auto"/>
        <w:contextualSpacing w:val="0"/>
        <w:rPr>
          <w:rFonts w:eastAsia="Times New Roman" w:cs="Times New Roman"/>
          <w:lang w:val="es-ES"/>
        </w:rPr>
      </w:pPr>
      <w:r>
        <w:rPr>
          <w:rFonts w:eastAsia="Times New Roman" w:cs="Times New Roman"/>
          <w:lang w:val="pt-BR"/>
        </w:rPr>
        <w:t>Expressa ceticismo sobre a probabilidade de atingir a meta geral.</w:t>
      </w:r>
    </w:p>
    <w:p w14:paraId="797AA19C" w14:textId="77777777" w:rsidR="002E475C" w:rsidRPr="00CC1CB4" w:rsidRDefault="00000000" w:rsidP="00C4782A">
      <w:pPr>
        <w:pStyle w:val="4"/>
        <w:rPr>
          <w:lang w:val="es-ES"/>
        </w:rPr>
      </w:pPr>
      <w:bookmarkStart w:id="287" w:name="_Toc199403835"/>
      <w:r>
        <w:rPr>
          <w:rFonts w:ascii="Cambria" w:eastAsia="Cambria" w:hAnsi="Cambria" w:cs="Arial"/>
          <w:szCs w:val="24"/>
          <w:lang w:val="pt-BR"/>
        </w:rPr>
        <w:t>Principais pontos de feedback sobre a proposta de metas e objetivos de longo prazo</w:t>
      </w:r>
      <w:bookmarkEnd w:id="287"/>
    </w:p>
    <w:p w14:paraId="7096E298" w14:textId="77777777" w:rsidR="002E475C" w:rsidRPr="00364862" w:rsidRDefault="00000000" w:rsidP="00C4782A">
      <w:pPr>
        <w:pStyle w:val="5"/>
      </w:pPr>
      <w:r>
        <w:rPr>
          <w:rFonts w:ascii="Cambria" w:eastAsia="Cambria" w:hAnsi="Cambria" w:cs="Times New Roman"/>
          <w:bCs/>
          <w:lang w:val="pt-BR"/>
        </w:rPr>
        <w:lastRenderedPageBreak/>
        <w:t>Respostas</w:t>
      </w:r>
    </w:p>
    <w:p w14:paraId="677FC40C" w14:textId="77777777" w:rsidR="002E475C" w:rsidRPr="00CC1CB4" w:rsidRDefault="00000000">
      <w:pPr>
        <w:pStyle w:val="a6"/>
        <w:numPr>
          <w:ilvl w:val="0"/>
          <w:numId w:val="133"/>
        </w:numPr>
        <w:spacing w:after="120" w:line="264" w:lineRule="auto"/>
        <w:contextualSpacing w:val="0"/>
        <w:rPr>
          <w:rFonts w:eastAsia="Times New Roman" w:cs="Times New Roman"/>
          <w:lang w:val="es-ES"/>
        </w:rPr>
      </w:pPr>
      <w:r>
        <w:rPr>
          <w:rFonts w:eastAsia="Times New Roman" w:cs="Times New Roman"/>
          <w:lang w:val="pt-BR"/>
        </w:rPr>
        <w:t>Desejo por mais dados, especificamente dados pré/pós de escolas que trabalham com o NJDOE, especialmente sobre dados de colocação para estudantes com deficiências.</w:t>
      </w:r>
    </w:p>
    <w:p w14:paraId="2B90F0AE" w14:textId="77777777" w:rsidR="002E475C" w:rsidRPr="00CC1CB4" w:rsidRDefault="00000000">
      <w:pPr>
        <w:pStyle w:val="a6"/>
        <w:numPr>
          <w:ilvl w:val="0"/>
          <w:numId w:val="133"/>
        </w:numPr>
        <w:spacing w:after="120" w:line="264" w:lineRule="auto"/>
        <w:contextualSpacing w:val="0"/>
        <w:rPr>
          <w:rFonts w:eastAsia="Times New Roman" w:cs="Times New Roman"/>
          <w:lang w:val="es-ES"/>
        </w:rPr>
      </w:pPr>
      <w:r>
        <w:rPr>
          <w:rFonts w:eastAsia="Times New Roman" w:cs="Times New Roman"/>
          <w:lang w:val="pt-BR"/>
        </w:rPr>
        <w:t>Valorização pela eficiência e clareza da apresentação.</w:t>
      </w:r>
    </w:p>
    <w:p w14:paraId="726E0166" w14:textId="77777777" w:rsidR="002E475C" w:rsidRPr="00CC1CB4" w:rsidRDefault="00000000">
      <w:pPr>
        <w:pStyle w:val="a6"/>
        <w:numPr>
          <w:ilvl w:val="0"/>
          <w:numId w:val="133"/>
        </w:numPr>
        <w:spacing w:after="120" w:line="264" w:lineRule="auto"/>
        <w:contextualSpacing w:val="0"/>
        <w:rPr>
          <w:rFonts w:eastAsia="Times New Roman" w:cs="Times New Roman"/>
          <w:lang w:val="es-ES"/>
        </w:rPr>
      </w:pPr>
      <w:r>
        <w:rPr>
          <w:rFonts w:eastAsia="Times New Roman" w:cs="Times New Roman"/>
          <w:lang w:val="pt-BR"/>
        </w:rPr>
        <w:t>Reconhecimento das considerações significativas que estão sendo feitas para melhorar as necessidades do plano estadual anterior.</w:t>
      </w:r>
    </w:p>
    <w:p w14:paraId="01389D1F" w14:textId="77777777" w:rsidR="002E475C" w:rsidRPr="00CC1CB4" w:rsidRDefault="00000000">
      <w:pPr>
        <w:pStyle w:val="a6"/>
        <w:numPr>
          <w:ilvl w:val="0"/>
          <w:numId w:val="133"/>
        </w:numPr>
        <w:spacing w:after="120" w:line="264" w:lineRule="auto"/>
        <w:contextualSpacing w:val="0"/>
        <w:rPr>
          <w:rFonts w:eastAsia="Times New Roman" w:cs="Times New Roman"/>
          <w:lang w:val="es-ES"/>
        </w:rPr>
      </w:pPr>
      <w:r>
        <w:rPr>
          <w:rFonts w:eastAsia="Times New Roman" w:cs="Times New Roman"/>
          <w:lang w:val="pt-BR"/>
        </w:rPr>
        <w:t>Defesa para construir flexibilidade em metas para se adaptar às circunstâncias em mudança.</w:t>
      </w:r>
    </w:p>
    <w:p w14:paraId="73F05380" w14:textId="77777777" w:rsidR="002E475C" w:rsidRPr="00CC1CB4" w:rsidRDefault="00000000">
      <w:pPr>
        <w:pStyle w:val="a6"/>
        <w:numPr>
          <w:ilvl w:val="0"/>
          <w:numId w:val="133"/>
        </w:numPr>
        <w:spacing w:after="120" w:line="264" w:lineRule="auto"/>
        <w:contextualSpacing w:val="0"/>
        <w:rPr>
          <w:rFonts w:eastAsia="Times New Roman" w:cs="Times New Roman"/>
          <w:lang w:val="es-ES"/>
        </w:rPr>
      </w:pPr>
      <w:r>
        <w:rPr>
          <w:rFonts w:eastAsia="Times New Roman" w:cs="Times New Roman"/>
          <w:lang w:val="pt-BR"/>
        </w:rPr>
        <w:t>Reconhecimento de metas ambiciosas e trabalho substancial pela frente.</w:t>
      </w:r>
    </w:p>
    <w:p w14:paraId="65C039E7" w14:textId="77777777" w:rsidR="002E475C" w:rsidRPr="00364862" w:rsidRDefault="00000000">
      <w:pPr>
        <w:pStyle w:val="a6"/>
        <w:numPr>
          <w:ilvl w:val="0"/>
          <w:numId w:val="133"/>
        </w:numPr>
        <w:spacing w:after="120" w:line="264" w:lineRule="auto"/>
        <w:contextualSpacing w:val="0"/>
        <w:rPr>
          <w:rFonts w:eastAsia="Times New Roman" w:cs="Times New Roman"/>
        </w:rPr>
      </w:pPr>
      <w:r>
        <w:rPr>
          <w:rFonts w:eastAsia="Times New Roman" w:cs="Times New Roman"/>
          <w:lang w:val="pt-BR"/>
        </w:rPr>
        <w:t>Confiança no processo e progresso. “Estamos no caminho certo”.</w:t>
      </w:r>
    </w:p>
    <w:p w14:paraId="1A7A4795" w14:textId="77777777" w:rsidR="002E475C" w:rsidRPr="00CC1CB4" w:rsidRDefault="00000000">
      <w:pPr>
        <w:pStyle w:val="a6"/>
        <w:numPr>
          <w:ilvl w:val="0"/>
          <w:numId w:val="133"/>
        </w:numPr>
        <w:spacing w:after="120" w:line="264" w:lineRule="auto"/>
        <w:contextualSpacing w:val="0"/>
        <w:rPr>
          <w:rFonts w:eastAsia="Times New Roman" w:cs="Times New Roman"/>
          <w:lang w:val="es-ES"/>
        </w:rPr>
      </w:pPr>
      <w:r>
        <w:rPr>
          <w:rFonts w:eastAsia="Times New Roman" w:cs="Times New Roman"/>
          <w:lang w:val="pt-BR"/>
        </w:rPr>
        <w:t>Reconhece a importância da colaboração entre os membros da comunidade educacional e o estado para discussões abertas e compartilhamento de informações.</w:t>
      </w:r>
    </w:p>
    <w:p w14:paraId="6018F1D9" w14:textId="77777777" w:rsidR="002E475C" w:rsidRPr="00CC1CB4" w:rsidRDefault="00000000">
      <w:pPr>
        <w:pStyle w:val="a6"/>
        <w:numPr>
          <w:ilvl w:val="0"/>
          <w:numId w:val="133"/>
        </w:numPr>
        <w:spacing w:after="120" w:line="264" w:lineRule="auto"/>
        <w:contextualSpacing w:val="0"/>
        <w:rPr>
          <w:rFonts w:eastAsia="Times New Roman" w:cs="Times New Roman"/>
          <w:lang w:val="es-ES"/>
        </w:rPr>
      </w:pPr>
      <w:r>
        <w:rPr>
          <w:rFonts w:eastAsia="Times New Roman" w:cs="Times New Roman"/>
          <w:lang w:val="pt-BR"/>
        </w:rPr>
        <w:t>Apreciação pela capacidade de resposta do NJDOE às preocupações de campo e à diferenciação crítica de metas para a verdadeira reforma.</w:t>
      </w:r>
    </w:p>
    <w:p w14:paraId="3803000D" w14:textId="77777777" w:rsidR="002E475C" w:rsidRPr="00CC1CB4" w:rsidRDefault="00000000">
      <w:pPr>
        <w:pStyle w:val="a6"/>
        <w:numPr>
          <w:ilvl w:val="0"/>
          <w:numId w:val="133"/>
        </w:numPr>
        <w:spacing w:after="120" w:line="264" w:lineRule="auto"/>
        <w:contextualSpacing w:val="0"/>
        <w:rPr>
          <w:rFonts w:eastAsia="Times New Roman" w:cs="Times New Roman"/>
          <w:lang w:val="es-ES"/>
        </w:rPr>
      </w:pPr>
      <w:r>
        <w:rPr>
          <w:rFonts w:eastAsia="Times New Roman" w:cs="Times New Roman"/>
          <w:lang w:val="pt-BR"/>
        </w:rPr>
        <w:t>Reconhecimento da complexidade de estabelecer metas alcançáveis e a necessidade de uma discussão completa.</w:t>
      </w:r>
    </w:p>
    <w:p w14:paraId="6625D3FA" w14:textId="77777777" w:rsidR="002E475C" w:rsidRPr="00CC1CB4" w:rsidRDefault="00000000">
      <w:pPr>
        <w:pStyle w:val="a6"/>
        <w:numPr>
          <w:ilvl w:val="0"/>
          <w:numId w:val="133"/>
        </w:numPr>
        <w:spacing w:after="120" w:line="264" w:lineRule="auto"/>
        <w:contextualSpacing w:val="0"/>
        <w:rPr>
          <w:rFonts w:eastAsia="Times New Roman" w:cs="Times New Roman"/>
          <w:lang w:val="es-ES"/>
        </w:rPr>
      </w:pPr>
      <w:r>
        <w:rPr>
          <w:rFonts w:eastAsia="Times New Roman" w:cs="Times New Roman"/>
          <w:lang w:val="pt-BR"/>
        </w:rPr>
        <w:t>Compreender a complexidade da ESSA e os vários componentes envolvidos.</w:t>
      </w:r>
    </w:p>
    <w:p w14:paraId="5442152E" w14:textId="77777777" w:rsidR="002E475C" w:rsidRPr="00CC1CB4" w:rsidRDefault="00000000">
      <w:pPr>
        <w:pStyle w:val="a6"/>
        <w:numPr>
          <w:ilvl w:val="0"/>
          <w:numId w:val="133"/>
        </w:numPr>
        <w:spacing w:after="120" w:line="264" w:lineRule="auto"/>
        <w:contextualSpacing w:val="0"/>
        <w:rPr>
          <w:rFonts w:eastAsia="Times New Roman" w:cs="Times New Roman"/>
          <w:lang w:val="es-ES"/>
        </w:rPr>
      </w:pPr>
      <w:r>
        <w:rPr>
          <w:rFonts w:eastAsia="Times New Roman" w:cs="Times New Roman"/>
          <w:lang w:val="pt-BR"/>
        </w:rPr>
        <w:t>Agradecimento pela oportunidade de trabalhar com educadores dedicados focados em melhorar os resultados para todos os alunos.</w:t>
      </w:r>
    </w:p>
    <w:p w14:paraId="06336D1E" w14:textId="77777777" w:rsidR="002E475C" w:rsidRPr="00CC1CB4" w:rsidRDefault="00000000">
      <w:pPr>
        <w:pStyle w:val="a6"/>
        <w:numPr>
          <w:ilvl w:val="0"/>
          <w:numId w:val="133"/>
        </w:numPr>
        <w:spacing w:after="120" w:line="264" w:lineRule="auto"/>
        <w:contextualSpacing w:val="0"/>
        <w:rPr>
          <w:rFonts w:eastAsia="Times New Roman" w:cs="Times New Roman"/>
          <w:lang w:val="es-ES"/>
        </w:rPr>
      </w:pPr>
      <w:r>
        <w:rPr>
          <w:rFonts w:eastAsia="Times New Roman" w:cs="Times New Roman"/>
          <w:lang w:val="pt-BR"/>
        </w:rPr>
        <w:t>Feedback sobre a necessidade de mais tempo para processar informações e exploração mais profunda em discussões em grupo.</w:t>
      </w:r>
    </w:p>
    <w:p w14:paraId="7DEDBE7C" w14:textId="77777777" w:rsidR="002E475C" w:rsidRPr="00CC1CB4" w:rsidRDefault="00000000">
      <w:pPr>
        <w:pStyle w:val="a6"/>
        <w:numPr>
          <w:ilvl w:val="0"/>
          <w:numId w:val="133"/>
        </w:numPr>
        <w:spacing w:after="120" w:line="264" w:lineRule="auto"/>
        <w:contextualSpacing w:val="0"/>
        <w:rPr>
          <w:rFonts w:eastAsia="Times New Roman" w:cs="Times New Roman"/>
          <w:lang w:val="es-ES"/>
        </w:rPr>
      </w:pPr>
      <w:r>
        <w:rPr>
          <w:rFonts w:eastAsia="Times New Roman" w:cs="Times New Roman"/>
          <w:lang w:val="pt-BR"/>
        </w:rPr>
        <w:t>Importância da clareza nas funções e objetivos das partes interessadas.</w:t>
      </w:r>
    </w:p>
    <w:p w14:paraId="24B189CB" w14:textId="77777777" w:rsidR="002E475C" w:rsidRPr="00CC1CB4" w:rsidRDefault="00000000">
      <w:pPr>
        <w:pStyle w:val="a6"/>
        <w:numPr>
          <w:ilvl w:val="0"/>
          <w:numId w:val="133"/>
        </w:numPr>
        <w:spacing w:after="120" w:line="264" w:lineRule="auto"/>
        <w:contextualSpacing w:val="0"/>
        <w:rPr>
          <w:rFonts w:eastAsia="Times New Roman" w:cs="Times New Roman"/>
          <w:lang w:val="es-ES"/>
        </w:rPr>
      </w:pPr>
      <w:r>
        <w:rPr>
          <w:rFonts w:eastAsia="Times New Roman" w:cs="Times New Roman"/>
          <w:lang w:val="pt-BR"/>
        </w:rPr>
        <w:t>Ênfase na identificação das métricas necessárias para o sucesso dos estudantes e distrito através da discussão.</w:t>
      </w:r>
    </w:p>
    <w:p w14:paraId="49FFF634" w14:textId="77777777" w:rsidR="002E475C" w:rsidRPr="00CC1CB4" w:rsidRDefault="00000000">
      <w:pPr>
        <w:pStyle w:val="a6"/>
        <w:numPr>
          <w:ilvl w:val="0"/>
          <w:numId w:val="133"/>
        </w:numPr>
        <w:spacing w:after="120" w:line="264" w:lineRule="auto"/>
        <w:contextualSpacing w:val="0"/>
        <w:rPr>
          <w:rFonts w:eastAsia="Times New Roman" w:cs="Times New Roman"/>
          <w:lang w:val="es-ES"/>
        </w:rPr>
      </w:pPr>
      <w:r>
        <w:rPr>
          <w:rFonts w:eastAsia="Times New Roman" w:cs="Times New Roman"/>
          <w:lang w:val="pt-BR"/>
        </w:rPr>
        <w:t>Defesa de critérios mais abrangentes para avaliar escolas além de requisitos federais amplos.</w:t>
      </w:r>
    </w:p>
    <w:p w14:paraId="7B951156" w14:textId="77777777" w:rsidR="002E475C" w:rsidRPr="00CC1CB4" w:rsidRDefault="00000000">
      <w:pPr>
        <w:pStyle w:val="a6"/>
        <w:numPr>
          <w:ilvl w:val="0"/>
          <w:numId w:val="133"/>
        </w:numPr>
        <w:spacing w:after="120" w:line="264" w:lineRule="auto"/>
        <w:contextualSpacing w:val="0"/>
        <w:rPr>
          <w:rFonts w:eastAsia="Times New Roman" w:cs="Times New Roman"/>
          <w:lang w:val="es-ES"/>
        </w:rPr>
      </w:pPr>
      <w:r>
        <w:rPr>
          <w:rFonts w:eastAsia="Times New Roman" w:cs="Times New Roman"/>
          <w:lang w:val="pt-BR"/>
        </w:rPr>
        <w:t>Experiência positiva colaborando com profissionais de educação no NJDOE, com apresentações claras e feedback valioso sobre as políticas estaduais atuais, informando a tomada de decisões.</w:t>
      </w:r>
    </w:p>
    <w:p w14:paraId="20C71864" w14:textId="77777777" w:rsidR="002E475C" w:rsidRPr="00CC1CB4" w:rsidRDefault="00000000">
      <w:pPr>
        <w:pStyle w:val="a6"/>
        <w:numPr>
          <w:ilvl w:val="0"/>
          <w:numId w:val="133"/>
        </w:numPr>
        <w:spacing w:after="120" w:line="264" w:lineRule="auto"/>
        <w:contextualSpacing w:val="0"/>
        <w:rPr>
          <w:rFonts w:eastAsia="Times New Roman" w:cs="Times New Roman"/>
          <w:lang w:val="es-ES"/>
        </w:rPr>
      </w:pPr>
      <w:r>
        <w:rPr>
          <w:rFonts w:eastAsia="Times New Roman" w:cs="Times New Roman"/>
          <w:lang w:val="pt-BR"/>
        </w:rPr>
        <w:t xml:space="preserve">Solicitação de recursos adicionais, financeiros e de </w:t>
      </w:r>
      <w:bookmarkStart w:id="288" w:name="_Int_ZYmXTW4N"/>
      <w:r>
        <w:rPr>
          <w:rFonts w:eastAsia="Times New Roman" w:cs="Times New Roman"/>
          <w:lang w:val="pt-BR"/>
        </w:rPr>
        <w:t>pessoal</w:t>
      </w:r>
      <w:bookmarkEnd w:id="288"/>
      <w:r>
        <w:rPr>
          <w:rFonts w:eastAsia="Times New Roman" w:cs="Times New Roman"/>
          <w:lang w:val="pt-BR"/>
        </w:rPr>
        <w:t>, para apoiar os resultados de responsabilidade.</w:t>
      </w:r>
    </w:p>
    <w:p w14:paraId="10FF6975" w14:textId="77777777" w:rsidR="002E475C" w:rsidRPr="00CC1CB4" w:rsidRDefault="00000000">
      <w:pPr>
        <w:pStyle w:val="a6"/>
        <w:numPr>
          <w:ilvl w:val="0"/>
          <w:numId w:val="133"/>
        </w:numPr>
        <w:spacing w:after="120" w:line="264" w:lineRule="auto"/>
        <w:rPr>
          <w:rFonts w:eastAsia="Times New Roman" w:cs="Times New Roman"/>
          <w:lang w:val="es-ES"/>
        </w:rPr>
      </w:pPr>
      <w:r>
        <w:rPr>
          <w:rFonts w:eastAsia="Times New Roman" w:cs="Times New Roman"/>
          <w:lang w:val="pt-BR"/>
        </w:rPr>
        <w:t>Reconhecimento do trabalho substancial à frente e apreciação pela revisão do progresso durante a reunião.</w:t>
      </w:r>
    </w:p>
    <w:p w14:paraId="317D58AA" w14:textId="77777777" w:rsidR="002E475C" w:rsidRPr="00CC1CB4" w:rsidRDefault="00000000" w:rsidP="00C4782A">
      <w:pPr>
        <w:pStyle w:val="4"/>
        <w:rPr>
          <w:lang w:val="es-ES"/>
        </w:rPr>
      </w:pPr>
      <w:bookmarkStart w:id="289" w:name="_Toc199403836"/>
      <w:r>
        <w:rPr>
          <w:rFonts w:ascii="Cambria" w:eastAsia="Cambria" w:hAnsi="Cambria" w:cs="Arial"/>
          <w:szCs w:val="24"/>
          <w:lang w:val="pt-BR"/>
        </w:rPr>
        <w:t>Principais temas e conclusões da sessão</w:t>
      </w:r>
      <w:bookmarkEnd w:id="289"/>
    </w:p>
    <w:p w14:paraId="30BF3D36" w14:textId="77777777" w:rsidR="00C4782A" w:rsidRPr="00CC1CB4" w:rsidRDefault="00000000" w:rsidP="00C4782A">
      <w:pPr>
        <w:pStyle w:val="5"/>
        <w:rPr>
          <w:lang w:val="es-ES"/>
        </w:rPr>
      </w:pPr>
      <w:r>
        <w:rPr>
          <w:rFonts w:ascii="Cambria" w:eastAsia="Cambria" w:hAnsi="Cambria" w:cs="Times New Roman"/>
          <w:bCs/>
          <w:lang w:val="pt-BR"/>
        </w:rPr>
        <w:t>Necessidade de mais dados e tempo</w:t>
      </w:r>
    </w:p>
    <w:p w14:paraId="339C1716" w14:textId="77777777" w:rsidR="002E475C" w:rsidRPr="00CC1CB4" w:rsidRDefault="00000000" w:rsidP="00C4782A">
      <w:pPr>
        <w:spacing w:after="120" w:line="264" w:lineRule="auto"/>
        <w:rPr>
          <w:rFonts w:eastAsia="Times New Roman" w:cs="Times New Roman"/>
          <w:lang w:val="es-ES"/>
        </w:rPr>
      </w:pPr>
      <w:r>
        <w:rPr>
          <w:rFonts w:eastAsia="Times New Roman" w:cs="Times New Roman"/>
          <w:lang w:val="pt-BR"/>
        </w:rPr>
        <w:t xml:space="preserve">As partes interessadas expressaram a necessidade de dados mais abrangentes, como pré/pós-dados e critérios de avaliação escolar, e tempo adicional para discussões aprofundadas e processamento de informações. </w:t>
      </w:r>
    </w:p>
    <w:p w14:paraId="062E7200" w14:textId="77777777" w:rsidR="00C4782A" w:rsidRPr="00CC1CB4" w:rsidRDefault="00000000" w:rsidP="00C4782A">
      <w:pPr>
        <w:pStyle w:val="5"/>
        <w:rPr>
          <w:lang w:val="es-ES"/>
        </w:rPr>
      </w:pPr>
      <w:r>
        <w:rPr>
          <w:rFonts w:ascii="Cambria" w:eastAsia="Cambria" w:hAnsi="Cambria" w:cs="Times New Roman"/>
          <w:bCs/>
          <w:lang w:val="pt-BR"/>
        </w:rPr>
        <w:lastRenderedPageBreak/>
        <w:t>Sentimentos positivos e colaboração</w:t>
      </w:r>
    </w:p>
    <w:p w14:paraId="3ED816A8" w14:textId="77777777" w:rsidR="002E475C" w:rsidRPr="00CC1CB4" w:rsidRDefault="00000000" w:rsidP="00C4782A">
      <w:pPr>
        <w:rPr>
          <w:lang w:val="es-ES"/>
        </w:rPr>
      </w:pPr>
      <w:r>
        <w:rPr>
          <w:rFonts w:eastAsia="Times New Roman" w:cs="Times New Roman"/>
          <w:lang w:val="pt-BR"/>
        </w:rPr>
        <w:t xml:space="preserve">Sentimentos positivos foram compartilhados em relação à eficiência da apresentação e colaboração com profissionais dedicados à educação. Houve uma ênfase na importância da colaboração entre as </w:t>
      </w:r>
      <w:r>
        <w:rPr>
          <w:rFonts w:eastAsia="Times New Roman" w:cs="Arial"/>
          <w:lang w:val="pt-BR"/>
        </w:rPr>
        <w:t xml:space="preserve">partes interessadas e o estado para o compartilhamento de informações e oportunidades para se envolver em discussões mais profundas. </w:t>
      </w:r>
    </w:p>
    <w:p w14:paraId="02EA0EC4" w14:textId="77777777" w:rsidR="00C4782A" w:rsidRPr="00CC1CB4" w:rsidRDefault="00000000" w:rsidP="00C4782A">
      <w:pPr>
        <w:pStyle w:val="5"/>
        <w:rPr>
          <w:lang w:val="es-ES"/>
        </w:rPr>
      </w:pPr>
      <w:r>
        <w:rPr>
          <w:rFonts w:ascii="Cambria" w:eastAsia="Cambria" w:hAnsi="Cambria" w:cs="Times New Roman"/>
          <w:bCs/>
          <w:lang w:val="pt-BR"/>
        </w:rPr>
        <w:t>Reconhecimento de metas ambiciosas e trabalho adiante</w:t>
      </w:r>
    </w:p>
    <w:p w14:paraId="68451F9C" w14:textId="77777777" w:rsidR="00521839" w:rsidRPr="00CC1CB4" w:rsidRDefault="00000000" w:rsidP="00521839">
      <w:pPr>
        <w:spacing w:after="120" w:line="264" w:lineRule="auto"/>
        <w:rPr>
          <w:rFonts w:eastAsia="Times New Roman" w:cs="Times New Roman"/>
          <w:b/>
          <w:bCs/>
          <w:lang w:val="es-ES"/>
        </w:rPr>
      </w:pPr>
      <w:r>
        <w:rPr>
          <w:rFonts w:eastAsia="Times New Roman" w:cs="Times New Roman"/>
          <w:lang w:val="pt-BR"/>
        </w:rPr>
        <w:t>As partes interessadas reconheceram as metas ambiciosas e o trabalho substancial pela frente, expressando confiança no progresso que está sendo feito para alcançar essas metas.</w:t>
      </w:r>
      <w:bookmarkStart w:id="290" w:name="_Feedback_on_the_1"/>
      <w:bookmarkEnd w:id="290"/>
      <w:r>
        <w:rPr>
          <w:rFonts w:eastAsia="Times New Roman" w:cs="Times New Roman"/>
          <w:lang w:val="pt-BR"/>
        </w:rPr>
        <w:br w:type="page"/>
      </w:r>
    </w:p>
    <w:p w14:paraId="3EDA9C89" w14:textId="77777777" w:rsidR="003C1D84" w:rsidRPr="00856537" w:rsidRDefault="00000000" w:rsidP="00856537">
      <w:pPr>
        <w:pStyle w:val="A30"/>
        <w:spacing w:after="220"/>
        <w:rPr>
          <w:rStyle w:val="normaltextrun"/>
        </w:rPr>
      </w:pPr>
      <w:bookmarkStart w:id="291" w:name="_Feedback_on_the_13"/>
      <w:bookmarkStart w:id="292" w:name="_Toc171333346"/>
      <w:bookmarkStart w:id="293" w:name="_Toc199403837"/>
      <w:bookmarkEnd w:id="291"/>
      <w:r w:rsidRPr="00856537">
        <w:rPr>
          <w:rStyle w:val="normaltextrun"/>
        </w:rPr>
        <w:lastRenderedPageBreak/>
        <w:t>Feedback sobre a proposta de taxa de formação</w:t>
      </w:r>
      <w:bookmarkEnd w:id="292"/>
      <w:r w:rsidRPr="00856537">
        <w:rPr>
          <w:rStyle w:val="normaltextrun"/>
        </w:rPr>
        <w:br/>
        <w:t>Sessão nº 2 (6 de fevereiro)</w:t>
      </w:r>
      <w:bookmarkEnd w:id="293"/>
    </w:p>
    <w:p w14:paraId="63B3FDB9" w14:textId="77777777" w:rsidR="00521839" w:rsidRPr="00CC1CB4" w:rsidRDefault="00000000" w:rsidP="00DF15EA">
      <w:pPr>
        <w:rPr>
          <w:rFonts w:cs="Times New Roman"/>
          <w:lang w:val="es-ES"/>
        </w:rPr>
      </w:pPr>
      <w:r>
        <w:rPr>
          <w:rFonts w:eastAsia="Times New Roman" w:cs="Arial"/>
          <w:lang w:val="pt-BR"/>
        </w:rPr>
        <w:t xml:space="preserve">As partes interessadas forneceram reações iniciais </w:t>
      </w:r>
      <w:r>
        <w:rPr>
          <w:rFonts w:eastAsia="Times New Roman" w:cs="Times New Roman"/>
          <w:lang w:val="pt-BR"/>
        </w:rPr>
        <w:t xml:space="preserve">à proposta de taxa de formação para usar a taxa de formação de grupo ajustado de seis e cinco anos como indicadores para a taxa de formação de grupo estendido. </w:t>
      </w:r>
    </w:p>
    <w:p w14:paraId="0B1986C4" w14:textId="77777777" w:rsidR="002E475C" w:rsidRPr="00CC1CB4" w:rsidRDefault="00000000" w:rsidP="003C1D84">
      <w:pPr>
        <w:pStyle w:val="4"/>
        <w:rPr>
          <w:lang w:val="es-ES"/>
        </w:rPr>
      </w:pPr>
      <w:bookmarkStart w:id="294" w:name="_Toc199403838"/>
      <w:r>
        <w:rPr>
          <w:rFonts w:ascii="Cambria" w:eastAsia="Cambria" w:hAnsi="Cambria" w:cs="Arial"/>
          <w:szCs w:val="24"/>
          <w:lang w:val="pt-BR"/>
        </w:rPr>
        <w:t>Feedback das partes interessadas</w:t>
      </w:r>
      <w:bookmarkEnd w:id="294"/>
    </w:p>
    <w:p w14:paraId="6D53B789" w14:textId="77777777" w:rsidR="002E475C" w:rsidRPr="00CC1CB4" w:rsidRDefault="00000000" w:rsidP="002B15CA">
      <w:pPr>
        <w:pStyle w:val="5"/>
        <w:spacing w:before="240"/>
        <w:rPr>
          <w:rStyle w:val="af7"/>
          <w:rFonts w:ascii="Times New Roman" w:hAnsi="Times New Roman" w:cs="Times New Roman"/>
          <w:color w:val="365F91" w:themeColor="accent1" w:themeShade="BF"/>
          <w:lang w:val="es-ES"/>
        </w:rPr>
      </w:pPr>
      <w:r>
        <w:rPr>
          <w:rFonts w:ascii="Cambria" w:eastAsia="Cambria" w:hAnsi="Cambria" w:cs="Times New Roman"/>
          <w:bCs/>
          <w:lang w:val="pt-BR"/>
        </w:rPr>
        <w:t xml:space="preserve">Pergunta 1: Esta proposta está alinhada com nossos </w:t>
      </w:r>
      <w:r>
        <w:rPr>
          <w:rFonts w:ascii="Times New Roman" w:eastAsia="Times New Roman" w:hAnsi="Times New Roman" w:cs="Times New Roman"/>
          <w:bCs/>
          <w:lang w:val="pt-BR"/>
        </w:rPr>
        <w:t>princípios-chave de responsabilidade?</w:t>
      </w:r>
    </w:p>
    <w:p w14:paraId="3FB4F4A9" w14:textId="77777777" w:rsidR="002E475C" w:rsidRPr="00364862" w:rsidRDefault="00000000" w:rsidP="003C1D84">
      <w:pPr>
        <w:pStyle w:val="6"/>
      </w:pPr>
      <w:r>
        <w:rPr>
          <w:rFonts w:ascii="Cambria" w:eastAsia="Cambria" w:hAnsi="Cambria" w:cs="Arial"/>
          <w:lang w:val="pt-BR"/>
        </w:rPr>
        <w:t xml:space="preserve">Resposta </w:t>
      </w:r>
    </w:p>
    <w:p w14:paraId="1C1AD4D5" w14:textId="77777777" w:rsidR="002E475C" w:rsidRPr="00CC1CB4" w:rsidRDefault="00000000">
      <w:pPr>
        <w:pStyle w:val="text-body"/>
        <w:numPr>
          <w:ilvl w:val="0"/>
          <w:numId w:val="99"/>
        </w:numPr>
        <w:spacing w:before="0" w:beforeAutospacing="0" w:after="120" w:afterAutospacing="0"/>
        <w:rPr>
          <w:rFonts w:ascii="Times New Roman" w:hAnsi="Times New Roman" w:cs="Times New Roman"/>
          <w:sz w:val="22"/>
          <w:szCs w:val="22"/>
          <w:lang w:val="es-ES"/>
        </w:rPr>
      </w:pPr>
      <w:r>
        <w:rPr>
          <w:rFonts w:ascii="Times New Roman" w:eastAsia="Times New Roman" w:hAnsi="Times New Roman" w:cs="Times New Roman"/>
          <w:sz w:val="22"/>
          <w:szCs w:val="22"/>
          <w:lang w:val="pt-BR"/>
        </w:rPr>
        <w:t>Esta proposta se alinha bem com os princípios 1, 2 e 4. Quanto ao princípio 3, seu alinhamento deve ser avaliado após a implementação.</w:t>
      </w:r>
    </w:p>
    <w:p w14:paraId="4C63B643" w14:textId="77777777" w:rsidR="002E475C" w:rsidRPr="00CC1CB4" w:rsidRDefault="00000000">
      <w:pPr>
        <w:pStyle w:val="text-body"/>
        <w:numPr>
          <w:ilvl w:val="0"/>
          <w:numId w:val="100"/>
        </w:numPr>
        <w:spacing w:before="0" w:beforeAutospacing="0" w:after="120" w:afterAutospacing="0"/>
        <w:rPr>
          <w:rFonts w:ascii="Times New Roman" w:hAnsi="Times New Roman" w:cs="Times New Roman"/>
          <w:sz w:val="22"/>
          <w:szCs w:val="22"/>
          <w:lang w:val="es-ES"/>
        </w:rPr>
      </w:pPr>
      <w:r>
        <w:rPr>
          <w:rFonts w:ascii="Times New Roman" w:eastAsia="Times New Roman" w:hAnsi="Times New Roman" w:cs="Times New Roman"/>
          <w:sz w:val="22"/>
          <w:szCs w:val="22"/>
          <w:lang w:val="pt-BR"/>
        </w:rPr>
        <w:t>Sim, isso se alinha absolutamente à medida que fornece ao NJDOE mais informações para fornecer suporte específico.</w:t>
      </w:r>
    </w:p>
    <w:p w14:paraId="2853FBBD" w14:textId="77777777" w:rsidR="002E475C" w:rsidRPr="00CC1CB4" w:rsidRDefault="00000000">
      <w:pPr>
        <w:pStyle w:val="text-body"/>
        <w:numPr>
          <w:ilvl w:val="0"/>
          <w:numId w:val="101"/>
        </w:numPr>
        <w:spacing w:before="0" w:beforeAutospacing="0" w:after="120" w:afterAutospacing="0"/>
        <w:rPr>
          <w:rFonts w:ascii="Times New Roman" w:hAnsi="Times New Roman" w:cs="Times New Roman"/>
          <w:sz w:val="22"/>
          <w:szCs w:val="22"/>
          <w:lang w:val="es-ES"/>
        </w:rPr>
      </w:pPr>
      <w:r>
        <w:rPr>
          <w:rFonts w:ascii="Times New Roman" w:eastAsia="Times New Roman" w:hAnsi="Times New Roman" w:cs="Times New Roman"/>
          <w:sz w:val="22"/>
          <w:szCs w:val="22"/>
          <w:lang w:val="pt-BR"/>
        </w:rPr>
        <w:t>Isso poderia proporcionar às escolas de ensino médio uma visão mais ampla da assistência que estão dando aos alunos; mais dados geralmente equivalem a melhores resultados.</w:t>
      </w:r>
    </w:p>
    <w:p w14:paraId="38ED3B81" w14:textId="77777777" w:rsidR="002E475C" w:rsidRPr="00CC1CB4" w:rsidRDefault="00000000">
      <w:pPr>
        <w:pStyle w:val="text-body"/>
        <w:numPr>
          <w:ilvl w:val="0"/>
          <w:numId w:val="102"/>
        </w:numPr>
        <w:spacing w:before="0" w:beforeAutospacing="0" w:after="120" w:afterAutospacing="0"/>
        <w:rPr>
          <w:rFonts w:ascii="Times New Roman" w:hAnsi="Times New Roman" w:cs="Times New Roman"/>
          <w:sz w:val="22"/>
          <w:szCs w:val="22"/>
          <w:lang w:val="es-ES"/>
        </w:rPr>
      </w:pPr>
      <w:r>
        <w:rPr>
          <w:rFonts w:ascii="Times New Roman" w:eastAsia="Times New Roman" w:hAnsi="Times New Roman" w:cs="Times New Roman"/>
          <w:sz w:val="22"/>
          <w:szCs w:val="22"/>
          <w:lang w:val="pt-BR"/>
        </w:rPr>
        <w:t>Apoiamos a adição do grupo de cinco a seis anos [isso também] refletiria as transições de educação especial e estudantes de Estudantes com educação formal interrompida (Students with Interrupted Formal Education, SIFE).</w:t>
      </w:r>
    </w:p>
    <w:p w14:paraId="0010A666" w14:textId="77777777" w:rsidR="002E475C" w:rsidRPr="00CC1CB4" w:rsidRDefault="00000000">
      <w:pPr>
        <w:pStyle w:val="text-body"/>
        <w:numPr>
          <w:ilvl w:val="0"/>
          <w:numId w:val="103"/>
        </w:numPr>
        <w:spacing w:before="0" w:beforeAutospacing="0" w:after="240" w:afterAutospacing="0"/>
        <w:rPr>
          <w:rFonts w:ascii="Times New Roman" w:hAnsi="Times New Roman" w:cs="Times New Roman"/>
          <w:sz w:val="22"/>
          <w:szCs w:val="22"/>
          <w:lang w:val="es-ES"/>
        </w:rPr>
      </w:pPr>
      <w:r>
        <w:rPr>
          <w:rFonts w:ascii="Times New Roman" w:eastAsia="Times New Roman" w:hAnsi="Times New Roman" w:cs="Times New Roman"/>
          <w:sz w:val="22"/>
          <w:szCs w:val="22"/>
          <w:lang w:val="pt-BR"/>
        </w:rPr>
        <w:t>Precisaríamos de dados adicionais antes de nos comprometermos totalmente com uma postura sobre esta proposta.</w:t>
      </w:r>
    </w:p>
    <w:p w14:paraId="19CC4510" w14:textId="77777777" w:rsidR="00824A4B" w:rsidRPr="00CC1CB4" w:rsidRDefault="00000000" w:rsidP="002B15CA">
      <w:pPr>
        <w:pStyle w:val="5"/>
        <w:spacing w:before="240"/>
        <w:rPr>
          <w:lang w:val="es-ES"/>
        </w:rPr>
      </w:pPr>
      <w:r>
        <w:rPr>
          <w:rFonts w:ascii="Cambria" w:eastAsia="Cambria" w:hAnsi="Cambria" w:cs="Times New Roman"/>
          <w:bCs/>
          <w:lang w:val="pt-BR"/>
        </w:rPr>
        <w:t>Pergunta 2: Benefícios e preocupações</w:t>
      </w:r>
    </w:p>
    <w:p w14:paraId="4C823E85" w14:textId="77777777" w:rsidR="002E475C" w:rsidRPr="00CC1CB4" w:rsidRDefault="00000000" w:rsidP="00824A4B">
      <w:pPr>
        <w:rPr>
          <w:b/>
          <w:bCs/>
          <w:lang w:val="es-ES"/>
        </w:rPr>
      </w:pPr>
      <w:r>
        <w:rPr>
          <w:rFonts w:eastAsia="Times New Roman" w:cs="Arial"/>
          <w:b/>
          <w:bCs/>
          <w:color w:val="244061"/>
          <w:lang w:val="pt-BR"/>
        </w:rPr>
        <w:t>Quais são os benefícios da proposta? Quais são algumas preocupações?</w:t>
      </w:r>
    </w:p>
    <w:p w14:paraId="3BA5554B" w14:textId="77777777" w:rsidR="002E475C" w:rsidRPr="00CC1CB4" w:rsidRDefault="00000000" w:rsidP="003C1D84">
      <w:pPr>
        <w:pStyle w:val="6"/>
        <w:rPr>
          <w:lang w:val="es-ES"/>
        </w:rPr>
      </w:pPr>
      <w:r>
        <w:rPr>
          <w:rFonts w:ascii="Cambria" w:eastAsia="Cambria" w:hAnsi="Cambria" w:cs="Arial"/>
          <w:lang w:val="pt-BR"/>
        </w:rPr>
        <w:t>Resposta</w:t>
      </w:r>
    </w:p>
    <w:p w14:paraId="50C5F1DE" w14:textId="77777777" w:rsidR="002E475C" w:rsidRPr="00CC1CB4" w:rsidRDefault="00000000" w:rsidP="003C1D84">
      <w:pPr>
        <w:pStyle w:val="text-body"/>
        <w:spacing w:before="0" w:beforeAutospacing="0" w:after="120" w:afterAutospacing="0"/>
        <w:rPr>
          <w:rFonts w:ascii="Times New Roman" w:hAnsi="Times New Roman" w:cs="Times New Roman"/>
          <w:b/>
          <w:bCs/>
          <w:sz w:val="22"/>
          <w:szCs w:val="22"/>
          <w:lang w:val="es-ES"/>
        </w:rPr>
      </w:pPr>
      <w:r>
        <w:rPr>
          <w:rFonts w:ascii="Times New Roman" w:eastAsia="Times New Roman" w:hAnsi="Times New Roman" w:cs="Times New Roman"/>
          <w:b/>
          <w:bCs/>
          <w:sz w:val="22"/>
          <w:szCs w:val="22"/>
          <w:lang w:val="pt-BR"/>
        </w:rPr>
        <w:t>Benefícios:</w:t>
      </w:r>
    </w:p>
    <w:p w14:paraId="54DCA066" w14:textId="77777777" w:rsidR="002E475C" w:rsidRPr="00CC1CB4" w:rsidRDefault="00000000">
      <w:pPr>
        <w:pStyle w:val="text-body"/>
        <w:numPr>
          <w:ilvl w:val="0"/>
          <w:numId w:val="104"/>
        </w:numPr>
        <w:spacing w:before="0" w:beforeAutospacing="0" w:after="120" w:afterAutospacing="0"/>
        <w:rPr>
          <w:rFonts w:ascii="Times New Roman" w:hAnsi="Times New Roman" w:cs="Times New Roman"/>
          <w:sz w:val="22"/>
          <w:szCs w:val="22"/>
          <w:lang w:val="es-ES"/>
        </w:rPr>
      </w:pPr>
      <w:r>
        <w:rPr>
          <w:rFonts w:ascii="Times New Roman" w:eastAsia="Times New Roman" w:hAnsi="Times New Roman" w:cs="Times New Roman"/>
          <w:sz w:val="22"/>
          <w:szCs w:val="22"/>
          <w:lang w:val="pt-BR"/>
        </w:rPr>
        <w:t>A proposta poderia estender o reconhecimento às escolas por apoiar os alunos que precisam de mais tempo para se formar, o que se alinha com os princípios da equidade, valorizando a coragem e a perseverança.</w:t>
      </w:r>
    </w:p>
    <w:p w14:paraId="2F023F39" w14:textId="77777777" w:rsidR="002E475C" w:rsidRPr="00CC1CB4" w:rsidRDefault="00000000">
      <w:pPr>
        <w:pStyle w:val="text-body"/>
        <w:numPr>
          <w:ilvl w:val="0"/>
          <w:numId w:val="104"/>
        </w:numPr>
        <w:spacing w:after="120" w:afterAutospacing="0"/>
        <w:rPr>
          <w:rFonts w:ascii="Times New Roman" w:hAnsi="Times New Roman" w:cs="Times New Roman"/>
          <w:sz w:val="22"/>
          <w:szCs w:val="22"/>
          <w:lang w:val="es-ES"/>
        </w:rPr>
      </w:pPr>
      <w:r>
        <w:rPr>
          <w:rFonts w:ascii="Times New Roman" w:eastAsia="Times New Roman" w:hAnsi="Times New Roman" w:cs="Times New Roman"/>
          <w:sz w:val="22"/>
          <w:szCs w:val="22"/>
          <w:lang w:val="pt-BR"/>
        </w:rPr>
        <w:t>A proposta é uma medida de responsabilidade que pode aumentar a inclusão, potencialmente levando a uma maior capacidade de todos os alunos serem reconhecidos e apoiados.</w:t>
      </w:r>
    </w:p>
    <w:p w14:paraId="04404334" w14:textId="77777777" w:rsidR="002E475C" w:rsidRPr="00364862" w:rsidRDefault="00000000" w:rsidP="003C1D84">
      <w:pPr>
        <w:spacing w:after="120"/>
        <w:rPr>
          <w:rFonts w:cs="Times New Roman"/>
          <w:b/>
          <w:bCs/>
        </w:rPr>
      </w:pPr>
      <w:r>
        <w:rPr>
          <w:rFonts w:eastAsia="Times New Roman" w:cs="Times New Roman"/>
          <w:b/>
          <w:bCs/>
          <w:lang w:val="pt-BR"/>
        </w:rPr>
        <w:t>Preocupações:</w:t>
      </w:r>
    </w:p>
    <w:p w14:paraId="305EDF09" w14:textId="77777777" w:rsidR="002E475C" w:rsidRPr="00CC1CB4" w:rsidRDefault="00000000">
      <w:pPr>
        <w:pStyle w:val="a6"/>
        <w:numPr>
          <w:ilvl w:val="0"/>
          <w:numId w:val="105"/>
        </w:numPr>
        <w:spacing w:after="120" w:line="264" w:lineRule="auto"/>
        <w:contextualSpacing w:val="0"/>
        <w:rPr>
          <w:rFonts w:cs="Times New Roman"/>
          <w:lang w:val="es-ES"/>
        </w:rPr>
      </w:pPr>
      <w:r>
        <w:rPr>
          <w:rFonts w:eastAsia="Times New Roman" w:cs="Times New Roman"/>
          <w:lang w:val="pt-BR"/>
        </w:rPr>
        <w:t>A proposta levanta questões sobre a justificativa por trás da diferenciação dos tempos de formação (por exemplo, por que cinco anos podem ser considerados mais favoráveis do que seis).</w:t>
      </w:r>
    </w:p>
    <w:p w14:paraId="429F1823" w14:textId="77777777" w:rsidR="002E475C" w:rsidRPr="00CC1CB4" w:rsidRDefault="00000000">
      <w:pPr>
        <w:pStyle w:val="a6"/>
        <w:numPr>
          <w:ilvl w:val="0"/>
          <w:numId w:val="105"/>
        </w:numPr>
        <w:spacing w:after="120" w:line="264" w:lineRule="auto"/>
        <w:rPr>
          <w:rFonts w:cs="Times New Roman"/>
          <w:lang w:val="es-ES"/>
        </w:rPr>
      </w:pPr>
      <w:r>
        <w:rPr>
          <w:rFonts w:eastAsia="Times New Roman" w:cs="Times New Roman"/>
          <w:lang w:val="pt-BR"/>
        </w:rPr>
        <w:t>Há possíveis implicações para alunos com deficiências, enfatizando a necessidade de tratamento equitativo e aplicação consistente de estratégias para garantir que aqueles com as maiores necessidades recebam atenção e apoio adequados.</w:t>
      </w:r>
    </w:p>
    <w:p w14:paraId="6C6DD592" w14:textId="77777777" w:rsidR="002E475C" w:rsidRPr="00CC1CB4" w:rsidRDefault="00000000" w:rsidP="004B0B9F">
      <w:pPr>
        <w:pStyle w:val="4"/>
        <w:rPr>
          <w:lang w:val="es-ES"/>
        </w:rPr>
      </w:pPr>
      <w:bookmarkStart w:id="295" w:name="_Toc199403839"/>
      <w:r>
        <w:rPr>
          <w:rFonts w:ascii="Cambria" w:eastAsia="Cambria" w:hAnsi="Cambria" w:cs="Arial"/>
          <w:szCs w:val="24"/>
          <w:lang w:val="pt-BR"/>
        </w:rPr>
        <w:t>Principais pontos de feedback sobre a proposta de taxa de formação</w:t>
      </w:r>
      <w:bookmarkEnd w:id="295"/>
    </w:p>
    <w:p w14:paraId="4CA74098" w14:textId="77777777" w:rsidR="002E475C" w:rsidRPr="00CC1CB4" w:rsidRDefault="00000000">
      <w:pPr>
        <w:pStyle w:val="a6"/>
        <w:numPr>
          <w:ilvl w:val="0"/>
          <w:numId w:val="106"/>
        </w:numPr>
        <w:spacing w:after="120" w:line="264" w:lineRule="auto"/>
        <w:contextualSpacing w:val="0"/>
        <w:rPr>
          <w:rFonts w:cs="Times New Roman"/>
          <w:lang w:val="es-ES"/>
        </w:rPr>
      </w:pPr>
      <w:r>
        <w:rPr>
          <w:rFonts w:eastAsia="Times New Roman" w:cs="Times New Roman"/>
          <w:lang w:val="pt-BR"/>
        </w:rPr>
        <w:lastRenderedPageBreak/>
        <w:t>Apoio para medir os formados do 6º ano para maior responsabilidade.</w:t>
      </w:r>
    </w:p>
    <w:p w14:paraId="4765D91E" w14:textId="77777777" w:rsidR="002E475C" w:rsidRPr="00CC1CB4" w:rsidRDefault="00000000">
      <w:pPr>
        <w:pStyle w:val="a6"/>
        <w:numPr>
          <w:ilvl w:val="0"/>
          <w:numId w:val="106"/>
        </w:numPr>
        <w:spacing w:after="120" w:line="264" w:lineRule="auto"/>
        <w:contextualSpacing w:val="0"/>
        <w:rPr>
          <w:rFonts w:cs="Times New Roman"/>
          <w:lang w:val="es-ES"/>
        </w:rPr>
      </w:pPr>
      <w:r>
        <w:rPr>
          <w:rFonts w:eastAsia="Times New Roman" w:cs="Times New Roman"/>
          <w:lang w:val="pt-BR"/>
        </w:rPr>
        <w:t>Sugestão para mudar para um modelo de 5/6 anos para incluir alunos SLIFE (aprendizagem interrompida)</w:t>
      </w:r>
    </w:p>
    <w:p w14:paraId="29471BD5" w14:textId="77777777" w:rsidR="002E475C" w:rsidRPr="00CC1CB4" w:rsidRDefault="00000000">
      <w:pPr>
        <w:pStyle w:val="a6"/>
        <w:numPr>
          <w:ilvl w:val="0"/>
          <w:numId w:val="106"/>
        </w:numPr>
        <w:spacing w:after="120" w:line="264" w:lineRule="auto"/>
        <w:contextualSpacing w:val="0"/>
        <w:rPr>
          <w:rFonts w:cs="Times New Roman"/>
          <w:lang w:val="es-ES"/>
        </w:rPr>
      </w:pPr>
      <w:r>
        <w:rPr>
          <w:rFonts w:eastAsia="Times New Roman" w:cs="Times New Roman"/>
          <w:lang w:val="pt-BR"/>
        </w:rPr>
        <w:t>Pergunta sobre a inclusão de taxas de formação de 6 anos em relatórios futuros.</w:t>
      </w:r>
    </w:p>
    <w:p w14:paraId="28037C3E" w14:textId="77777777" w:rsidR="00525C52" w:rsidRPr="00CC1CB4" w:rsidRDefault="00000000" w:rsidP="00186D45">
      <w:pPr>
        <w:pStyle w:val="a6"/>
        <w:numPr>
          <w:ilvl w:val="0"/>
          <w:numId w:val="106"/>
        </w:numPr>
        <w:spacing w:after="120" w:line="264" w:lineRule="auto"/>
        <w:rPr>
          <w:rFonts w:cs="Times New Roman"/>
          <w:lang w:val="es-ES"/>
        </w:rPr>
      </w:pPr>
      <w:r>
        <w:rPr>
          <w:rFonts w:eastAsia="Times New Roman" w:cs="Times New Roman"/>
          <w:lang w:val="pt-BR"/>
        </w:rPr>
        <w:t>Consulta sobre como coletar taxas de formação além de 6 anos para capturar toda a população com necessidades especiais.</w:t>
      </w:r>
      <w:bookmarkStart w:id="296" w:name="_Feedback_on_the_2"/>
      <w:bookmarkStart w:id="297" w:name="_Toc171333347"/>
      <w:bookmarkEnd w:id="296"/>
      <w:r>
        <w:rPr>
          <w:rFonts w:eastAsia="Times New Roman" w:cs="Times New Roman"/>
          <w:lang w:val="pt-BR"/>
        </w:rPr>
        <w:br w:type="page"/>
      </w:r>
    </w:p>
    <w:p w14:paraId="28C22367" w14:textId="77777777" w:rsidR="004B0B9F" w:rsidRPr="00856537" w:rsidRDefault="00000000" w:rsidP="00856537">
      <w:pPr>
        <w:pStyle w:val="A30"/>
        <w:spacing w:after="220"/>
        <w:rPr>
          <w:rStyle w:val="normaltextrun"/>
        </w:rPr>
      </w:pPr>
      <w:bookmarkStart w:id="298" w:name="_Feedback_on_the_14"/>
      <w:bookmarkStart w:id="299" w:name="_Toc199403840"/>
      <w:bookmarkEnd w:id="298"/>
      <w:r w:rsidRPr="00856537">
        <w:rPr>
          <w:rStyle w:val="normaltextrun"/>
        </w:rPr>
        <w:lastRenderedPageBreak/>
        <w:t>Feedback sobre a Proposta de realização acadêmica</w:t>
      </w:r>
      <w:bookmarkEnd w:id="297"/>
      <w:r w:rsidRPr="00856537">
        <w:rPr>
          <w:rStyle w:val="normaltextrun"/>
        </w:rPr>
        <w:t xml:space="preserve"> </w:t>
      </w:r>
      <w:r w:rsidRPr="00856537">
        <w:rPr>
          <w:rStyle w:val="normaltextrun"/>
        </w:rPr>
        <w:br/>
        <w:t>Sessão nº 2 (6 de fevereiro)</w:t>
      </w:r>
      <w:bookmarkEnd w:id="299"/>
    </w:p>
    <w:p w14:paraId="3AD4E7D5" w14:textId="77777777" w:rsidR="006415C4" w:rsidRPr="00CC1CB4" w:rsidRDefault="00000000" w:rsidP="004B0B9F">
      <w:pPr>
        <w:rPr>
          <w:lang w:val="es-ES"/>
        </w:rPr>
      </w:pPr>
      <w:r>
        <w:rPr>
          <w:rFonts w:eastAsia="Times New Roman" w:cs="Arial"/>
          <w:lang w:val="pt-BR"/>
        </w:rPr>
        <w:t>As partes interessadas forneceram feedback sobre a proposta de realização acadêmica com o objetivo de explorar uma medida baseada em índice de proficiência para o indicador de realização acadêmica.</w:t>
      </w:r>
    </w:p>
    <w:p w14:paraId="14CE9FD0" w14:textId="77777777" w:rsidR="002E475C" w:rsidRPr="00CC1CB4" w:rsidRDefault="00000000" w:rsidP="002B15CA">
      <w:pPr>
        <w:pStyle w:val="4"/>
        <w:rPr>
          <w:lang w:val="es-ES"/>
        </w:rPr>
      </w:pPr>
      <w:bookmarkStart w:id="300" w:name="_Toc199403841"/>
      <w:r>
        <w:rPr>
          <w:rFonts w:ascii="Cambria" w:eastAsia="Cambria" w:hAnsi="Cambria" w:cs="Arial"/>
          <w:szCs w:val="24"/>
          <w:lang w:val="pt-BR"/>
        </w:rPr>
        <w:t>Feedback das partes interessadas</w:t>
      </w:r>
      <w:bookmarkEnd w:id="300"/>
    </w:p>
    <w:p w14:paraId="55D5A256" w14:textId="77777777" w:rsidR="002B15CA" w:rsidRPr="00CC1CB4" w:rsidRDefault="00000000" w:rsidP="002B15CA">
      <w:pPr>
        <w:pStyle w:val="5"/>
        <w:spacing w:before="240"/>
        <w:rPr>
          <w:lang w:val="es-ES"/>
        </w:rPr>
      </w:pPr>
      <w:r>
        <w:rPr>
          <w:rFonts w:ascii="Cambria" w:eastAsia="Cambria" w:hAnsi="Cambria" w:cs="Times New Roman"/>
          <w:bCs/>
          <w:lang w:val="pt-BR"/>
        </w:rPr>
        <w:t>Pergunta 1: Benefícios e preocupações</w:t>
      </w:r>
    </w:p>
    <w:p w14:paraId="7FC1AAC9" w14:textId="77777777" w:rsidR="002E475C" w:rsidRPr="00CC1CB4" w:rsidRDefault="00000000" w:rsidP="002B15CA">
      <w:pPr>
        <w:rPr>
          <w:color w:val="244061"/>
          <w:lang w:val="es-ES"/>
        </w:rPr>
      </w:pPr>
      <w:r>
        <w:rPr>
          <w:rFonts w:eastAsia="Times New Roman" w:cs="Arial"/>
          <w:color w:val="244061"/>
          <w:lang w:val="pt-BR"/>
        </w:rPr>
        <w:t>Quais são os benefícios do modelo de índice? Quais são as preocupações? Quais informações adicionais seriam úteis para considerar esta proposta?</w:t>
      </w:r>
    </w:p>
    <w:p w14:paraId="43C1D04A" w14:textId="77777777" w:rsidR="002E475C" w:rsidRPr="00364862" w:rsidRDefault="00000000" w:rsidP="002B15CA">
      <w:pPr>
        <w:pStyle w:val="6"/>
      </w:pPr>
      <w:r>
        <w:rPr>
          <w:rFonts w:ascii="Cambria" w:eastAsia="Cambria" w:hAnsi="Cambria" w:cs="Arial"/>
          <w:lang w:val="pt-BR"/>
        </w:rPr>
        <w:t>Respostas</w:t>
      </w:r>
    </w:p>
    <w:p w14:paraId="7D6076AE" w14:textId="77777777" w:rsidR="002E475C" w:rsidRPr="00364862" w:rsidRDefault="00000000" w:rsidP="002E475C">
      <w:pPr>
        <w:spacing w:after="0"/>
        <w:rPr>
          <w:rFonts w:cs="Times New Roman"/>
          <w:b/>
          <w:bCs/>
        </w:rPr>
      </w:pPr>
      <w:r>
        <w:rPr>
          <w:rFonts w:eastAsia="Times New Roman" w:cs="Times New Roman"/>
          <w:b/>
          <w:bCs/>
          <w:lang w:val="pt-BR"/>
        </w:rPr>
        <w:t xml:space="preserve">Benefícios: </w:t>
      </w:r>
    </w:p>
    <w:p w14:paraId="78B5DC35" w14:textId="77777777" w:rsidR="002E475C" w:rsidRPr="00CC1CB4" w:rsidRDefault="00000000">
      <w:pPr>
        <w:pStyle w:val="a6"/>
        <w:numPr>
          <w:ilvl w:val="0"/>
          <w:numId w:val="107"/>
        </w:numPr>
        <w:spacing w:after="120" w:line="264" w:lineRule="auto"/>
        <w:contextualSpacing w:val="0"/>
        <w:rPr>
          <w:rFonts w:cs="Times New Roman"/>
          <w:lang w:val="es-ES"/>
        </w:rPr>
      </w:pPr>
      <w:r>
        <w:rPr>
          <w:rFonts w:eastAsia="Times New Roman" w:cs="Times New Roman"/>
          <w:lang w:val="pt-BR"/>
        </w:rPr>
        <w:t>Semelhante ao que é usado para a responsabilidade da escola fretada, o modelo de índice introduz eficiência em intervenções direcionadas, com uma abordagem sutil que fornece uma imagem mais clara dos níveis de desempenho dos alunos. A adoção de um sistema de suporte em níveis pode fornecer um espectro de assistência sob medida para diferentes necessidades escolares.</w:t>
      </w:r>
    </w:p>
    <w:p w14:paraId="73CDC5C7" w14:textId="77777777" w:rsidR="002E475C" w:rsidRPr="00CC1CB4" w:rsidRDefault="00000000">
      <w:pPr>
        <w:pStyle w:val="a6"/>
        <w:numPr>
          <w:ilvl w:val="0"/>
          <w:numId w:val="107"/>
        </w:numPr>
        <w:spacing w:after="120" w:line="264" w:lineRule="auto"/>
        <w:contextualSpacing w:val="0"/>
        <w:rPr>
          <w:rFonts w:cs="Times New Roman"/>
          <w:lang w:val="es-ES"/>
        </w:rPr>
      </w:pPr>
      <w:r>
        <w:rPr>
          <w:rFonts w:eastAsia="Times New Roman" w:cs="Times New Roman"/>
          <w:lang w:val="pt-BR"/>
        </w:rPr>
        <w:t>Valor em creditar as escolas para o crescimento dos estudantes, distinguindo entre escolas com necessidade desesperada de ajuda e aquelas que poderiam se beneficiar de recursos específicos. Isso poderia combater as desigualdades educacionais identificando e abordando lacunas de oportunidades.</w:t>
      </w:r>
    </w:p>
    <w:p w14:paraId="38294C1E" w14:textId="77777777" w:rsidR="002E475C" w:rsidRPr="00CC1CB4" w:rsidRDefault="00000000">
      <w:pPr>
        <w:pStyle w:val="a6"/>
        <w:numPr>
          <w:ilvl w:val="0"/>
          <w:numId w:val="107"/>
        </w:numPr>
        <w:spacing w:after="120" w:line="264" w:lineRule="auto"/>
        <w:contextualSpacing w:val="0"/>
        <w:rPr>
          <w:rFonts w:cs="Times New Roman"/>
          <w:lang w:val="es-ES"/>
        </w:rPr>
      </w:pPr>
      <w:r>
        <w:rPr>
          <w:rFonts w:eastAsia="Times New Roman" w:cs="Times New Roman"/>
          <w:lang w:val="pt-BR"/>
        </w:rPr>
        <w:t xml:space="preserve">Essa abordagem faz sentido para mim. </w:t>
      </w:r>
    </w:p>
    <w:p w14:paraId="2359F93C" w14:textId="77777777" w:rsidR="002E475C" w:rsidRPr="00364862" w:rsidRDefault="00000000" w:rsidP="001C3027">
      <w:pPr>
        <w:spacing w:after="120"/>
        <w:rPr>
          <w:rFonts w:cs="Times New Roman"/>
          <w:b/>
          <w:bCs/>
        </w:rPr>
      </w:pPr>
      <w:r>
        <w:rPr>
          <w:rFonts w:eastAsia="Times New Roman" w:cs="Times New Roman"/>
          <w:b/>
          <w:bCs/>
          <w:lang w:val="pt-BR"/>
        </w:rPr>
        <w:t>Preocupações:</w:t>
      </w:r>
    </w:p>
    <w:p w14:paraId="4DBB4092" w14:textId="77777777" w:rsidR="002E475C" w:rsidRPr="00CC1CB4" w:rsidRDefault="00000000">
      <w:pPr>
        <w:pStyle w:val="a6"/>
        <w:numPr>
          <w:ilvl w:val="0"/>
          <w:numId w:val="108"/>
        </w:numPr>
        <w:spacing w:after="120" w:line="264" w:lineRule="auto"/>
        <w:contextualSpacing w:val="0"/>
        <w:rPr>
          <w:rFonts w:cs="Times New Roman"/>
          <w:lang w:val="es-ES"/>
        </w:rPr>
      </w:pPr>
      <w:r>
        <w:rPr>
          <w:rFonts w:eastAsia="Times New Roman" w:cs="Times New Roman"/>
          <w:lang w:val="pt-BR"/>
        </w:rPr>
        <w:t>Incerteza sobre os dados de índice que abordam as causas raiz das desigualdades educacionais. O possível estigma para os alunos identificados para apoio extra também levanta questões sobre o impacto emocional nos alunos.</w:t>
      </w:r>
    </w:p>
    <w:p w14:paraId="23A90FB6" w14:textId="77777777" w:rsidR="002E475C" w:rsidRPr="00CC1CB4" w:rsidRDefault="00000000">
      <w:pPr>
        <w:pStyle w:val="a6"/>
        <w:numPr>
          <w:ilvl w:val="0"/>
          <w:numId w:val="108"/>
        </w:numPr>
        <w:spacing w:after="120" w:line="264" w:lineRule="auto"/>
        <w:contextualSpacing w:val="0"/>
        <w:rPr>
          <w:rFonts w:cs="Times New Roman"/>
          <w:lang w:val="es-ES"/>
        </w:rPr>
      </w:pPr>
      <w:r>
        <w:rPr>
          <w:rFonts w:eastAsia="Times New Roman" w:cs="Times New Roman"/>
          <w:lang w:val="pt-BR"/>
        </w:rPr>
        <w:t>As implicações para a população de alunos com deficiências não são totalmente compreendidas. Há uma chamada para medidas de responsabilidade que garantam a aplicação consistente de estratégias de apoio para atender aos alunos que mais precisam delas.</w:t>
      </w:r>
    </w:p>
    <w:p w14:paraId="27CC7776" w14:textId="77777777" w:rsidR="002E475C" w:rsidRPr="00CC1CB4" w:rsidRDefault="00000000">
      <w:pPr>
        <w:pStyle w:val="a6"/>
        <w:numPr>
          <w:ilvl w:val="0"/>
          <w:numId w:val="108"/>
        </w:numPr>
        <w:spacing w:after="120" w:line="264" w:lineRule="auto"/>
        <w:rPr>
          <w:rFonts w:cs="Times New Roman"/>
          <w:lang w:val="es-ES"/>
        </w:rPr>
      </w:pPr>
      <w:r>
        <w:rPr>
          <w:rFonts w:eastAsia="Times New Roman" w:cs="Times New Roman"/>
          <w:lang w:val="pt-BR"/>
        </w:rPr>
        <w:t>A estabilidade do financiamento é uma grande preocupação, com ansiedades em torno da confiabilidade do apoio estadual e federal, e como as mudanças no financiamento podem afetar o índice e os resultados educacionais em geral.</w:t>
      </w:r>
    </w:p>
    <w:p w14:paraId="6A0FA223" w14:textId="77777777" w:rsidR="002E475C" w:rsidRPr="00CC1CB4" w:rsidRDefault="00000000" w:rsidP="006C6975">
      <w:pPr>
        <w:pStyle w:val="4"/>
        <w:rPr>
          <w:lang w:val="es-ES"/>
        </w:rPr>
      </w:pPr>
      <w:bookmarkStart w:id="301" w:name="_Toc199403842"/>
      <w:r>
        <w:rPr>
          <w:rFonts w:ascii="Cambria" w:eastAsia="Cambria" w:hAnsi="Cambria" w:cs="Arial"/>
          <w:szCs w:val="24"/>
          <w:lang w:val="pt-BR"/>
        </w:rPr>
        <w:t>Principais pontos de feedback sobre a proposta do modelo de proficiência de realização acadêmica (baseada em índice)</w:t>
      </w:r>
      <w:bookmarkEnd w:id="301"/>
    </w:p>
    <w:p w14:paraId="74CC025C" w14:textId="77777777" w:rsidR="002E475C" w:rsidRPr="006C6975" w:rsidRDefault="00000000" w:rsidP="006C6975">
      <w:pPr>
        <w:pStyle w:val="5"/>
      </w:pPr>
      <w:r>
        <w:rPr>
          <w:rFonts w:ascii="Cambria" w:eastAsia="Cambria" w:hAnsi="Cambria" w:cs="Times New Roman"/>
          <w:bCs/>
          <w:lang w:val="pt-BR"/>
        </w:rPr>
        <w:t>Respostas</w:t>
      </w:r>
    </w:p>
    <w:p w14:paraId="518387F8" w14:textId="77777777" w:rsidR="002E475C" w:rsidRPr="00CC1CB4" w:rsidRDefault="00000000">
      <w:pPr>
        <w:pStyle w:val="a6"/>
        <w:numPr>
          <w:ilvl w:val="0"/>
          <w:numId w:val="109"/>
        </w:numPr>
        <w:spacing w:after="120" w:line="264" w:lineRule="auto"/>
        <w:contextualSpacing w:val="0"/>
        <w:rPr>
          <w:rFonts w:eastAsia="Times New Roman" w:cs="Times New Roman"/>
          <w:sz w:val="24"/>
          <w:szCs w:val="24"/>
          <w:lang w:val="es-ES"/>
        </w:rPr>
      </w:pPr>
      <w:r>
        <w:rPr>
          <w:rFonts w:eastAsia="Times New Roman" w:cs="Times New Roman"/>
          <w:lang w:val="pt-BR"/>
        </w:rPr>
        <w:t>Curioso sobre como poderia ser a geração de relatórios sobre o modelo de índice para que ele informe de forma significativa as escolhas escolares e distritais.</w:t>
      </w:r>
    </w:p>
    <w:p w14:paraId="3E041B5F" w14:textId="77777777" w:rsidR="002E475C" w:rsidRPr="00CC1CB4" w:rsidRDefault="00000000">
      <w:pPr>
        <w:pStyle w:val="a6"/>
        <w:numPr>
          <w:ilvl w:val="0"/>
          <w:numId w:val="109"/>
        </w:numPr>
        <w:spacing w:after="120" w:line="264" w:lineRule="auto"/>
        <w:contextualSpacing w:val="0"/>
        <w:rPr>
          <w:rFonts w:eastAsia="Times New Roman" w:cs="Times New Roman"/>
          <w:lang w:val="es-ES"/>
        </w:rPr>
      </w:pPr>
      <w:r>
        <w:rPr>
          <w:rFonts w:eastAsia="Times New Roman" w:cs="Times New Roman"/>
          <w:lang w:val="pt-BR"/>
        </w:rPr>
        <w:t>Discutir implementações e informações com o público para torná-las compreensíveis.</w:t>
      </w:r>
    </w:p>
    <w:p w14:paraId="3E9AE307" w14:textId="77777777" w:rsidR="002E475C" w:rsidRPr="00CC1CB4" w:rsidRDefault="00000000">
      <w:pPr>
        <w:pStyle w:val="a6"/>
        <w:numPr>
          <w:ilvl w:val="0"/>
          <w:numId w:val="109"/>
        </w:numPr>
        <w:spacing w:after="120" w:line="264" w:lineRule="auto"/>
        <w:contextualSpacing w:val="0"/>
        <w:rPr>
          <w:rFonts w:eastAsia="Times New Roman" w:cs="Times New Roman"/>
          <w:lang w:val="es-ES"/>
        </w:rPr>
      </w:pPr>
      <w:r>
        <w:rPr>
          <w:rFonts w:eastAsia="Times New Roman" w:cs="Times New Roman"/>
          <w:lang w:val="pt-BR"/>
        </w:rPr>
        <w:lastRenderedPageBreak/>
        <w:t>Parece ser uma maneira melhor de ver o que está acontecendo nos distritos.</w:t>
      </w:r>
    </w:p>
    <w:p w14:paraId="57046360" w14:textId="77777777" w:rsidR="002E475C" w:rsidRPr="00CC1CB4" w:rsidRDefault="00000000">
      <w:pPr>
        <w:pStyle w:val="a6"/>
        <w:numPr>
          <w:ilvl w:val="0"/>
          <w:numId w:val="109"/>
        </w:numPr>
        <w:spacing w:after="120" w:line="264" w:lineRule="auto"/>
        <w:contextualSpacing w:val="0"/>
        <w:rPr>
          <w:rFonts w:eastAsia="Times New Roman" w:cs="Times New Roman"/>
          <w:lang w:val="es-ES"/>
        </w:rPr>
      </w:pPr>
      <w:r>
        <w:rPr>
          <w:rFonts w:eastAsia="Times New Roman" w:cs="Times New Roman"/>
          <w:lang w:val="pt-BR"/>
        </w:rPr>
        <w:t>O índice dá uma ideia muito melhor do que está acontecendo em uma escola, em vez de apenas listar a % proficiente.</w:t>
      </w:r>
    </w:p>
    <w:p w14:paraId="5E653FED" w14:textId="77777777" w:rsidR="002E475C" w:rsidRPr="00CC1CB4" w:rsidRDefault="00000000">
      <w:pPr>
        <w:pStyle w:val="a6"/>
        <w:numPr>
          <w:ilvl w:val="0"/>
          <w:numId w:val="109"/>
        </w:numPr>
        <w:spacing w:after="120" w:line="264" w:lineRule="auto"/>
        <w:contextualSpacing w:val="0"/>
        <w:rPr>
          <w:rFonts w:eastAsia="Times New Roman" w:cs="Times New Roman"/>
          <w:lang w:val="es-ES"/>
        </w:rPr>
      </w:pPr>
      <w:r>
        <w:rPr>
          <w:rFonts w:eastAsia="Times New Roman" w:cs="Times New Roman"/>
          <w:lang w:val="pt-BR"/>
        </w:rPr>
        <w:t>Solicitação para manter as métricas de proficiência tradicionais nos cartões de relatório, além de novas métricas.</w:t>
      </w:r>
    </w:p>
    <w:p w14:paraId="6D525012" w14:textId="77777777" w:rsidR="002E475C" w:rsidRPr="00CC1CB4" w:rsidRDefault="00000000">
      <w:pPr>
        <w:pStyle w:val="a6"/>
        <w:numPr>
          <w:ilvl w:val="0"/>
          <w:numId w:val="109"/>
        </w:numPr>
        <w:spacing w:after="120" w:line="264" w:lineRule="auto"/>
        <w:rPr>
          <w:rFonts w:eastAsia="Times New Roman" w:cs="Times New Roman"/>
          <w:lang w:val="es-ES"/>
        </w:rPr>
      </w:pPr>
      <w:r>
        <w:rPr>
          <w:rFonts w:eastAsia="Times New Roman" w:cs="Times New Roman"/>
          <w:lang w:val="pt-BR"/>
        </w:rPr>
        <w:t>O índice valida os dados subjacentes quase como o desvio padrão faz nas estatísticas.</w:t>
      </w:r>
    </w:p>
    <w:p w14:paraId="09D6AEBD" w14:textId="77777777" w:rsidR="002E475C" w:rsidRPr="00CC1CB4" w:rsidRDefault="00000000" w:rsidP="006C6975">
      <w:pPr>
        <w:pStyle w:val="4"/>
        <w:rPr>
          <w:lang w:val="es-ES"/>
        </w:rPr>
      </w:pPr>
      <w:bookmarkStart w:id="302" w:name="_Toc199403843"/>
      <w:r>
        <w:rPr>
          <w:rFonts w:ascii="Cambria" w:eastAsia="Cambria" w:hAnsi="Cambria" w:cs="Arial"/>
          <w:szCs w:val="24"/>
          <w:lang w:val="pt-BR"/>
        </w:rPr>
        <w:t>Principais temas e conclusões da sessão</w:t>
      </w:r>
      <w:bookmarkEnd w:id="302"/>
      <w:r>
        <w:rPr>
          <w:rFonts w:ascii="Cambria" w:eastAsia="Cambria" w:hAnsi="Cambria" w:cs="Arial"/>
          <w:szCs w:val="24"/>
          <w:lang w:val="pt-BR"/>
        </w:rPr>
        <w:t xml:space="preserve"> </w:t>
      </w:r>
    </w:p>
    <w:p w14:paraId="0BFA473B" w14:textId="77777777" w:rsidR="002E475C" w:rsidRPr="00CC1CB4" w:rsidRDefault="00000000">
      <w:pPr>
        <w:pStyle w:val="a6"/>
        <w:numPr>
          <w:ilvl w:val="0"/>
          <w:numId w:val="111"/>
        </w:numPr>
        <w:spacing w:after="120" w:line="264" w:lineRule="auto"/>
        <w:contextualSpacing w:val="0"/>
        <w:rPr>
          <w:rFonts w:eastAsia="Times New Roman" w:cs="Times New Roman"/>
          <w:lang w:val="es-ES"/>
        </w:rPr>
      </w:pPr>
      <w:r>
        <w:rPr>
          <w:rFonts w:eastAsia="Times New Roman" w:cs="Times New Roman"/>
          <w:lang w:val="pt-BR"/>
        </w:rPr>
        <w:t>Ênfase na importância da tomada de decisões orientada por dados, especialmente na avaliação do impacto das iniciativas nos resultados dos alunos.</w:t>
      </w:r>
    </w:p>
    <w:p w14:paraId="1B8B4940" w14:textId="77777777" w:rsidR="002E475C" w:rsidRPr="00CC1CB4" w:rsidRDefault="00000000">
      <w:pPr>
        <w:pStyle w:val="a6"/>
        <w:numPr>
          <w:ilvl w:val="0"/>
          <w:numId w:val="110"/>
        </w:numPr>
        <w:spacing w:after="120" w:line="264" w:lineRule="auto"/>
        <w:contextualSpacing w:val="0"/>
        <w:rPr>
          <w:rFonts w:eastAsia="Times New Roman" w:cs="Times New Roman"/>
          <w:lang w:val="es-ES"/>
        </w:rPr>
      </w:pPr>
      <w:r>
        <w:rPr>
          <w:rFonts w:eastAsia="Times New Roman" w:cs="Times New Roman"/>
          <w:lang w:val="pt-BR"/>
        </w:rPr>
        <w:t>Reconhecimento da necessidade de flexibilidade no estabelecimento de metas para se adaptar às mudanças nas circunstâncias e necessidades distritais.</w:t>
      </w:r>
    </w:p>
    <w:p w14:paraId="4985D32C" w14:textId="77777777" w:rsidR="002E475C" w:rsidRPr="00CC1CB4" w:rsidRDefault="00000000">
      <w:pPr>
        <w:pStyle w:val="a6"/>
        <w:numPr>
          <w:ilvl w:val="0"/>
          <w:numId w:val="110"/>
        </w:numPr>
        <w:spacing w:after="120" w:line="264" w:lineRule="auto"/>
        <w:contextualSpacing w:val="0"/>
        <w:rPr>
          <w:rFonts w:eastAsia="Times New Roman" w:cs="Times New Roman"/>
          <w:lang w:val="es-ES"/>
        </w:rPr>
      </w:pPr>
      <w:r>
        <w:rPr>
          <w:rFonts w:eastAsia="Times New Roman" w:cs="Times New Roman"/>
          <w:lang w:val="pt-BR"/>
        </w:rPr>
        <w:t>Colaboração e comunicação entre as partes interessadas educacionais e o estado para a implementação efetiva da política.</w:t>
      </w:r>
    </w:p>
    <w:p w14:paraId="2E031E4B" w14:textId="77777777" w:rsidR="002E475C" w:rsidRPr="00CC1CB4" w:rsidRDefault="00000000">
      <w:pPr>
        <w:pStyle w:val="a6"/>
        <w:numPr>
          <w:ilvl w:val="0"/>
          <w:numId w:val="110"/>
        </w:numPr>
        <w:spacing w:after="120" w:line="264" w:lineRule="auto"/>
        <w:contextualSpacing w:val="0"/>
        <w:rPr>
          <w:rFonts w:eastAsia="Times New Roman" w:cs="Times New Roman"/>
          <w:lang w:val="es-ES"/>
        </w:rPr>
      </w:pPr>
      <w:r>
        <w:rPr>
          <w:rFonts w:eastAsia="Times New Roman" w:cs="Times New Roman"/>
          <w:lang w:val="pt-BR"/>
        </w:rPr>
        <w:t>Reconhecimento da complexidade de definir metas e objetivos alcançáveis ao considerar vários fatores.</w:t>
      </w:r>
    </w:p>
    <w:p w14:paraId="48ADFEE2" w14:textId="77777777" w:rsidR="002E475C" w:rsidRPr="00CC1CB4" w:rsidRDefault="00000000">
      <w:pPr>
        <w:pStyle w:val="a6"/>
        <w:numPr>
          <w:ilvl w:val="0"/>
          <w:numId w:val="110"/>
        </w:numPr>
        <w:spacing w:after="120" w:line="264" w:lineRule="auto"/>
        <w:contextualSpacing w:val="0"/>
        <w:rPr>
          <w:rFonts w:eastAsia="Times New Roman" w:cs="Times New Roman"/>
          <w:lang w:val="es-ES"/>
        </w:rPr>
      </w:pPr>
      <w:r>
        <w:rPr>
          <w:rFonts w:eastAsia="Times New Roman" w:cs="Times New Roman"/>
          <w:lang w:val="pt-BR"/>
        </w:rPr>
        <w:t>Apreciação pelos esforços e dedicação dos educadores na melhoria dos resultados para todos os alunos.</w:t>
      </w:r>
    </w:p>
    <w:p w14:paraId="5618038F" w14:textId="77777777" w:rsidR="002E475C" w:rsidRPr="00CC1CB4" w:rsidRDefault="00000000">
      <w:pPr>
        <w:pStyle w:val="a6"/>
        <w:numPr>
          <w:ilvl w:val="0"/>
          <w:numId w:val="110"/>
        </w:numPr>
        <w:spacing w:after="120" w:line="264" w:lineRule="auto"/>
        <w:contextualSpacing w:val="0"/>
        <w:rPr>
          <w:rFonts w:eastAsia="Times New Roman" w:cs="Times New Roman"/>
          <w:lang w:val="es-ES"/>
        </w:rPr>
      </w:pPr>
      <w:r>
        <w:rPr>
          <w:rFonts w:eastAsia="Times New Roman" w:cs="Times New Roman"/>
          <w:lang w:val="pt-BR"/>
        </w:rPr>
        <w:t>Solicita critérios mais abrangentes e diferenciados para avaliar escolas além dos requisitos federais amplos.</w:t>
      </w:r>
    </w:p>
    <w:p w14:paraId="724D6E85" w14:textId="77777777" w:rsidR="002E475C" w:rsidRPr="00CC1CB4" w:rsidRDefault="00000000">
      <w:pPr>
        <w:pStyle w:val="a6"/>
        <w:numPr>
          <w:ilvl w:val="0"/>
          <w:numId w:val="110"/>
        </w:numPr>
        <w:spacing w:after="120" w:line="264" w:lineRule="auto"/>
        <w:contextualSpacing w:val="0"/>
        <w:rPr>
          <w:rFonts w:eastAsia="Times New Roman" w:cs="Times New Roman"/>
          <w:lang w:val="es-ES"/>
        </w:rPr>
      </w:pPr>
      <w:r>
        <w:rPr>
          <w:rFonts w:eastAsia="Times New Roman" w:cs="Times New Roman"/>
          <w:lang w:val="pt-BR"/>
        </w:rPr>
        <w:t>Solicitações de recursos adicionais e suporte para ajudar a alcançar resultados de responsabilidade.</w:t>
      </w:r>
    </w:p>
    <w:p w14:paraId="1F95E1E6" w14:textId="77777777" w:rsidR="002E475C" w:rsidRPr="00CC1CB4" w:rsidRDefault="00000000">
      <w:pPr>
        <w:pStyle w:val="a6"/>
        <w:numPr>
          <w:ilvl w:val="0"/>
          <w:numId w:val="110"/>
        </w:numPr>
        <w:spacing w:after="120" w:line="264" w:lineRule="auto"/>
        <w:contextualSpacing w:val="0"/>
        <w:rPr>
          <w:rFonts w:eastAsia="Times New Roman" w:cs="Times New Roman"/>
          <w:lang w:val="es-ES"/>
        </w:rPr>
      </w:pPr>
      <w:r>
        <w:rPr>
          <w:rFonts w:eastAsia="Times New Roman" w:cs="Times New Roman"/>
          <w:lang w:val="pt-BR"/>
        </w:rPr>
        <w:t>Foco em entender as funções das partes interessadas e objetivos claros no processo de tomada de decisão.</w:t>
      </w:r>
    </w:p>
    <w:p w14:paraId="5407F884" w14:textId="77777777" w:rsidR="002E475C" w:rsidRPr="00CC1CB4" w:rsidRDefault="00000000">
      <w:pPr>
        <w:pStyle w:val="a6"/>
        <w:numPr>
          <w:ilvl w:val="0"/>
          <w:numId w:val="110"/>
        </w:numPr>
        <w:spacing w:after="120" w:line="264" w:lineRule="auto"/>
        <w:contextualSpacing w:val="0"/>
        <w:rPr>
          <w:rFonts w:eastAsia="Times New Roman" w:cs="Times New Roman"/>
          <w:lang w:val="es-ES"/>
        </w:rPr>
      </w:pPr>
      <w:r>
        <w:rPr>
          <w:rFonts w:eastAsia="Times New Roman" w:cs="Times New Roman"/>
          <w:lang w:val="pt-BR"/>
        </w:rPr>
        <w:t>Discussão sobre os desafios e complexidades da implementação da ESSA.</w:t>
      </w:r>
    </w:p>
    <w:p w14:paraId="50D5B020" w14:textId="77777777" w:rsidR="002E475C" w:rsidRPr="00CC1CB4" w:rsidRDefault="00000000">
      <w:pPr>
        <w:pStyle w:val="a6"/>
        <w:numPr>
          <w:ilvl w:val="0"/>
          <w:numId w:val="110"/>
        </w:numPr>
        <w:spacing w:after="120" w:line="264" w:lineRule="auto"/>
        <w:rPr>
          <w:rFonts w:eastAsia="Times New Roman" w:cs="Times New Roman"/>
          <w:lang w:val="es-ES"/>
        </w:rPr>
      </w:pPr>
      <w:r>
        <w:rPr>
          <w:rFonts w:eastAsia="Times New Roman" w:cs="Times New Roman"/>
          <w:lang w:val="pt-BR"/>
        </w:rPr>
        <w:t>No geral, um senso de esperança/ambição e determinação para impulsionar mudanças positivas na educação, apesar dos desafios à frente.</w:t>
      </w:r>
      <w:bookmarkStart w:id="303" w:name="_Feedback_on_the_3"/>
      <w:bookmarkEnd w:id="303"/>
      <w:r>
        <w:rPr>
          <w:rFonts w:eastAsia="Times New Roman" w:cs="Times New Roman"/>
          <w:lang w:val="pt-BR"/>
        </w:rPr>
        <w:br w:type="page"/>
      </w:r>
    </w:p>
    <w:p w14:paraId="30D2A31A" w14:textId="77777777" w:rsidR="002E475C" w:rsidRPr="00856537" w:rsidRDefault="00000000" w:rsidP="00856537">
      <w:pPr>
        <w:pStyle w:val="A30"/>
        <w:spacing w:after="220"/>
        <w:rPr>
          <w:rStyle w:val="normaltextrun"/>
        </w:rPr>
      </w:pPr>
      <w:bookmarkStart w:id="304" w:name="_Feedback_on_the_8"/>
      <w:bookmarkStart w:id="305" w:name="_Toc171333348"/>
      <w:bookmarkStart w:id="306" w:name="_Toc199403844"/>
      <w:bookmarkEnd w:id="304"/>
      <w:r w:rsidRPr="00856537">
        <w:rPr>
          <w:rStyle w:val="normaltextrun"/>
        </w:rPr>
        <w:lastRenderedPageBreak/>
        <w:t>Feedback sobre a proposta de progresso do indicador de proficiência em inglês</w:t>
      </w:r>
      <w:bookmarkEnd w:id="305"/>
      <w:r w:rsidRPr="00856537">
        <w:rPr>
          <w:rStyle w:val="normaltextrun"/>
        </w:rPr>
        <w:br/>
        <w:t>Sessão nº 3 (13 de fevereiro)</w:t>
      </w:r>
      <w:bookmarkEnd w:id="306"/>
    </w:p>
    <w:p w14:paraId="1BC7F05E" w14:textId="77777777" w:rsidR="006415C4" w:rsidRPr="00CC1CB4" w:rsidRDefault="00000000" w:rsidP="002E475C">
      <w:pPr>
        <w:rPr>
          <w:rFonts w:cs="Times New Roman"/>
          <w:lang w:val="es-ES"/>
        </w:rPr>
      </w:pPr>
      <w:r>
        <w:rPr>
          <w:rFonts w:eastAsia="Times New Roman" w:cs="Times New Roman"/>
          <w:lang w:val="pt-BR"/>
        </w:rPr>
        <w:t>Os participantes forneceram reações iniciais à proposta para explorar maneiras alternativas de medir o progresso na obtenção da proficiência em inglês.</w:t>
      </w:r>
    </w:p>
    <w:p w14:paraId="605D0A68" w14:textId="77777777" w:rsidR="002E475C" w:rsidRPr="00CC1CB4" w:rsidRDefault="00000000" w:rsidP="001C3027">
      <w:pPr>
        <w:pStyle w:val="4"/>
        <w:rPr>
          <w:lang w:val="es-ES"/>
        </w:rPr>
      </w:pPr>
      <w:bookmarkStart w:id="307" w:name="_Toc199403845"/>
      <w:r>
        <w:rPr>
          <w:rFonts w:ascii="Cambria" w:eastAsia="Cambria" w:hAnsi="Cambria" w:cs="Arial"/>
          <w:szCs w:val="24"/>
          <w:lang w:val="pt-BR"/>
        </w:rPr>
        <w:t>Feedback das partes interessadas</w:t>
      </w:r>
      <w:bookmarkEnd w:id="307"/>
    </w:p>
    <w:p w14:paraId="6C6523D3" w14:textId="77777777" w:rsidR="002E475C" w:rsidRPr="00CC1CB4" w:rsidRDefault="00000000" w:rsidP="001C3027">
      <w:pPr>
        <w:pStyle w:val="5"/>
        <w:spacing w:before="240"/>
        <w:rPr>
          <w:lang w:val="es-ES"/>
        </w:rPr>
      </w:pPr>
      <w:r>
        <w:rPr>
          <w:rFonts w:ascii="Cambria" w:eastAsia="Cambria" w:hAnsi="Cambria" w:cs="Times New Roman"/>
          <w:bCs/>
          <w:lang w:val="pt-BR"/>
        </w:rPr>
        <w:t>Pergunta 1: Esta proposta está alinhada aos nossos princípios-chave de responsabilidade?</w:t>
      </w:r>
    </w:p>
    <w:p w14:paraId="7F1C5301" w14:textId="77777777" w:rsidR="002E475C" w:rsidRPr="001C3027" w:rsidRDefault="00000000" w:rsidP="001C3027">
      <w:pPr>
        <w:pStyle w:val="6"/>
      </w:pPr>
      <w:r>
        <w:rPr>
          <w:rFonts w:ascii="Cambria" w:eastAsia="Cambria" w:hAnsi="Cambria" w:cs="Arial"/>
          <w:lang w:val="pt-BR"/>
        </w:rPr>
        <w:t>Respostas</w:t>
      </w:r>
    </w:p>
    <w:p w14:paraId="7CA94937" w14:textId="77777777" w:rsidR="002E475C" w:rsidRPr="00CC1CB4" w:rsidRDefault="00000000">
      <w:pPr>
        <w:pStyle w:val="a6"/>
        <w:numPr>
          <w:ilvl w:val="0"/>
          <w:numId w:val="140"/>
        </w:numPr>
        <w:spacing w:after="120" w:line="264" w:lineRule="auto"/>
        <w:contextualSpacing w:val="0"/>
        <w:rPr>
          <w:rFonts w:cs="Times New Roman"/>
          <w:lang w:val="es-ES"/>
        </w:rPr>
      </w:pPr>
      <w:r>
        <w:rPr>
          <w:rFonts w:eastAsia="Times New Roman" w:cs="Times New Roman"/>
          <w:lang w:val="pt-BR"/>
        </w:rPr>
        <w:t>Estamos olhando para modelos no contexto e respeito aos diversos alunos de NJ?</w:t>
      </w:r>
    </w:p>
    <w:p w14:paraId="056ACCED" w14:textId="77777777" w:rsidR="002E475C" w:rsidRPr="00CC1CB4" w:rsidRDefault="00000000">
      <w:pPr>
        <w:pStyle w:val="a6"/>
        <w:numPr>
          <w:ilvl w:val="0"/>
          <w:numId w:val="140"/>
        </w:numPr>
        <w:spacing w:after="120" w:line="264" w:lineRule="auto"/>
        <w:contextualSpacing w:val="0"/>
        <w:rPr>
          <w:rFonts w:cs="Times New Roman"/>
          <w:lang w:val="es-ES"/>
        </w:rPr>
      </w:pPr>
      <w:r>
        <w:rPr>
          <w:rFonts w:eastAsia="Times New Roman" w:cs="Times New Roman"/>
          <w:lang w:val="pt-BR"/>
        </w:rPr>
        <w:t>Quais escolas estão sendo identificadas?</w:t>
      </w:r>
    </w:p>
    <w:p w14:paraId="6D446302" w14:textId="77777777" w:rsidR="002E475C" w:rsidRPr="00CC1CB4" w:rsidRDefault="00000000">
      <w:pPr>
        <w:pStyle w:val="a6"/>
        <w:numPr>
          <w:ilvl w:val="0"/>
          <w:numId w:val="140"/>
        </w:numPr>
        <w:spacing w:after="120" w:line="264" w:lineRule="auto"/>
        <w:contextualSpacing w:val="0"/>
        <w:rPr>
          <w:rFonts w:cs="Times New Roman"/>
          <w:lang w:val="es-ES"/>
        </w:rPr>
      </w:pPr>
      <w:r>
        <w:rPr>
          <w:rFonts w:eastAsia="Times New Roman" w:cs="Times New Roman"/>
          <w:lang w:val="pt-BR"/>
        </w:rPr>
        <w:t>Parece uma estrutura pequena. Que apoio está sendo fornecido?</w:t>
      </w:r>
    </w:p>
    <w:p w14:paraId="7397256E" w14:textId="77777777" w:rsidR="002E475C" w:rsidRPr="00CC1CB4" w:rsidRDefault="00000000">
      <w:pPr>
        <w:pStyle w:val="a6"/>
        <w:numPr>
          <w:ilvl w:val="0"/>
          <w:numId w:val="141"/>
        </w:numPr>
        <w:spacing w:after="120" w:line="264" w:lineRule="auto"/>
        <w:contextualSpacing w:val="0"/>
        <w:rPr>
          <w:rFonts w:cs="Times New Roman"/>
          <w:lang w:val="es-ES"/>
        </w:rPr>
      </w:pPr>
      <w:r>
        <w:rPr>
          <w:rFonts w:eastAsia="Times New Roman" w:cs="Times New Roman"/>
          <w:lang w:val="pt-BR"/>
        </w:rPr>
        <w:t>Como os distritos serão identificados? Qual é o processo e as métricas usadas?</w:t>
      </w:r>
    </w:p>
    <w:p w14:paraId="0883E7C6" w14:textId="77777777" w:rsidR="002E475C" w:rsidRPr="00CC1CB4" w:rsidRDefault="00000000">
      <w:pPr>
        <w:pStyle w:val="a6"/>
        <w:numPr>
          <w:ilvl w:val="0"/>
          <w:numId w:val="141"/>
        </w:numPr>
        <w:spacing w:after="120" w:line="264" w:lineRule="auto"/>
        <w:contextualSpacing w:val="0"/>
        <w:rPr>
          <w:rFonts w:cs="Times New Roman"/>
          <w:lang w:val="es-ES"/>
        </w:rPr>
      </w:pPr>
      <w:r>
        <w:rPr>
          <w:rFonts w:eastAsia="Times New Roman" w:cs="Times New Roman"/>
          <w:lang w:val="pt-BR"/>
        </w:rPr>
        <w:t>O modelo de crescimento linear faz sentido de forma intuitiva, mas pode não ser responsável pelo fato de que os alunos mais jovens podem fazer mais progresso.</w:t>
      </w:r>
    </w:p>
    <w:p w14:paraId="475F3F51" w14:textId="77777777" w:rsidR="002E475C" w:rsidRPr="00CC1CB4" w:rsidRDefault="00000000">
      <w:pPr>
        <w:pStyle w:val="a6"/>
        <w:numPr>
          <w:ilvl w:val="0"/>
          <w:numId w:val="141"/>
        </w:numPr>
        <w:spacing w:after="120" w:line="264" w:lineRule="auto"/>
        <w:contextualSpacing w:val="0"/>
        <w:rPr>
          <w:rFonts w:cs="Times New Roman"/>
          <w:lang w:val="es-ES"/>
        </w:rPr>
      </w:pPr>
      <w:r>
        <w:rPr>
          <w:rFonts w:eastAsia="Times New Roman" w:cs="Times New Roman"/>
          <w:lang w:val="pt-BR"/>
        </w:rPr>
        <w:t>A comparação com os modelos de crescimento de outros estados não está clara. A aprendizagem não é linear, portanto, a meta final deve ser priorizada com caminhos flexíveis para alcançá-la.</w:t>
      </w:r>
    </w:p>
    <w:p w14:paraId="2C0CDC98" w14:textId="77777777" w:rsidR="002E475C" w:rsidRPr="00CC1CB4" w:rsidRDefault="00000000">
      <w:pPr>
        <w:pStyle w:val="a6"/>
        <w:numPr>
          <w:ilvl w:val="0"/>
          <w:numId w:val="141"/>
        </w:numPr>
        <w:spacing w:after="120" w:line="264" w:lineRule="auto"/>
        <w:rPr>
          <w:rFonts w:cs="Times New Roman"/>
          <w:lang w:val="es-ES"/>
        </w:rPr>
      </w:pPr>
      <w:r>
        <w:rPr>
          <w:rFonts w:eastAsia="Times New Roman" w:cs="Times New Roman"/>
          <w:lang w:val="pt-BR"/>
        </w:rPr>
        <w:t>Considerar a diversidade de estudantes, incluindo aqueles de diferentes países com diferentes formações educacionais.</w:t>
      </w:r>
    </w:p>
    <w:p w14:paraId="047788B7" w14:textId="77777777" w:rsidR="00EC5492" w:rsidRPr="00CC1CB4" w:rsidRDefault="00000000" w:rsidP="001C3027">
      <w:pPr>
        <w:pStyle w:val="5"/>
        <w:rPr>
          <w:lang w:val="es-ES"/>
        </w:rPr>
      </w:pPr>
      <w:bookmarkStart w:id="308" w:name="_Hlk161652244"/>
      <w:r>
        <w:rPr>
          <w:rFonts w:ascii="Cambria" w:eastAsia="Cambria" w:hAnsi="Cambria" w:cs="Times New Roman"/>
          <w:bCs/>
          <w:lang w:val="pt-BR"/>
        </w:rPr>
        <w:t>Pergunta 2: Benefícios e preocupações</w:t>
      </w:r>
    </w:p>
    <w:p w14:paraId="78C4919E" w14:textId="77777777" w:rsidR="002E475C" w:rsidRPr="00CC1CB4" w:rsidRDefault="00000000" w:rsidP="00EC5492">
      <w:pPr>
        <w:rPr>
          <w:b/>
          <w:bCs/>
          <w:color w:val="074F6A"/>
          <w:lang w:val="es-ES"/>
        </w:rPr>
      </w:pPr>
      <w:r>
        <w:rPr>
          <w:rFonts w:eastAsia="Times New Roman" w:cs="Arial"/>
          <w:b/>
          <w:bCs/>
          <w:color w:val="074F6A"/>
          <w:lang w:val="pt-BR"/>
        </w:rPr>
        <w:t>Quais são os benefícios da proposta? Quais são algumas preocupações?</w:t>
      </w:r>
    </w:p>
    <w:p w14:paraId="281362FF" w14:textId="77777777" w:rsidR="002E475C" w:rsidRPr="00CC1CB4" w:rsidRDefault="00000000" w:rsidP="001C3027">
      <w:pPr>
        <w:pStyle w:val="6"/>
        <w:rPr>
          <w:lang w:val="es-ES"/>
        </w:rPr>
      </w:pPr>
      <w:r>
        <w:rPr>
          <w:rFonts w:ascii="Cambria" w:eastAsia="Cambria" w:hAnsi="Cambria" w:cs="Arial"/>
          <w:lang w:val="pt-BR"/>
        </w:rPr>
        <w:t>Respostas</w:t>
      </w:r>
    </w:p>
    <w:p w14:paraId="0AC98936" w14:textId="77777777" w:rsidR="002E475C" w:rsidRPr="00CC1CB4" w:rsidRDefault="00000000" w:rsidP="001C3027">
      <w:pPr>
        <w:spacing w:after="120"/>
        <w:rPr>
          <w:rFonts w:cs="Times New Roman"/>
          <w:b/>
          <w:bCs/>
          <w:lang w:val="es-ES"/>
        </w:rPr>
      </w:pPr>
      <w:r>
        <w:rPr>
          <w:rFonts w:eastAsia="Times New Roman" w:cs="Times New Roman"/>
          <w:b/>
          <w:bCs/>
          <w:lang w:val="pt-BR"/>
        </w:rPr>
        <w:t xml:space="preserve">Benefícios: </w:t>
      </w:r>
    </w:p>
    <w:p w14:paraId="70A19569" w14:textId="77777777" w:rsidR="002E475C" w:rsidRPr="00CC1CB4" w:rsidRDefault="00000000">
      <w:pPr>
        <w:pStyle w:val="a6"/>
        <w:numPr>
          <w:ilvl w:val="0"/>
          <w:numId w:val="142"/>
        </w:numPr>
        <w:spacing w:after="120" w:line="264" w:lineRule="auto"/>
        <w:contextualSpacing w:val="0"/>
        <w:rPr>
          <w:rFonts w:eastAsia="Times New Roman" w:cs="Times New Roman"/>
          <w:lang w:val="es-ES"/>
        </w:rPr>
      </w:pPr>
      <w:r>
        <w:rPr>
          <w:rFonts w:eastAsia="Times New Roman" w:cs="Times New Roman"/>
          <w:lang w:val="pt-BR"/>
        </w:rPr>
        <w:t>Destaca a necessidade de abordar fatores ambientais que afetam o sucesso dos alunos, como insegurança alimentar e falta de moradia.</w:t>
      </w:r>
    </w:p>
    <w:p w14:paraId="01EDD136" w14:textId="77777777" w:rsidR="002E475C" w:rsidRPr="00CC1CB4" w:rsidRDefault="00000000">
      <w:pPr>
        <w:pStyle w:val="a6"/>
        <w:numPr>
          <w:ilvl w:val="0"/>
          <w:numId w:val="142"/>
        </w:numPr>
        <w:spacing w:after="120" w:line="264" w:lineRule="auto"/>
        <w:contextualSpacing w:val="0"/>
        <w:rPr>
          <w:rFonts w:eastAsia="Times New Roman" w:cs="Times New Roman"/>
          <w:lang w:val="es-ES"/>
        </w:rPr>
      </w:pPr>
      <w:r>
        <w:rPr>
          <w:rFonts w:eastAsia="Times New Roman" w:cs="Times New Roman"/>
          <w:lang w:val="pt-BR"/>
        </w:rPr>
        <w:t xml:space="preserve">Sugere a exploração de programas de linguagem dupla para os primeiros anos da infância, pois esses anos podem desenvolver proficiência em linguagem primária para melhorar a linguagem de conteúdo e a alfabetização. </w:t>
      </w:r>
    </w:p>
    <w:p w14:paraId="1B7FC608" w14:textId="77777777" w:rsidR="002E475C" w:rsidRPr="00CC1CB4" w:rsidRDefault="00000000">
      <w:pPr>
        <w:pStyle w:val="a6"/>
        <w:numPr>
          <w:ilvl w:val="0"/>
          <w:numId w:val="142"/>
        </w:numPr>
        <w:spacing w:after="120" w:line="264" w:lineRule="auto"/>
        <w:contextualSpacing w:val="0"/>
        <w:rPr>
          <w:rFonts w:eastAsia="Times New Roman" w:cs="Times New Roman"/>
          <w:lang w:val="es-ES"/>
        </w:rPr>
      </w:pPr>
      <w:r>
        <w:rPr>
          <w:rFonts w:eastAsia="Times New Roman" w:cs="Times New Roman"/>
          <w:lang w:val="pt-BR"/>
        </w:rPr>
        <w:t>Reitera a inclusão de fatores adicionais na proposta e manutenção da flexibilidade e reconhece a consideração para alunos com processos de aprendizagem interrompidos que podem exigir mais tempo para alcançar proficiência.</w:t>
      </w:r>
    </w:p>
    <w:p w14:paraId="0FDCEA57" w14:textId="77777777" w:rsidR="002E475C" w:rsidRPr="00CC1CB4" w:rsidRDefault="00000000" w:rsidP="003D3442">
      <w:pPr>
        <w:pStyle w:val="a6"/>
        <w:numPr>
          <w:ilvl w:val="0"/>
          <w:numId w:val="142"/>
        </w:numPr>
        <w:spacing w:after="120" w:line="264" w:lineRule="auto"/>
        <w:contextualSpacing w:val="0"/>
        <w:rPr>
          <w:rFonts w:eastAsia="Times New Roman" w:cs="Times New Roman"/>
          <w:lang w:val="es-ES"/>
        </w:rPr>
      </w:pPr>
      <w:r>
        <w:rPr>
          <w:rFonts w:eastAsia="Times New Roman" w:cs="Times New Roman"/>
          <w:lang w:val="pt-BR"/>
        </w:rPr>
        <w:t>Enfatiza a importância de uma maior exploração das medidas alternativas de crescimento e de uma discussão aprofundada antes de chegar às conclusões finais.</w:t>
      </w:r>
      <w:r>
        <w:rPr>
          <w:rFonts w:eastAsia="Times New Roman" w:cs="Times New Roman"/>
          <w:lang w:val="pt-BR"/>
        </w:rPr>
        <w:br w:type="page"/>
      </w:r>
    </w:p>
    <w:p w14:paraId="2916D663" w14:textId="77777777" w:rsidR="002E475C" w:rsidRPr="00364862" w:rsidRDefault="00000000" w:rsidP="001C3027">
      <w:pPr>
        <w:spacing w:after="120"/>
        <w:rPr>
          <w:rFonts w:eastAsia="Times New Roman" w:cs="Times New Roman"/>
          <w:b/>
          <w:bCs/>
        </w:rPr>
      </w:pPr>
      <w:r>
        <w:rPr>
          <w:rFonts w:eastAsia="Times New Roman" w:cs="Times New Roman"/>
          <w:b/>
          <w:bCs/>
          <w:lang w:val="pt-BR"/>
        </w:rPr>
        <w:lastRenderedPageBreak/>
        <w:t xml:space="preserve">Preocupações: </w:t>
      </w:r>
    </w:p>
    <w:p w14:paraId="6C2B5214" w14:textId="77777777" w:rsidR="002E475C" w:rsidRPr="00CC1CB4" w:rsidRDefault="00000000">
      <w:pPr>
        <w:pStyle w:val="a6"/>
        <w:numPr>
          <w:ilvl w:val="0"/>
          <w:numId w:val="143"/>
        </w:numPr>
        <w:spacing w:after="120" w:line="264" w:lineRule="auto"/>
        <w:contextualSpacing w:val="0"/>
        <w:rPr>
          <w:rFonts w:eastAsia="Times New Roman" w:cs="Times New Roman"/>
          <w:lang w:val="es-ES"/>
        </w:rPr>
      </w:pPr>
      <w:r>
        <w:rPr>
          <w:rFonts w:eastAsia="Times New Roman" w:cs="Times New Roman"/>
          <w:lang w:val="pt-BR"/>
        </w:rPr>
        <w:t>Fatores externos podem impedir alguns alunos de alcançar o sucesso, apesar dos esforços da proposta.</w:t>
      </w:r>
    </w:p>
    <w:p w14:paraId="54F8B95B" w14:textId="77777777" w:rsidR="002E475C" w:rsidRPr="00CC1CB4" w:rsidRDefault="00000000">
      <w:pPr>
        <w:pStyle w:val="a6"/>
        <w:numPr>
          <w:ilvl w:val="0"/>
          <w:numId w:val="143"/>
        </w:numPr>
        <w:spacing w:after="120" w:line="264" w:lineRule="auto"/>
        <w:contextualSpacing w:val="0"/>
        <w:rPr>
          <w:rFonts w:eastAsia="Times New Roman" w:cs="Times New Roman"/>
          <w:b/>
          <w:bCs/>
          <w:lang w:val="es-ES"/>
        </w:rPr>
      </w:pPr>
      <w:r>
        <w:rPr>
          <w:rFonts w:eastAsia="Times New Roman" w:cs="Times New Roman"/>
          <w:lang w:val="pt-BR"/>
        </w:rPr>
        <w:t>Uma baixa pontuação de corte de 4,5 para programas bilíngues/ESL de saída pode levar a saídas prematuras antes que os alunos atinjam proficiência suficiente em inglês.</w:t>
      </w:r>
    </w:p>
    <w:p w14:paraId="64EBCE12" w14:textId="77777777" w:rsidR="002E475C" w:rsidRPr="00CC1CB4" w:rsidRDefault="00000000">
      <w:pPr>
        <w:pStyle w:val="a6"/>
        <w:numPr>
          <w:ilvl w:val="1"/>
          <w:numId w:val="144"/>
        </w:numPr>
        <w:spacing w:after="120" w:line="264" w:lineRule="auto"/>
        <w:contextualSpacing w:val="0"/>
        <w:rPr>
          <w:rFonts w:eastAsia="Times New Roman" w:cs="Times New Roman"/>
          <w:sz w:val="24"/>
          <w:szCs w:val="24"/>
          <w:lang w:val="es-ES"/>
        </w:rPr>
      </w:pPr>
      <w:r>
        <w:rPr>
          <w:rFonts w:eastAsia="Times New Roman" w:cs="Times New Roman"/>
          <w:lang w:val="pt-BR"/>
        </w:rPr>
        <w:t>A complexidade de acesso para avaliação de ELLs pode não se alinhar com a baixa pontuação de saída.</w:t>
      </w:r>
    </w:p>
    <w:p w14:paraId="454D659A" w14:textId="77777777" w:rsidR="002E475C" w:rsidRPr="00CC1CB4" w:rsidRDefault="00000000">
      <w:pPr>
        <w:pStyle w:val="a6"/>
        <w:numPr>
          <w:ilvl w:val="1"/>
          <w:numId w:val="144"/>
        </w:numPr>
        <w:spacing w:after="120" w:line="264" w:lineRule="auto"/>
        <w:contextualSpacing w:val="0"/>
        <w:rPr>
          <w:rFonts w:eastAsia="Times New Roman" w:cs="Times New Roman"/>
          <w:sz w:val="24"/>
          <w:szCs w:val="24"/>
          <w:lang w:val="es-ES"/>
        </w:rPr>
      </w:pPr>
      <w:r>
        <w:rPr>
          <w:rFonts w:eastAsia="Times New Roman" w:cs="Times New Roman"/>
          <w:lang w:val="pt-BR"/>
        </w:rPr>
        <w:t>Impacto potencial na elegibilidade dos alunos para o Selo da Bialfabetização e retenção de sua linguagem original.</w:t>
      </w:r>
    </w:p>
    <w:p w14:paraId="453F8F59" w14:textId="77777777" w:rsidR="002E475C" w:rsidRPr="00CC1CB4" w:rsidRDefault="00000000">
      <w:pPr>
        <w:pStyle w:val="a6"/>
        <w:numPr>
          <w:ilvl w:val="0"/>
          <w:numId w:val="143"/>
        </w:numPr>
        <w:spacing w:after="120" w:line="264" w:lineRule="auto"/>
        <w:rPr>
          <w:rFonts w:cs="Times New Roman"/>
          <w:b/>
          <w:bCs/>
          <w:lang w:val="es-ES"/>
        </w:rPr>
      </w:pPr>
      <w:r>
        <w:rPr>
          <w:rFonts w:eastAsia="Times New Roman" w:cs="Times New Roman"/>
          <w:lang w:val="pt-BR"/>
        </w:rPr>
        <w:t>Discrepância entre o termo “multilíngue” e a definição de aprendizes de inglês do NJDOE.</w:t>
      </w:r>
    </w:p>
    <w:p w14:paraId="326B3155" w14:textId="77777777" w:rsidR="002E475C" w:rsidRPr="00CC1CB4" w:rsidRDefault="00000000" w:rsidP="001C3027">
      <w:pPr>
        <w:pStyle w:val="4"/>
        <w:rPr>
          <w:lang w:val="es-ES"/>
        </w:rPr>
      </w:pPr>
      <w:bookmarkStart w:id="309" w:name="_Toc199403846"/>
      <w:r>
        <w:rPr>
          <w:rFonts w:ascii="Cambria" w:eastAsia="Cambria" w:hAnsi="Cambria" w:cs="Arial"/>
          <w:szCs w:val="24"/>
          <w:lang w:val="pt-BR"/>
        </w:rPr>
        <w:t>Principais pontos de feedback sobre a proposta do indicador de proficiência em inglês</w:t>
      </w:r>
      <w:bookmarkEnd w:id="309"/>
    </w:p>
    <w:p w14:paraId="55506836" w14:textId="77777777" w:rsidR="002E475C" w:rsidRPr="001C3027" w:rsidRDefault="00000000" w:rsidP="001C3027">
      <w:pPr>
        <w:pStyle w:val="5"/>
      </w:pPr>
      <w:r>
        <w:rPr>
          <w:rFonts w:ascii="Cambria" w:eastAsia="Cambria" w:hAnsi="Cambria" w:cs="Times New Roman"/>
          <w:bCs/>
          <w:lang w:val="pt-BR"/>
        </w:rPr>
        <w:t>Respostas</w:t>
      </w:r>
    </w:p>
    <w:p w14:paraId="08BAD3C2" w14:textId="77777777" w:rsidR="002E475C" w:rsidRPr="00CC1CB4" w:rsidRDefault="00000000">
      <w:pPr>
        <w:pStyle w:val="a6"/>
        <w:numPr>
          <w:ilvl w:val="0"/>
          <w:numId w:val="143"/>
        </w:numPr>
        <w:spacing w:after="120" w:line="264" w:lineRule="auto"/>
        <w:contextualSpacing w:val="0"/>
        <w:rPr>
          <w:rFonts w:cs="Times New Roman"/>
          <w:lang w:val="es-ES"/>
        </w:rPr>
      </w:pPr>
      <w:r>
        <w:rPr>
          <w:rFonts w:eastAsia="Times New Roman" w:cs="Times New Roman"/>
          <w:lang w:val="pt-BR"/>
        </w:rPr>
        <w:t>Prioridade em aumentar o número de alunos multilíngues e a importância da proficiência linguística para todos os alunos no contexto da economia futura.</w:t>
      </w:r>
    </w:p>
    <w:p w14:paraId="025A81C9" w14:textId="77777777" w:rsidR="002E475C" w:rsidRPr="00CC1CB4" w:rsidRDefault="00000000">
      <w:pPr>
        <w:pStyle w:val="a6"/>
        <w:numPr>
          <w:ilvl w:val="0"/>
          <w:numId w:val="143"/>
        </w:numPr>
        <w:spacing w:after="120" w:line="264" w:lineRule="auto"/>
        <w:contextualSpacing w:val="0"/>
        <w:rPr>
          <w:rFonts w:cs="Times New Roman"/>
          <w:lang w:val="es-ES"/>
        </w:rPr>
      </w:pPr>
      <w:r>
        <w:rPr>
          <w:rFonts w:eastAsia="Times New Roman" w:cs="Times New Roman"/>
          <w:lang w:val="pt-BR"/>
        </w:rPr>
        <w:t>Ênfase na necessidade de uma revisão completa e consideração mais profunda da proposta.</w:t>
      </w:r>
    </w:p>
    <w:p w14:paraId="6531BA5C" w14:textId="77777777" w:rsidR="002E475C" w:rsidRPr="00CC1CB4" w:rsidRDefault="00000000">
      <w:pPr>
        <w:pStyle w:val="a6"/>
        <w:numPr>
          <w:ilvl w:val="0"/>
          <w:numId w:val="143"/>
        </w:numPr>
        <w:spacing w:after="120" w:line="264" w:lineRule="auto"/>
        <w:contextualSpacing w:val="0"/>
        <w:rPr>
          <w:rFonts w:cs="Times New Roman"/>
          <w:lang w:val="es-ES"/>
        </w:rPr>
      </w:pPr>
      <w:r>
        <w:rPr>
          <w:rFonts w:eastAsia="Times New Roman" w:cs="Times New Roman"/>
          <w:lang w:val="pt-BR"/>
        </w:rPr>
        <w:t>Importância de garantir apoio adequado para abordar a saúde mental e o bem-estar social e emocional para promover o sucesso dos alunos.</w:t>
      </w:r>
    </w:p>
    <w:p w14:paraId="3FC73A0F" w14:textId="77777777" w:rsidR="002E475C" w:rsidRPr="00CC1CB4" w:rsidRDefault="00000000">
      <w:pPr>
        <w:pStyle w:val="a6"/>
        <w:numPr>
          <w:ilvl w:val="0"/>
          <w:numId w:val="143"/>
        </w:numPr>
        <w:spacing w:after="120" w:line="264" w:lineRule="auto"/>
        <w:contextualSpacing w:val="0"/>
        <w:rPr>
          <w:rFonts w:cs="Times New Roman"/>
          <w:lang w:val="es-ES"/>
        </w:rPr>
      </w:pPr>
      <w:r>
        <w:rPr>
          <w:rFonts w:eastAsia="Times New Roman" w:cs="Times New Roman"/>
          <w:lang w:val="pt-BR"/>
        </w:rPr>
        <w:t>Preocupações a respeito do impacto sobre alunos com deficiências e alunos de inglês, questionando a justiça, precisão e equidade da medição proposta.</w:t>
      </w:r>
    </w:p>
    <w:p w14:paraId="590B2BBD" w14:textId="77777777" w:rsidR="002E475C" w:rsidRPr="00CC1CB4" w:rsidRDefault="00000000">
      <w:pPr>
        <w:pStyle w:val="a6"/>
        <w:numPr>
          <w:ilvl w:val="0"/>
          <w:numId w:val="143"/>
        </w:numPr>
        <w:spacing w:after="120" w:line="264" w:lineRule="auto"/>
        <w:contextualSpacing w:val="0"/>
        <w:rPr>
          <w:rFonts w:cs="Times New Roman"/>
          <w:lang w:val="es-ES"/>
        </w:rPr>
      </w:pPr>
      <w:r>
        <w:rPr>
          <w:rFonts w:eastAsia="Times New Roman" w:cs="Times New Roman"/>
          <w:lang w:val="pt-BR"/>
        </w:rPr>
        <w:t>Solicitação de uma abordagem mais detalhada e esclarecimento sobre o nível de proficiência representado pela pontuação de 4,5 na avaliação.</w:t>
      </w:r>
    </w:p>
    <w:p w14:paraId="1C99C6C8" w14:textId="77777777" w:rsidR="002E475C" w:rsidRPr="00CC1CB4" w:rsidRDefault="00000000">
      <w:pPr>
        <w:pStyle w:val="a6"/>
        <w:numPr>
          <w:ilvl w:val="0"/>
          <w:numId w:val="143"/>
        </w:numPr>
        <w:spacing w:after="120" w:line="264" w:lineRule="auto"/>
        <w:contextualSpacing w:val="0"/>
        <w:rPr>
          <w:rFonts w:cs="Times New Roman"/>
          <w:lang w:val="es-ES"/>
        </w:rPr>
      </w:pPr>
      <w:r>
        <w:rPr>
          <w:rFonts w:eastAsia="Times New Roman" w:cs="Times New Roman"/>
          <w:lang w:val="pt-BR"/>
        </w:rPr>
        <w:t>Consideração para novos alunos que lutam com o ajuste de idioma e a complexidade da avaliação ACCESS for ELLs.</w:t>
      </w:r>
    </w:p>
    <w:p w14:paraId="526BA752" w14:textId="77777777" w:rsidR="002E475C" w:rsidRPr="00CC1CB4" w:rsidRDefault="00000000">
      <w:pPr>
        <w:pStyle w:val="a6"/>
        <w:numPr>
          <w:ilvl w:val="0"/>
          <w:numId w:val="143"/>
        </w:numPr>
        <w:spacing w:after="120" w:line="264" w:lineRule="auto"/>
        <w:contextualSpacing w:val="0"/>
        <w:rPr>
          <w:rFonts w:cs="Times New Roman"/>
          <w:lang w:val="es-ES"/>
        </w:rPr>
      </w:pPr>
      <w:r>
        <w:rPr>
          <w:rFonts w:eastAsia="Times New Roman" w:cs="Times New Roman"/>
          <w:lang w:val="pt-BR"/>
        </w:rPr>
        <w:t>Sugestões para aumentar a pontuação de corte para 5 para avaliação de proficiência em inglês para alinhamento com outros estados.</w:t>
      </w:r>
    </w:p>
    <w:p w14:paraId="06FEC544" w14:textId="77777777" w:rsidR="002E475C" w:rsidRPr="00CC1CB4" w:rsidRDefault="00000000">
      <w:pPr>
        <w:pStyle w:val="a6"/>
        <w:numPr>
          <w:ilvl w:val="0"/>
          <w:numId w:val="143"/>
        </w:numPr>
        <w:spacing w:after="120" w:line="264" w:lineRule="auto"/>
        <w:contextualSpacing w:val="0"/>
        <w:rPr>
          <w:rFonts w:cs="Times New Roman"/>
          <w:lang w:val="es-ES"/>
        </w:rPr>
      </w:pPr>
      <w:r>
        <w:rPr>
          <w:rFonts w:eastAsia="Times New Roman" w:cs="Times New Roman"/>
          <w:lang w:val="pt-BR"/>
        </w:rPr>
        <w:t>Preocupações em apoiar alunos jovens e mais velhos de forma eficaz e impedir que alunos mais velhos sejam deixados sem assistência contínua.</w:t>
      </w:r>
    </w:p>
    <w:p w14:paraId="76E27853" w14:textId="77777777" w:rsidR="001D33A4" w:rsidRPr="00CC1CB4" w:rsidRDefault="00000000" w:rsidP="00203EBD">
      <w:pPr>
        <w:pStyle w:val="a6"/>
        <w:numPr>
          <w:ilvl w:val="0"/>
          <w:numId w:val="143"/>
        </w:numPr>
        <w:spacing w:after="120" w:line="264" w:lineRule="auto"/>
        <w:rPr>
          <w:rFonts w:cs="Times New Roman"/>
          <w:lang w:val="es-ES"/>
        </w:rPr>
      </w:pPr>
      <w:r>
        <w:rPr>
          <w:rFonts w:eastAsia="Times New Roman" w:cs="Times New Roman"/>
          <w:lang w:val="pt-BR"/>
        </w:rPr>
        <w:t>Apreciação por explorar oportunidades de crescimento e a interação entre alunos multilíngues e programas bilíngues para melhores resultados de aprendizagem.</w:t>
      </w:r>
      <w:bookmarkStart w:id="310" w:name="_Feedback_on_the_4"/>
      <w:bookmarkStart w:id="311" w:name="_Feedback_on_the_9"/>
      <w:bookmarkStart w:id="312" w:name="_Toc171333349"/>
      <w:bookmarkEnd w:id="308"/>
      <w:bookmarkEnd w:id="310"/>
      <w:bookmarkEnd w:id="311"/>
      <w:r>
        <w:rPr>
          <w:rFonts w:eastAsia="Times New Roman" w:cs="Times New Roman"/>
          <w:lang w:val="pt-BR"/>
        </w:rPr>
        <w:br w:type="page"/>
      </w:r>
    </w:p>
    <w:p w14:paraId="692EF1F3" w14:textId="77777777" w:rsidR="00CE2D5E" w:rsidRPr="00856537" w:rsidRDefault="00000000" w:rsidP="00856537">
      <w:pPr>
        <w:pStyle w:val="A30"/>
        <w:spacing w:after="220"/>
        <w:rPr>
          <w:rStyle w:val="normaltextrun"/>
        </w:rPr>
      </w:pPr>
      <w:bookmarkStart w:id="313" w:name="_Feedback_on_the_15"/>
      <w:bookmarkStart w:id="314" w:name="_Toc199403847"/>
      <w:bookmarkEnd w:id="313"/>
      <w:r w:rsidRPr="00856537">
        <w:rPr>
          <w:rStyle w:val="normaltextrun"/>
        </w:rPr>
        <w:lastRenderedPageBreak/>
        <w:t>Feedback sobre a proposta de acesso equitativo a ensino de alta qualidade (Equidade do educador)</w:t>
      </w:r>
      <w:bookmarkEnd w:id="312"/>
      <w:r w:rsidRPr="00856537">
        <w:rPr>
          <w:rStyle w:val="normaltextrun"/>
        </w:rPr>
        <w:br/>
        <w:t>Sessão nº 3 (13 de fevereiro)</w:t>
      </w:r>
      <w:bookmarkEnd w:id="314"/>
    </w:p>
    <w:p w14:paraId="4904E366" w14:textId="77777777" w:rsidR="00CE2D5E" w:rsidRPr="00CC1CB4" w:rsidRDefault="00000000" w:rsidP="00CE2D5E">
      <w:pPr>
        <w:rPr>
          <w:lang w:val="es-ES"/>
        </w:rPr>
      </w:pPr>
      <w:r>
        <w:rPr>
          <w:rFonts w:eastAsia="Times New Roman" w:cs="Arial"/>
          <w:lang w:val="pt-BR"/>
        </w:rPr>
        <w:t>Os participantes forneceram reações iniciais à proposta para redefinir a definição atual de um professor inexperiente e revisitar o cálculo usado para determinar a taxa na qual os alunos são ensinados por professores inexperientes.</w:t>
      </w:r>
    </w:p>
    <w:p w14:paraId="5B949E03" w14:textId="77777777" w:rsidR="002E475C" w:rsidRPr="00CC1CB4" w:rsidRDefault="00000000" w:rsidP="00CE2D5E">
      <w:pPr>
        <w:pStyle w:val="4"/>
        <w:rPr>
          <w:lang w:val="es-ES"/>
        </w:rPr>
      </w:pPr>
      <w:bookmarkStart w:id="315" w:name="_Toc199403848"/>
      <w:r>
        <w:rPr>
          <w:rFonts w:ascii="Cambria" w:eastAsia="Cambria" w:hAnsi="Cambria" w:cs="Arial"/>
          <w:szCs w:val="24"/>
          <w:lang w:val="pt-BR"/>
        </w:rPr>
        <w:t>Feedback das partes interessadas</w:t>
      </w:r>
      <w:bookmarkEnd w:id="315"/>
    </w:p>
    <w:p w14:paraId="6F7ED0BF" w14:textId="77777777" w:rsidR="00CE2D5E" w:rsidRPr="00CC1CB4" w:rsidRDefault="00000000" w:rsidP="00CE2D5E">
      <w:pPr>
        <w:pStyle w:val="5"/>
        <w:rPr>
          <w:lang w:val="es-ES"/>
        </w:rPr>
      </w:pPr>
      <w:r>
        <w:rPr>
          <w:rFonts w:ascii="Cambria" w:eastAsia="Cambria" w:hAnsi="Cambria" w:cs="Times New Roman"/>
          <w:bCs/>
          <w:lang w:val="pt-BR"/>
        </w:rPr>
        <w:t>Pergunta 1: Acesso equitativo</w:t>
      </w:r>
    </w:p>
    <w:p w14:paraId="6F1B32A9" w14:textId="77777777" w:rsidR="002E475C" w:rsidRPr="00CC1CB4" w:rsidRDefault="00000000" w:rsidP="00CE2D5E">
      <w:pPr>
        <w:rPr>
          <w:b/>
          <w:bCs/>
          <w:color w:val="074F6A"/>
          <w:lang w:val="es-ES"/>
        </w:rPr>
      </w:pPr>
      <w:r>
        <w:rPr>
          <w:rFonts w:eastAsia="Times New Roman" w:cs="Arial"/>
          <w:b/>
          <w:bCs/>
          <w:color w:val="074F6A"/>
          <w:lang w:val="pt-BR"/>
        </w:rPr>
        <w:t xml:space="preserve">Essa proposta permitirá que o NJDOE e as partes interessadas avaliem melhor se os alunos de todos os grupos de estudantes têm acesso equitativo a educadores experientes? </w:t>
      </w:r>
    </w:p>
    <w:p w14:paraId="0173603B" w14:textId="77777777" w:rsidR="002E475C" w:rsidRPr="00CE2D5E" w:rsidRDefault="00000000" w:rsidP="00CE2D5E">
      <w:pPr>
        <w:pStyle w:val="6"/>
      </w:pPr>
      <w:r>
        <w:rPr>
          <w:rFonts w:ascii="Cambria" w:eastAsia="Cambria" w:hAnsi="Cambria" w:cs="Arial"/>
          <w:lang w:val="pt-BR"/>
        </w:rPr>
        <w:t>Respostas</w:t>
      </w:r>
    </w:p>
    <w:p w14:paraId="423F5B06" w14:textId="77777777" w:rsidR="002E475C" w:rsidRPr="00CC1CB4" w:rsidRDefault="00000000">
      <w:pPr>
        <w:pStyle w:val="a6"/>
        <w:numPr>
          <w:ilvl w:val="0"/>
          <w:numId w:val="112"/>
        </w:numPr>
        <w:spacing w:after="120" w:line="264" w:lineRule="auto"/>
        <w:contextualSpacing w:val="0"/>
        <w:rPr>
          <w:rFonts w:cs="Times New Roman"/>
          <w:lang w:val="es-ES"/>
        </w:rPr>
      </w:pPr>
      <w:r>
        <w:rPr>
          <w:rFonts w:eastAsia="Times New Roman" w:cs="Times New Roman"/>
          <w:lang w:val="pt-BR"/>
        </w:rPr>
        <w:t>O equívoco potencial de que a inexperiência equivale à ineficácia, incitando a necessidade de esclarecimento.</w:t>
      </w:r>
    </w:p>
    <w:p w14:paraId="1393D9BD" w14:textId="77777777" w:rsidR="002E475C" w:rsidRPr="00CC1CB4" w:rsidRDefault="00000000">
      <w:pPr>
        <w:pStyle w:val="a6"/>
        <w:numPr>
          <w:ilvl w:val="0"/>
          <w:numId w:val="112"/>
        </w:numPr>
        <w:spacing w:after="120" w:line="264" w:lineRule="auto"/>
        <w:contextualSpacing w:val="0"/>
        <w:rPr>
          <w:rFonts w:cs="Times New Roman"/>
          <w:lang w:val="es-ES"/>
        </w:rPr>
      </w:pPr>
      <w:r>
        <w:rPr>
          <w:rFonts w:eastAsia="Times New Roman" w:cs="Times New Roman"/>
          <w:lang w:val="pt-BR"/>
        </w:rPr>
        <w:t>Foram levantadas questões sobre a definição de experiência, examinando se ela pertence exclusivamente à posse ou inclui outras facetas de crescimento profissional.</w:t>
      </w:r>
    </w:p>
    <w:p w14:paraId="2A14DD76" w14:textId="77777777" w:rsidR="002E475C" w:rsidRPr="00CC1CB4" w:rsidRDefault="00000000">
      <w:pPr>
        <w:pStyle w:val="a6"/>
        <w:numPr>
          <w:ilvl w:val="0"/>
          <w:numId w:val="112"/>
        </w:numPr>
        <w:spacing w:after="120" w:line="264" w:lineRule="auto"/>
        <w:contextualSpacing w:val="0"/>
        <w:rPr>
          <w:rFonts w:cs="Times New Roman"/>
          <w:lang w:val="es-ES"/>
        </w:rPr>
      </w:pPr>
      <w:r>
        <w:rPr>
          <w:rFonts w:eastAsia="Times New Roman" w:cs="Times New Roman"/>
          <w:lang w:val="pt-BR"/>
        </w:rPr>
        <w:t>Foi ressaltada a contribuição dos paraprofissionais, principalmente aqueles com vasta experiência, perguntando onde seus números de tempo de serviço estão na equação.</w:t>
      </w:r>
    </w:p>
    <w:p w14:paraId="7D80BB60" w14:textId="77777777" w:rsidR="002E475C" w:rsidRPr="00CC1CB4" w:rsidRDefault="00000000">
      <w:pPr>
        <w:pStyle w:val="a6"/>
        <w:numPr>
          <w:ilvl w:val="0"/>
          <w:numId w:val="112"/>
        </w:numPr>
        <w:spacing w:after="120" w:line="264" w:lineRule="auto"/>
        <w:contextualSpacing w:val="0"/>
        <w:rPr>
          <w:rFonts w:cs="Times New Roman"/>
          <w:lang w:val="es-ES"/>
        </w:rPr>
      </w:pPr>
      <w:r>
        <w:rPr>
          <w:rFonts w:eastAsia="Times New Roman" w:cs="Times New Roman"/>
          <w:lang w:val="pt-BR"/>
        </w:rPr>
        <w:t>A proposta é um passo à frente; no entanto, advertindo que pode não atingir totalmente a meta pretendida.</w:t>
      </w:r>
    </w:p>
    <w:p w14:paraId="4EA144F7" w14:textId="77777777" w:rsidR="002E475C" w:rsidRPr="00CC1CB4" w:rsidRDefault="00000000">
      <w:pPr>
        <w:pStyle w:val="a6"/>
        <w:numPr>
          <w:ilvl w:val="0"/>
          <w:numId w:val="112"/>
        </w:numPr>
        <w:spacing w:after="120" w:line="264" w:lineRule="auto"/>
        <w:contextualSpacing w:val="0"/>
        <w:rPr>
          <w:rFonts w:cs="Times New Roman"/>
          <w:lang w:val="es-ES"/>
        </w:rPr>
      </w:pPr>
      <w:r>
        <w:rPr>
          <w:rFonts w:eastAsia="Times New Roman" w:cs="Times New Roman"/>
          <w:lang w:val="pt-BR"/>
        </w:rPr>
        <w:t>A definição de experiência proposta pode representar uma medida provisória, em vez de uma solução abrangente.</w:t>
      </w:r>
    </w:p>
    <w:p w14:paraId="1BDF9192" w14:textId="77777777" w:rsidR="002E475C" w:rsidRPr="00CC1CB4" w:rsidRDefault="00000000">
      <w:pPr>
        <w:pStyle w:val="a6"/>
        <w:numPr>
          <w:ilvl w:val="0"/>
          <w:numId w:val="112"/>
        </w:numPr>
        <w:spacing w:after="120" w:line="264" w:lineRule="auto"/>
        <w:contextualSpacing w:val="0"/>
        <w:rPr>
          <w:rFonts w:cs="Times New Roman"/>
          <w:lang w:val="es-ES"/>
        </w:rPr>
      </w:pPr>
      <w:r>
        <w:rPr>
          <w:rFonts w:eastAsia="Times New Roman" w:cs="Times New Roman"/>
          <w:lang w:val="pt-BR"/>
        </w:rPr>
        <w:t>Foram feitas sugestões para concentrar essa medida nos principais professores do currículo, que têm interações mais frequentes com os alunos, em vez de especialistas como professores de educação física, cujo impacto é menos contínuo.</w:t>
      </w:r>
    </w:p>
    <w:p w14:paraId="6AE05FB5" w14:textId="77777777" w:rsidR="002E475C" w:rsidRPr="00CC1CB4" w:rsidRDefault="00000000">
      <w:pPr>
        <w:pStyle w:val="a6"/>
        <w:numPr>
          <w:ilvl w:val="0"/>
          <w:numId w:val="112"/>
        </w:numPr>
        <w:spacing w:after="120" w:line="264" w:lineRule="auto"/>
        <w:contextualSpacing w:val="0"/>
        <w:rPr>
          <w:rFonts w:cs="Times New Roman"/>
          <w:lang w:val="es-ES"/>
        </w:rPr>
      </w:pPr>
      <w:r>
        <w:rPr>
          <w:rFonts w:eastAsia="Times New Roman" w:cs="Times New Roman"/>
          <w:lang w:val="pt-BR"/>
        </w:rPr>
        <w:t>Concordar com as alterações propostas à definição de professor/educador inexperiente.</w:t>
      </w:r>
    </w:p>
    <w:p w14:paraId="3CC4A282" w14:textId="77777777" w:rsidR="002E475C" w:rsidRPr="00CC1CB4" w:rsidRDefault="00000000">
      <w:pPr>
        <w:pStyle w:val="a6"/>
        <w:numPr>
          <w:ilvl w:val="0"/>
          <w:numId w:val="113"/>
        </w:numPr>
        <w:spacing w:after="120" w:line="264" w:lineRule="auto"/>
        <w:contextualSpacing w:val="0"/>
        <w:rPr>
          <w:rFonts w:cs="Times New Roman"/>
          <w:lang w:val="es-ES"/>
        </w:rPr>
      </w:pPr>
      <w:r>
        <w:rPr>
          <w:rFonts w:eastAsia="Times New Roman" w:cs="Times New Roman"/>
          <w:lang w:val="pt-BR"/>
        </w:rPr>
        <w:t>Ajustar a pontuação de impacto de um professor com base no tempo proporcional que ele passa com os alunos ao longo do dia.</w:t>
      </w:r>
    </w:p>
    <w:p w14:paraId="5E9B2386" w14:textId="77777777" w:rsidR="002E475C" w:rsidRPr="00CC1CB4" w:rsidRDefault="00000000">
      <w:pPr>
        <w:pStyle w:val="a6"/>
        <w:numPr>
          <w:ilvl w:val="0"/>
          <w:numId w:val="113"/>
        </w:numPr>
        <w:spacing w:after="120" w:line="264" w:lineRule="auto"/>
        <w:contextualSpacing w:val="0"/>
        <w:rPr>
          <w:rFonts w:cs="Times New Roman"/>
          <w:lang w:val="es-ES"/>
        </w:rPr>
      </w:pPr>
      <w:r>
        <w:rPr>
          <w:rFonts w:eastAsia="Times New Roman" w:cs="Times New Roman"/>
          <w:lang w:val="pt-BR"/>
        </w:rPr>
        <w:t>A equipe de enfermagem também é paralela a essa discussão em termos de importância da experiência, especialmente relacionada à saúde dos alunos e ao absenteísmo em nível nacional.</w:t>
      </w:r>
    </w:p>
    <w:p w14:paraId="00AEC4C5" w14:textId="77777777" w:rsidR="002E475C" w:rsidRPr="00CC1CB4" w:rsidRDefault="00000000">
      <w:pPr>
        <w:pStyle w:val="a6"/>
        <w:numPr>
          <w:ilvl w:val="0"/>
          <w:numId w:val="113"/>
        </w:numPr>
        <w:spacing w:after="120" w:line="264" w:lineRule="auto"/>
        <w:contextualSpacing w:val="0"/>
        <w:rPr>
          <w:rFonts w:cs="Times New Roman"/>
          <w:lang w:val="es-ES"/>
        </w:rPr>
      </w:pPr>
      <w:r>
        <w:rPr>
          <w:rFonts w:eastAsia="Times New Roman" w:cs="Times New Roman"/>
          <w:lang w:val="pt-BR"/>
        </w:rPr>
        <w:t>O significado dos níveis de ensino médio foi observado, particularmente ao contrastar como os alunos interagem com vários educadores em ambientes do ensino médio e médio versus as relações mais singulares com professores no nível elementar.</w:t>
      </w:r>
    </w:p>
    <w:p w14:paraId="4BBF5B0F" w14:textId="0DBAC9BC" w:rsidR="002E475C" w:rsidRPr="00CC1CB4" w:rsidRDefault="00000000" w:rsidP="00203EBD">
      <w:pPr>
        <w:pStyle w:val="a6"/>
        <w:numPr>
          <w:ilvl w:val="0"/>
          <w:numId w:val="113"/>
        </w:numPr>
        <w:spacing w:after="120" w:line="264" w:lineRule="auto"/>
        <w:rPr>
          <w:rFonts w:cs="Times New Roman"/>
          <w:lang w:val="es-ES"/>
        </w:rPr>
      </w:pPr>
      <w:r>
        <w:rPr>
          <w:rFonts w:eastAsia="Times New Roman" w:cs="Times New Roman"/>
          <w:lang w:val="pt-BR"/>
        </w:rPr>
        <w:t>Substitua “inexperiente” por “principiante”, sugerindo um termo mais diferenciado que pode representar melhor o estágio de desenvolvimento da carreira de um professor.</w:t>
      </w:r>
    </w:p>
    <w:p w14:paraId="07152FB6" w14:textId="77777777" w:rsidR="00EC5492" w:rsidRPr="00CC1CB4" w:rsidRDefault="00000000" w:rsidP="00CE2D5E">
      <w:pPr>
        <w:pStyle w:val="5"/>
        <w:spacing w:before="240"/>
        <w:rPr>
          <w:lang w:val="es-ES"/>
        </w:rPr>
      </w:pPr>
      <w:r>
        <w:rPr>
          <w:rFonts w:ascii="Cambria" w:eastAsia="Cambria" w:hAnsi="Cambria" w:cs="Times New Roman"/>
          <w:bCs/>
          <w:lang w:val="pt-BR"/>
        </w:rPr>
        <w:lastRenderedPageBreak/>
        <w:t>Pergunta 2: Benefícios e preocupações</w:t>
      </w:r>
    </w:p>
    <w:p w14:paraId="52D40F37" w14:textId="77777777" w:rsidR="002E475C" w:rsidRPr="00CC1CB4" w:rsidRDefault="00000000" w:rsidP="00EC5492">
      <w:pPr>
        <w:rPr>
          <w:b/>
          <w:bCs/>
          <w:color w:val="074F6A"/>
          <w:lang w:val="es-ES"/>
        </w:rPr>
      </w:pPr>
      <w:r>
        <w:rPr>
          <w:rFonts w:eastAsia="Times New Roman" w:cs="Arial"/>
          <w:b/>
          <w:bCs/>
          <w:color w:val="074F6A"/>
          <w:lang w:val="pt-BR"/>
        </w:rPr>
        <w:t xml:space="preserve">Quais são os benefícios da proposta? Quais são algumas preocupações? </w:t>
      </w:r>
    </w:p>
    <w:p w14:paraId="2C58905E" w14:textId="77777777" w:rsidR="002E475C" w:rsidRPr="00CC1CB4" w:rsidRDefault="00000000" w:rsidP="00CE2D5E">
      <w:pPr>
        <w:pStyle w:val="6"/>
        <w:rPr>
          <w:lang w:val="es-ES"/>
        </w:rPr>
      </w:pPr>
      <w:r>
        <w:rPr>
          <w:rFonts w:ascii="Cambria" w:eastAsia="Cambria" w:hAnsi="Cambria" w:cs="Arial"/>
          <w:lang w:val="pt-BR"/>
        </w:rPr>
        <w:t>Respostas</w:t>
      </w:r>
    </w:p>
    <w:p w14:paraId="5CA72264" w14:textId="77777777" w:rsidR="002E475C" w:rsidRPr="00CC1CB4" w:rsidRDefault="00000000" w:rsidP="00CE2D5E">
      <w:pPr>
        <w:spacing w:after="120"/>
        <w:rPr>
          <w:rFonts w:cs="Times New Roman"/>
          <w:b/>
          <w:bCs/>
          <w:lang w:val="es-ES"/>
        </w:rPr>
      </w:pPr>
      <w:r>
        <w:rPr>
          <w:rFonts w:eastAsia="Times New Roman" w:cs="Times New Roman"/>
          <w:b/>
          <w:bCs/>
          <w:lang w:val="pt-BR"/>
        </w:rPr>
        <w:t xml:space="preserve">Benefícios: </w:t>
      </w:r>
    </w:p>
    <w:p w14:paraId="12DF31AB" w14:textId="77777777" w:rsidR="002E475C" w:rsidRPr="00CC1CB4" w:rsidRDefault="00000000">
      <w:pPr>
        <w:pStyle w:val="a6"/>
        <w:numPr>
          <w:ilvl w:val="0"/>
          <w:numId w:val="116"/>
        </w:numPr>
        <w:spacing w:after="120" w:line="264" w:lineRule="auto"/>
        <w:contextualSpacing w:val="0"/>
        <w:rPr>
          <w:rFonts w:cs="Times New Roman"/>
          <w:lang w:val="es-ES"/>
        </w:rPr>
      </w:pPr>
      <w:r>
        <w:rPr>
          <w:rFonts w:eastAsia="Times New Roman" w:cs="Times New Roman"/>
          <w:lang w:val="pt-BR"/>
        </w:rPr>
        <w:t>Potencial para uma compreensão mais detalhada do impacto do professor no sucesso do aluno além das pontuações do teste.</w:t>
      </w:r>
    </w:p>
    <w:p w14:paraId="178130B6" w14:textId="77777777" w:rsidR="002E475C" w:rsidRPr="00C04CDD" w:rsidRDefault="00000000">
      <w:pPr>
        <w:pStyle w:val="a6"/>
        <w:numPr>
          <w:ilvl w:val="0"/>
          <w:numId w:val="116"/>
        </w:numPr>
        <w:spacing w:after="120" w:line="264" w:lineRule="auto"/>
        <w:contextualSpacing w:val="0"/>
        <w:rPr>
          <w:rFonts w:cs="Times New Roman"/>
          <w:lang w:val="es-ES"/>
        </w:rPr>
      </w:pPr>
      <w:r>
        <w:rPr>
          <w:rFonts w:eastAsia="Times New Roman" w:cs="Times New Roman"/>
          <w:lang w:val="pt-BR"/>
        </w:rPr>
        <w:t>Para abordar questões de equidade, é importante determinar se os alunos de cor são ensinados desproporcionalmente por professores inexperientes. Examinar esse aspecto pode fornecer percepções sobre possíveis disparidades.</w:t>
      </w:r>
    </w:p>
    <w:p w14:paraId="52366373" w14:textId="77777777" w:rsidR="002E475C" w:rsidRPr="00CC1CB4" w:rsidRDefault="00000000">
      <w:pPr>
        <w:pStyle w:val="a6"/>
        <w:numPr>
          <w:ilvl w:val="0"/>
          <w:numId w:val="114"/>
        </w:numPr>
        <w:spacing w:after="120" w:line="264" w:lineRule="auto"/>
        <w:contextualSpacing w:val="0"/>
        <w:rPr>
          <w:rFonts w:eastAsia="Times New Roman" w:cs="Times New Roman"/>
          <w:lang w:val="es-ES"/>
        </w:rPr>
      </w:pPr>
      <w:r>
        <w:rPr>
          <w:rFonts w:eastAsia="Times New Roman" w:cs="Times New Roman"/>
          <w:lang w:val="pt-BR"/>
        </w:rPr>
        <w:t>Remoção da restrição “dentro de uma determinada LEA” para aumentar a flexibilidade.</w:t>
      </w:r>
    </w:p>
    <w:p w14:paraId="0B920880" w14:textId="77777777" w:rsidR="002E475C" w:rsidRPr="00CC1CB4" w:rsidRDefault="00000000">
      <w:pPr>
        <w:pStyle w:val="a6"/>
        <w:numPr>
          <w:ilvl w:val="0"/>
          <w:numId w:val="114"/>
        </w:numPr>
        <w:spacing w:after="120" w:line="264" w:lineRule="auto"/>
        <w:contextualSpacing w:val="0"/>
        <w:rPr>
          <w:rFonts w:eastAsia="Times New Roman" w:cs="Times New Roman"/>
          <w:lang w:val="es-ES"/>
        </w:rPr>
      </w:pPr>
      <w:r>
        <w:rPr>
          <w:rFonts w:eastAsia="Times New Roman" w:cs="Times New Roman"/>
          <w:lang w:val="pt-BR"/>
        </w:rPr>
        <w:t>Os professores podem mudar os distritos para lidar com a escassez de professores.</w:t>
      </w:r>
    </w:p>
    <w:p w14:paraId="7C5CC22E" w14:textId="77777777" w:rsidR="002E475C" w:rsidRPr="00CC1CB4" w:rsidRDefault="00000000">
      <w:pPr>
        <w:pStyle w:val="a6"/>
        <w:numPr>
          <w:ilvl w:val="0"/>
          <w:numId w:val="114"/>
        </w:numPr>
        <w:spacing w:after="120" w:line="264" w:lineRule="auto"/>
        <w:contextualSpacing w:val="0"/>
        <w:rPr>
          <w:rFonts w:eastAsia="Times New Roman" w:cs="Times New Roman"/>
          <w:lang w:val="es-ES"/>
        </w:rPr>
      </w:pPr>
      <w:r>
        <w:rPr>
          <w:rFonts w:eastAsia="Times New Roman" w:cs="Times New Roman"/>
          <w:lang w:val="pt-BR"/>
        </w:rPr>
        <w:t>Reavaliação do cálculo de dados considerando transições de professores pós-pandemia.</w:t>
      </w:r>
    </w:p>
    <w:p w14:paraId="0D925AF2" w14:textId="77777777" w:rsidR="002E475C" w:rsidRPr="00CC1CB4" w:rsidRDefault="00000000">
      <w:pPr>
        <w:pStyle w:val="a6"/>
        <w:numPr>
          <w:ilvl w:val="0"/>
          <w:numId w:val="114"/>
        </w:numPr>
        <w:spacing w:after="120" w:line="264" w:lineRule="auto"/>
        <w:contextualSpacing w:val="0"/>
        <w:rPr>
          <w:rFonts w:eastAsia="Times New Roman" w:cs="Times New Roman"/>
          <w:lang w:val="es-ES"/>
        </w:rPr>
      </w:pPr>
      <w:r>
        <w:rPr>
          <w:rFonts w:eastAsia="Times New Roman" w:cs="Times New Roman"/>
          <w:lang w:val="pt-BR"/>
        </w:rPr>
        <w:t>Análise abrangente das áreas de disciplina para o ensino médio e matérias principais para o ensino fundamental relacionadas à experiência do professor.</w:t>
      </w:r>
    </w:p>
    <w:p w14:paraId="42B7AFAF" w14:textId="77777777" w:rsidR="002E475C" w:rsidRPr="00CC1CB4" w:rsidRDefault="00000000">
      <w:pPr>
        <w:pStyle w:val="a6"/>
        <w:numPr>
          <w:ilvl w:val="0"/>
          <w:numId w:val="114"/>
        </w:numPr>
        <w:spacing w:after="120" w:line="264" w:lineRule="auto"/>
        <w:contextualSpacing w:val="0"/>
        <w:rPr>
          <w:rFonts w:eastAsia="Times New Roman" w:cs="Times New Roman"/>
          <w:lang w:val="es-ES"/>
        </w:rPr>
      </w:pPr>
      <w:r>
        <w:rPr>
          <w:rFonts w:eastAsia="Times New Roman" w:cs="Times New Roman"/>
          <w:lang w:val="pt-BR"/>
        </w:rPr>
        <w:t>Há um desejo de saber mais informações sobre a experiência do professor, mas uma preocupação em compartilhá-las com o governo federal.</w:t>
      </w:r>
    </w:p>
    <w:p w14:paraId="1BDBA824" w14:textId="77777777" w:rsidR="002E475C" w:rsidRPr="00364862" w:rsidRDefault="00000000" w:rsidP="00CE2D5E">
      <w:pPr>
        <w:spacing w:after="120"/>
        <w:rPr>
          <w:rFonts w:eastAsia="Times New Roman" w:cs="Times New Roman"/>
          <w:b/>
          <w:bCs/>
        </w:rPr>
      </w:pPr>
      <w:r>
        <w:rPr>
          <w:rFonts w:eastAsia="Times New Roman" w:cs="Times New Roman"/>
          <w:b/>
          <w:bCs/>
          <w:lang w:val="pt-BR"/>
        </w:rPr>
        <w:t>Preocupações:</w:t>
      </w:r>
    </w:p>
    <w:p w14:paraId="54CE1F34" w14:textId="77777777" w:rsidR="002E475C" w:rsidRPr="00CC1CB4" w:rsidRDefault="00000000">
      <w:pPr>
        <w:pStyle w:val="a6"/>
        <w:numPr>
          <w:ilvl w:val="0"/>
          <w:numId w:val="117"/>
        </w:numPr>
        <w:spacing w:after="120" w:line="264" w:lineRule="auto"/>
        <w:contextualSpacing w:val="0"/>
        <w:rPr>
          <w:rFonts w:cs="Times New Roman"/>
          <w:lang w:val="es-ES"/>
        </w:rPr>
      </w:pPr>
      <w:r>
        <w:rPr>
          <w:rFonts w:eastAsia="Times New Roman" w:cs="Times New Roman"/>
          <w:lang w:val="pt-BR"/>
        </w:rPr>
        <w:t>Potencial para uma compreensão mais detalhada do impacto do professor no sucesso dos alunos além das pontuações dos testes, abrindo caminho para avaliações mais abrangentes.</w:t>
      </w:r>
    </w:p>
    <w:p w14:paraId="028FFB97" w14:textId="77777777" w:rsidR="002E475C" w:rsidRPr="00CC1CB4" w:rsidRDefault="00000000">
      <w:pPr>
        <w:pStyle w:val="a6"/>
        <w:numPr>
          <w:ilvl w:val="0"/>
          <w:numId w:val="117"/>
        </w:numPr>
        <w:spacing w:after="120" w:line="264" w:lineRule="auto"/>
        <w:contextualSpacing w:val="0"/>
        <w:rPr>
          <w:rFonts w:cs="Times New Roman"/>
          <w:lang w:val="es-ES"/>
        </w:rPr>
      </w:pPr>
      <w:r>
        <w:rPr>
          <w:rFonts w:eastAsia="Times New Roman" w:cs="Times New Roman"/>
          <w:bCs/>
          <w:lang w:val="pt-BR"/>
        </w:rPr>
        <w:t>Potencial para mapear caminhos precisos de desenvolvimento do professor, permitindo apoio profissional direcionado para promover o crescimento em áreas específicas.</w:t>
      </w:r>
    </w:p>
    <w:p w14:paraId="68B38055" w14:textId="77777777" w:rsidR="002E475C" w:rsidRPr="00CC1CB4" w:rsidRDefault="00000000">
      <w:pPr>
        <w:pStyle w:val="a6"/>
        <w:numPr>
          <w:ilvl w:val="0"/>
          <w:numId w:val="117"/>
        </w:numPr>
        <w:spacing w:after="120" w:line="264" w:lineRule="auto"/>
        <w:contextualSpacing w:val="0"/>
        <w:rPr>
          <w:rFonts w:cs="Times New Roman"/>
          <w:lang w:val="es-ES"/>
        </w:rPr>
      </w:pPr>
      <w:r>
        <w:rPr>
          <w:rFonts w:eastAsia="Times New Roman" w:cs="Times New Roman"/>
          <w:lang w:val="pt-BR"/>
        </w:rPr>
        <w:t>Além disso, a noção de remover “dentro de uma determinada LEA” das medidas pode levar a uma distribuição mais equitativa de professores experientes em todos os distritos, abordando a mobilidade e a escassez de professores.</w:t>
      </w:r>
    </w:p>
    <w:p w14:paraId="494F2ABA" w14:textId="77777777" w:rsidR="002E475C" w:rsidRPr="00CC1CB4" w:rsidRDefault="00000000" w:rsidP="00CE2D5E">
      <w:pPr>
        <w:pStyle w:val="4"/>
        <w:rPr>
          <w:lang w:val="es-ES"/>
        </w:rPr>
      </w:pPr>
      <w:bookmarkStart w:id="316" w:name="_Toc199403849"/>
      <w:r>
        <w:rPr>
          <w:rFonts w:ascii="Cambria" w:eastAsia="Cambria" w:hAnsi="Cambria" w:cs="Arial"/>
          <w:szCs w:val="24"/>
          <w:lang w:val="pt-BR"/>
        </w:rPr>
        <w:t>Principais pontos de feedback sobre a proposta de métricas de equidade do educador</w:t>
      </w:r>
      <w:bookmarkEnd w:id="316"/>
    </w:p>
    <w:p w14:paraId="7D26F6FC" w14:textId="77777777" w:rsidR="002E475C" w:rsidRPr="00CE2D5E" w:rsidRDefault="00000000" w:rsidP="00CE2D5E">
      <w:pPr>
        <w:pStyle w:val="5"/>
      </w:pPr>
      <w:r>
        <w:rPr>
          <w:rFonts w:ascii="Cambria" w:eastAsia="Cambria" w:hAnsi="Cambria" w:cs="Times New Roman"/>
          <w:bCs/>
          <w:lang w:val="pt-BR"/>
        </w:rPr>
        <w:t>Respostas</w:t>
      </w:r>
    </w:p>
    <w:p w14:paraId="5ADE2472" w14:textId="77777777" w:rsidR="002E475C" w:rsidRPr="00CC1CB4" w:rsidRDefault="00000000">
      <w:pPr>
        <w:pStyle w:val="a6"/>
        <w:numPr>
          <w:ilvl w:val="0"/>
          <w:numId w:val="115"/>
        </w:numPr>
        <w:spacing w:after="120" w:line="264" w:lineRule="auto"/>
        <w:contextualSpacing w:val="0"/>
        <w:rPr>
          <w:rFonts w:eastAsia="Times New Roman" w:cs="Times New Roman"/>
          <w:lang w:val="es-ES"/>
        </w:rPr>
      </w:pPr>
      <w:r>
        <w:rPr>
          <w:rFonts w:eastAsia="Times New Roman" w:cs="Times New Roman"/>
          <w:lang w:val="pt-BR"/>
        </w:rPr>
        <w:t xml:space="preserve">Preocupação com o termo “inexperiente” ser enganoso e cautela contra igualá-lo diretamente com eficácia. </w:t>
      </w:r>
    </w:p>
    <w:p w14:paraId="17290FD8" w14:textId="77777777" w:rsidR="002E475C" w:rsidRPr="00CC1CB4" w:rsidRDefault="00000000">
      <w:pPr>
        <w:pStyle w:val="a6"/>
        <w:numPr>
          <w:ilvl w:val="0"/>
          <w:numId w:val="115"/>
        </w:numPr>
        <w:spacing w:after="120" w:line="264" w:lineRule="auto"/>
        <w:contextualSpacing w:val="0"/>
        <w:rPr>
          <w:rFonts w:eastAsia="Times New Roman" w:cs="Times New Roman"/>
          <w:lang w:val="es-ES"/>
        </w:rPr>
      </w:pPr>
      <w:r>
        <w:rPr>
          <w:rFonts w:eastAsia="Times New Roman" w:cs="Times New Roman"/>
          <w:lang w:val="pt-BR"/>
        </w:rPr>
        <w:t>Questionamento se os diretores que atuam como professores em aulas sem educadores designados são classificados como experientes.</w:t>
      </w:r>
    </w:p>
    <w:p w14:paraId="1D519090" w14:textId="77777777" w:rsidR="002E475C" w:rsidRPr="00CC1CB4" w:rsidRDefault="00000000">
      <w:pPr>
        <w:pStyle w:val="a6"/>
        <w:numPr>
          <w:ilvl w:val="0"/>
          <w:numId w:val="115"/>
        </w:numPr>
        <w:spacing w:after="120" w:line="264" w:lineRule="auto"/>
        <w:contextualSpacing w:val="0"/>
        <w:rPr>
          <w:rFonts w:eastAsia="Times New Roman" w:cs="Times New Roman"/>
          <w:lang w:val="es-ES"/>
        </w:rPr>
      </w:pPr>
      <w:r>
        <w:rPr>
          <w:rFonts w:eastAsia="Times New Roman" w:cs="Times New Roman"/>
          <w:lang w:val="pt-BR"/>
        </w:rPr>
        <w:t>Suporte para as alterações propostas.</w:t>
      </w:r>
    </w:p>
    <w:p w14:paraId="5D23958A" w14:textId="77777777" w:rsidR="002E475C" w:rsidRPr="00CC1CB4" w:rsidRDefault="00000000">
      <w:pPr>
        <w:pStyle w:val="a6"/>
        <w:numPr>
          <w:ilvl w:val="0"/>
          <w:numId w:val="115"/>
        </w:numPr>
        <w:spacing w:after="120" w:line="264" w:lineRule="auto"/>
        <w:contextualSpacing w:val="0"/>
        <w:rPr>
          <w:rFonts w:eastAsia="Times New Roman" w:cs="Times New Roman"/>
          <w:lang w:val="es-ES"/>
        </w:rPr>
      </w:pPr>
      <w:r>
        <w:rPr>
          <w:rFonts w:eastAsia="Times New Roman" w:cs="Times New Roman"/>
          <w:lang w:val="pt-BR"/>
        </w:rPr>
        <w:t>Interesse em redefinir a “inexperiência” além de apenas critérios baseados no tempo, enfatizando a necessidade de definições orientadas por dados para apoiar os líderes escolares no desenvolvimento de professores eficazes para o sucesso dos alunos.</w:t>
      </w:r>
    </w:p>
    <w:p w14:paraId="392CB5EF" w14:textId="77777777" w:rsidR="002E475C" w:rsidRPr="00CC1CB4" w:rsidRDefault="00000000">
      <w:pPr>
        <w:pStyle w:val="a6"/>
        <w:numPr>
          <w:ilvl w:val="0"/>
          <w:numId w:val="115"/>
        </w:numPr>
        <w:spacing w:after="120" w:line="264" w:lineRule="auto"/>
        <w:contextualSpacing w:val="0"/>
        <w:rPr>
          <w:rFonts w:eastAsia="Times New Roman" w:cs="Times New Roman"/>
          <w:lang w:val="es-ES"/>
        </w:rPr>
      </w:pPr>
      <w:r>
        <w:rPr>
          <w:rFonts w:eastAsia="Times New Roman" w:cs="Times New Roman"/>
          <w:lang w:val="pt-BR"/>
        </w:rPr>
        <w:lastRenderedPageBreak/>
        <w:t>Reconhecimento da importância de examinar como um educador inexperiente afeta os dados dos alunos quando os alunos têm vários professores com diferentes níveis de experiência.</w:t>
      </w:r>
    </w:p>
    <w:p w14:paraId="034C73C2" w14:textId="77777777" w:rsidR="002E475C" w:rsidRPr="00CC1CB4" w:rsidRDefault="00000000">
      <w:pPr>
        <w:pStyle w:val="a6"/>
        <w:numPr>
          <w:ilvl w:val="0"/>
          <w:numId w:val="115"/>
        </w:numPr>
        <w:spacing w:after="120" w:line="264" w:lineRule="auto"/>
        <w:contextualSpacing w:val="0"/>
        <w:rPr>
          <w:rFonts w:eastAsia="Times New Roman" w:cs="Times New Roman"/>
          <w:lang w:val="es-ES"/>
        </w:rPr>
      </w:pPr>
      <w:r>
        <w:rPr>
          <w:rFonts w:eastAsia="Times New Roman" w:cs="Times New Roman"/>
          <w:lang w:val="pt-BR"/>
        </w:rPr>
        <w:t>Ênfase na necessidade de métricas mais detalhadas do professor e compartilhamento de dados, sugerindo uma revisão abrangente das informações disponíveis antes de introduzir mais legislação.</w:t>
      </w:r>
    </w:p>
    <w:p w14:paraId="27019C77" w14:textId="77777777" w:rsidR="002E475C" w:rsidRPr="00CC1CB4" w:rsidRDefault="00000000">
      <w:pPr>
        <w:pStyle w:val="a6"/>
        <w:numPr>
          <w:ilvl w:val="0"/>
          <w:numId w:val="115"/>
        </w:numPr>
        <w:spacing w:after="120" w:line="264" w:lineRule="auto"/>
        <w:contextualSpacing w:val="0"/>
        <w:rPr>
          <w:rFonts w:eastAsia="Times New Roman" w:cs="Times New Roman"/>
          <w:lang w:val="es-ES"/>
        </w:rPr>
      </w:pPr>
      <w:r>
        <w:rPr>
          <w:rFonts w:eastAsia="Times New Roman" w:cs="Times New Roman"/>
          <w:lang w:val="pt-BR"/>
        </w:rPr>
        <w:t>Solicitação de informações adicionais comparando a experiência do professor com diplomas avançados.</w:t>
      </w:r>
    </w:p>
    <w:p w14:paraId="03DC438C" w14:textId="77777777" w:rsidR="002E475C" w:rsidRPr="00CC1CB4" w:rsidRDefault="00000000">
      <w:pPr>
        <w:pStyle w:val="a6"/>
        <w:numPr>
          <w:ilvl w:val="0"/>
          <w:numId w:val="115"/>
        </w:numPr>
        <w:spacing w:after="120" w:line="264" w:lineRule="auto"/>
        <w:contextualSpacing w:val="0"/>
        <w:rPr>
          <w:rFonts w:eastAsia="Times New Roman" w:cs="Times New Roman"/>
          <w:lang w:val="es-ES"/>
        </w:rPr>
      </w:pPr>
      <w:r>
        <w:rPr>
          <w:rFonts w:eastAsia="Times New Roman" w:cs="Times New Roman"/>
          <w:lang w:val="pt-BR"/>
        </w:rPr>
        <w:t>“Precisamos de uma sessão de brainstorming para explorar outras possibilidades.”</w:t>
      </w:r>
    </w:p>
    <w:p w14:paraId="341812D3" w14:textId="77777777" w:rsidR="002E475C" w:rsidRPr="00CC1CB4" w:rsidRDefault="00000000">
      <w:pPr>
        <w:pStyle w:val="a6"/>
        <w:numPr>
          <w:ilvl w:val="0"/>
          <w:numId w:val="115"/>
        </w:numPr>
        <w:spacing w:after="120" w:line="264" w:lineRule="auto"/>
        <w:contextualSpacing w:val="0"/>
        <w:rPr>
          <w:rFonts w:eastAsia="Times New Roman" w:cs="Times New Roman"/>
          <w:lang w:val="es-ES"/>
        </w:rPr>
      </w:pPr>
      <w:r>
        <w:rPr>
          <w:rFonts w:eastAsia="Times New Roman" w:cs="Times New Roman"/>
          <w:lang w:val="pt-BR"/>
        </w:rPr>
        <w:t>“A experiência do professor substituto será contada como experiência de acordo com a definição federal/estadual?”</w:t>
      </w:r>
    </w:p>
    <w:p w14:paraId="1A96EEA3" w14:textId="77777777" w:rsidR="002E475C" w:rsidRPr="00CC1CB4" w:rsidRDefault="00000000">
      <w:pPr>
        <w:pStyle w:val="a6"/>
        <w:numPr>
          <w:ilvl w:val="0"/>
          <w:numId w:val="115"/>
        </w:numPr>
        <w:spacing w:after="120" w:line="264" w:lineRule="auto"/>
        <w:contextualSpacing w:val="0"/>
        <w:rPr>
          <w:rFonts w:eastAsia="Times New Roman" w:cs="Times New Roman"/>
          <w:lang w:val="es-ES"/>
        </w:rPr>
      </w:pPr>
      <w:r>
        <w:rPr>
          <w:rFonts w:eastAsia="Times New Roman" w:cs="Times New Roman"/>
          <w:lang w:val="pt-BR"/>
        </w:rPr>
        <w:t>“Professores experientes trocando de distritos não devem ser rotulados como inexperientes.”</w:t>
      </w:r>
    </w:p>
    <w:p w14:paraId="2B4DAFB8" w14:textId="77777777" w:rsidR="002E475C" w:rsidRPr="00364862" w:rsidRDefault="00000000">
      <w:pPr>
        <w:pStyle w:val="a6"/>
        <w:numPr>
          <w:ilvl w:val="0"/>
          <w:numId w:val="115"/>
        </w:numPr>
        <w:spacing w:after="120" w:line="264" w:lineRule="auto"/>
        <w:rPr>
          <w:rFonts w:eastAsia="Times New Roman" w:cs="Times New Roman"/>
        </w:rPr>
      </w:pPr>
      <w:r>
        <w:rPr>
          <w:rFonts w:eastAsia="Times New Roman" w:cs="Times New Roman"/>
          <w:lang w:val="pt-BR"/>
        </w:rPr>
        <w:t>“As mudanças propostas parecem boas.”</w:t>
      </w:r>
    </w:p>
    <w:p w14:paraId="5E5AEAC7" w14:textId="77777777" w:rsidR="002E475C" w:rsidRPr="00CC1CB4" w:rsidRDefault="00000000" w:rsidP="006C6975">
      <w:pPr>
        <w:pStyle w:val="4"/>
        <w:rPr>
          <w:lang w:val="es-ES"/>
        </w:rPr>
      </w:pPr>
      <w:bookmarkStart w:id="317" w:name="_Toc199403850"/>
      <w:r>
        <w:rPr>
          <w:rFonts w:ascii="Cambria" w:eastAsia="Cambria" w:hAnsi="Cambria" w:cs="Arial"/>
          <w:szCs w:val="24"/>
          <w:lang w:val="pt-BR"/>
        </w:rPr>
        <w:t>Principais temas e conclusões da sessão</w:t>
      </w:r>
      <w:bookmarkEnd w:id="317"/>
      <w:r>
        <w:rPr>
          <w:rFonts w:ascii="Cambria" w:eastAsia="Cambria" w:hAnsi="Cambria" w:cs="Arial"/>
          <w:szCs w:val="24"/>
          <w:lang w:val="pt-BR"/>
        </w:rPr>
        <w:t xml:space="preserve"> </w:t>
      </w:r>
    </w:p>
    <w:p w14:paraId="60EDB254" w14:textId="77777777" w:rsidR="002E475C" w:rsidRPr="00CC1CB4" w:rsidRDefault="00000000">
      <w:pPr>
        <w:pStyle w:val="a6"/>
        <w:numPr>
          <w:ilvl w:val="0"/>
          <w:numId w:val="118"/>
        </w:numPr>
        <w:spacing w:after="120" w:line="264" w:lineRule="auto"/>
        <w:contextualSpacing w:val="0"/>
        <w:rPr>
          <w:rFonts w:eastAsia="Times New Roman" w:cs="Times New Roman"/>
          <w:lang w:val="es-ES"/>
        </w:rPr>
      </w:pPr>
      <w:r>
        <w:rPr>
          <w:rFonts w:eastAsia="Times New Roman" w:cs="Times New Roman"/>
          <w:b/>
          <w:bCs/>
          <w:lang w:val="pt-BR"/>
        </w:rPr>
        <w:t>Redefinindo “inexperiência”:</w:t>
      </w:r>
      <w:r>
        <w:rPr>
          <w:rFonts w:eastAsia="Times New Roman" w:cs="Times New Roman"/>
          <w:lang w:val="pt-BR"/>
        </w:rPr>
        <w:t xml:space="preserve"> as partes interessadas expressaram interesse unanimemente em redefinir “inexperiência” usando definições orientadas por dados.</w:t>
      </w:r>
    </w:p>
    <w:p w14:paraId="19DF18C9" w14:textId="77777777" w:rsidR="002E475C" w:rsidRPr="00CC1CB4" w:rsidRDefault="00000000">
      <w:pPr>
        <w:pStyle w:val="a6"/>
        <w:numPr>
          <w:ilvl w:val="0"/>
          <w:numId w:val="118"/>
        </w:numPr>
        <w:spacing w:after="120" w:line="264" w:lineRule="auto"/>
        <w:contextualSpacing w:val="0"/>
        <w:rPr>
          <w:rFonts w:eastAsia="Times New Roman" w:cs="Times New Roman"/>
          <w:lang w:val="es-ES"/>
        </w:rPr>
      </w:pPr>
      <w:r>
        <w:rPr>
          <w:rFonts w:eastAsia="Times New Roman" w:cs="Times New Roman"/>
          <w:b/>
          <w:bCs/>
          <w:lang w:val="pt-BR"/>
        </w:rPr>
        <w:t>Impacto na eficácia:</w:t>
      </w:r>
      <w:r>
        <w:rPr>
          <w:rFonts w:eastAsia="Times New Roman" w:cs="Times New Roman"/>
          <w:lang w:val="pt-BR"/>
        </w:rPr>
        <w:t xml:space="preserve"> as partes interessadas se aprofundaram na natureza potencialmente enganosa do termo “inexperiente” e discutiram preocupações sobre a definição de “inexperiente” e suas implicações na eficácia do professor.</w:t>
      </w:r>
    </w:p>
    <w:p w14:paraId="1EC68973" w14:textId="77777777" w:rsidR="002E475C" w:rsidRPr="00CC1CB4" w:rsidRDefault="00000000">
      <w:pPr>
        <w:pStyle w:val="a6"/>
        <w:numPr>
          <w:ilvl w:val="0"/>
          <w:numId w:val="118"/>
        </w:numPr>
        <w:spacing w:after="120" w:line="264" w:lineRule="auto"/>
        <w:contextualSpacing w:val="0"/>
        <w:rPr>
          <w:rFonts w:eastAsia="Times New Roman" w:cs="Times New Roman"/>
          <w:sz w:val="24"/>
          <w:szCs w:val="24"/>
          <w:lang w:val="es-ES"/>
        </w:rPr>
      </w:pPr>
      <w:r>
        <w:rPr>
          <w:rFonts w:eastAsia="Times New Roman" w:cs="Times New Roman"/>
          <w:b/>
          <w:bCs/>
          <w:lang w:val="pt-BR"/>
        </w:rPr>
        <w:t>Experiência dos diretores:</w:t>
      </w:r>
      <w:r>
        <w:rPr>
          <w:rFonts w:eastAsia="Times New Roman" w:cs="Times New Roman"/>
          <w:lang w:val="pt-BR"/>
        </w:rPr>
        <w:t xml:space="preserve"> a classificação dos diretores como professores experientes ao atuarem como educadores desencadeou uma discussão sobre sua função e experiência únicas.</w:t>
      </w:r>
    </w:p>
    <w:p w14:paraId="4193BD9F" w14:textId="77777777" w:rsidR="002E475C" w:rsidRPr="00CC1CB4" w:rsidRDefault="00000000">
      <w:pPr>
        <w:pStyle w:val="a6"/>
        <w:numPr>
          <w:ilvl w:val="0"/>
          <w:numId w:val="118"/>
        </w:numPr>
        <w:spacing w:after="120" w:line="264" w:lineRule="auto"/>
        <w:contextualSpacing w:val="0"/>
        <w:rPr>
          <w:rFonts w:eastAsia="Times New Roman" w:cs="Times New Roman"/>
          <w:lang w:val="es-ES"/>
        </w:rPr>
      </w:pPr>
      <w:r>
        <w:rPr>
          <w:rFonts w:eastAsia="Times New Roman" w:cs="Times New Roman"/>
          <w:b/>
          <w:bCs/>
          <w:lang w:val="pt-BR"/>
        </w:rPr>
        <w:t>Transferência de professores experientes:</w:t>
      </w:r>
      <w:r>
        <w:rPr>
          <w:rFonts w:eastAsia="Times New Roman" w:cs="Times New Roman"/>
          <w:lang w:val="pt-BR"/>
        </w:rPr>
        <w:t xml:space="preserve"> A questão dos professores experientes trocarem de distrito e serem rotulados como inexperientes foi destacada como um ponto de discussão.</w:t>
      </w:r>
    </w:p>
    <w:p w14:paraId="5BDE431E" w14:textId="77777777" w:rsidR="002E475C" w:rsidRPr="00CC1CB4" w:rsidRDefault="00000000">
      <w:pPr>
        <w:pStyle w:val="a6"/>
        <w:numPr>
          <w:ilvl w:val="0"/>
          <w:numId w:val="118"/>
        </w:numPr>
        <w:spacing w:after="120" w:line="264" w:lineRule="auto"/>
        <w:contextualSpacing w:val="0"/>
        <w:rPr>
          <w:rFonts w:eastAsia="Times New Roman" w:cs="Times New Roman"/>
          <w:lang w:val="es-ES"/>
        </w:rPr>
      </w:pPr>
      <w:r>
        <w:rPr>
          <w:rFonts w:eastAsia="Times New Roman" w:cs="Times New Roman"/>
          <w:b/>
          <w:bCs/>
          <w:lang w:val="pt-BR"/>
        </w:rPr>
        <w:t>Impacto dos dados do aluno:</w:t>
      </w:r>
      <w:r>
        <w:rPr>
          <w:rFonts w:eastAsia="Times New Roman" w:cs="Times New Roman"/>
          <w:lang w:val="pt-BR"/>
        </w:rPr>
        <w:t xml:space="preserve"> o impacto de um educador inexperiente nos dados dos alunos em salas de aula com vários professores foi enfatizado como uma consideração.</w:t>
      </w:r>
    </w:p>
    <w:p w14:paraId="78C1C53D" w14:textId="77777777" w:rsidR="002E475C" w:rsidRPr="00CC1CB4" w:rsidRDefault="00000000">
      <w:pPr>
        <w:pStyle w:val="a6"/>
        <w:numPr>
          <w:ilvl w:val="0"/>
          <w:numId w:val="118"/>
        </w:numPr>
        <w:spacing w:after="120" w:line="264" w:lineRule="auto"/>
        <w:contextualSpacing w:val="0"/>
        <w:rPr>
          <w:rFonts w:eastAsia="Times New Roman" w:cs="Times New Roman"/>
          <w:lang w:val="es-ES"/>
        </w:rPr>
      </w:pPr>
      <w:r>
        <w:rPr>
          <w:rFonts w:eastAsia="Times New Roman" w:cs="Times New Roman"/>
          <w:b/>
          <w:bCs/>
          <w:lang w:val="pt-BR"/>
        </w:rPr>
        <w:t>Métricas abrangentes e compartilhamento de dados:</w:t>
      </w:r>
      <w:r>
        <w:rPr>
          <w:rFonts w:eastAsia="Times New Roman" w:cs="Times New Roman"/>
          <w:lang w:val="pt-BR"/>
        </w:rPr>
        <w:t xml:space="preserve"> a necessidade de métricas detalhadas do professor e compartilhamento de dados antes da implementação de nova legislação foi reiterada.</w:t>
      </w:r>
    </w:p>
    <w:p w14:paraId="3CB8B237" w14:textId="77777777" w:rsidR="0005568B" w:rsidRPr="00CC1CB4" w:rsidRDefault="00000000" w:rsidP="00203EBD">
      <w:pPr>
        <w:spacing w:after="120"/>
        <w:rPr>
          <w:rFonts w:eastAsia="Times New Roman" w:cs="Times New Roman"/>
          <w:lang w:val="es-ES"/>
        </w:rPr>
      </w:pPr>
      <w:r>
        <w:rPr>
          <w:rStyle w:val="normaltextrun"/>
          <w:rFonts w:eastAsia="Times New Roman" w:cs="Times New Roman"/>
          <w:lang w:val="pt-BR"/>
        </w:rPr>
        <w:t xml:space="preserve">Valorização por explorar abordagens alternativas Reconhecimento de que o NJDOE está explorando diferentes modelos além do modelo linear atualmente em uso. </w:t>
      </w:r>
      <w:bookmarkStart w:id="318" w:name="_Feedback_on_the_5"/>
      <w:bookmarkStart w:id="319" w:name="_Feedback_on_the_10"/>
      <w:bookmarkStart w:id="320" w:name="_Toc171333350"/>
      <w:bookmarkStart w:id="321" w:name="_Hlk166060619"/>
      <w:bookmarkEnd w:id="318"/>
      <w:bookmarkEnd w:id="319"/>
      <w:r>
        <w:rPr>
          <w:rStyle w:val="normaltextrun"/>
          <w:rFonts w:eastAsia="Times New Roman" w:cs="Times New Roman"/>
          <w:lang w:val="pt-BR"/>
        </w:rPr>
        <w:br w:type="page"/>
      </w:r>
    </w:p>
    <w:p w14:paraId="1499C7F7" w14:textId="77777777" w:rsidR="00EC5492" w:rsidRPr="00CC1CB4" w:rsidRDefault="00000000" w:rsidP="00856537">
      <w:pPr>
        <w:pStyle w:val="A30"/>
        <w:spacing w:after="220"/>
        <w:rPr>
          <w:lang w:val="es-ES"/>
        </w:rPr>
      </w:pPr>
      <w:bookmarkStart w:id="322" w:name="_Feedback_on_the_16"/>
      <w:bookmarkStart w:id="323" w:name="_Toc199403851"/>
      <w:bookmarkEnd w:id="322"/>
      <w:r>
        <w:lastRenderedPageBreak/>
        <w:t>Feedback sobre a proposta para adicionar “persistência no ensino médio” como indicador de qualidade/sucesso escolar</w:t>
      </w:r>
      <w:bookmarkEnd w:id="320"/>
      <w:r>
        <w:br/>
        <w:t>Sessão nº 4 (12 de março)</w:t>
      </w:r>
      <w:bookmarkEnd w:id="323"/>
    </w:p>
    <w:p w14:paraId="6A991C5B" w14:textId="77777777" w:rsidR="00EC5492" w:rsidRPr="00CC1CB4" w:rsidRDefault="00000000" w:rsidP="00EC5492">
      <w:pPr>
        <w:rPr>
          <w:rFonts w:cs="Times New Roman"/>
          <w:lang w:val="es-ES"/>
        </w:rPr>
      </w:pPr>
      <w:r>
        <w:rPr>
          <w:rFonts w:eastAsia="Times New Roman" w:cs="Times New Roman"/>
          <w:lang w:val="pt-BR"/>
        </w:rPr>
        <w:t xml:space="preserve">Os participantes fornecerão reações iniciais à proposta para adicionar um segundo indicador de qualidade escolar/sucesso do aluno, “persistência no ensino médio”, ao sistema de responsabilidade da ESSA de Nova Jersey. </w:t>
      </w:r>
    </w:p>
    <w:p w14:paraId="0EE1AFCB" w14:textId="77777777" w:rsidR="002E475C" w:rsidRPr="00CC1CB4" w:rsidRDefault="00000000" w:rsidP="00EC5492">
      <w:pPr>
        <w:pStyle w:val="4"/>
        <w:rPr>
          <w:rStyle w:val="normaltextrun"/>
          <w:rFonts w:cs="Times New Roman"/>
          <w:lang w:val="es-ES"/>
        </w:rPr>
      </w:pPr>
      <w:bookmarkStart w:id="324" w:name="_Toc199403852"/>
      <w:bookmarkEnd w:id="321"/>
      <w:r>
        <w:rPr>
          <w:rFonts w:ascii="Cambria" w:eastAsia="Cambria" w:hAnsi="Cambria" w:cs="Arial"/>
          <w:szCs w:val="24"/>
          <w:lang w:val="pt-BR"/>
        </w:rPr>
        <w:t>Feedback das partes interessadas</w:t>
      </w:r>
      <w:bookmarkEnd w:id="324"/>
    </w:p>
    <w:p w14:paraId="0321C555" w14:textId="77777777" w:rsidR="002E475C" w:rsidRPr="00CC1CB4" w:rsidRDefault="00000000" w:rsidP="00EC5492">
      <w:pPr>
        <w:pStyle w:val="5"/>
        <w:spacing w:before="240"/>
        <w:rPr>
          <w:lang w:val="es-ES"/>
        </w:rPr>
      </w:pPr>
      <w:r>
        <w:rPr>
          <w:rFonts w:ascii="Cambria" w:eastAsia="Cambria" w:hAnsi="Cambria" w:cs="Times New Roman"/>
          <w:bCs/>
          <w:lang w:val="pt-BR"/>
        </w:rPr>
        <w:t>Pergunta 1: Por que você acha que a participação é importante?</w:t>
      </w:r>
    </w:p>
    <w:p w14:paraId="419C0567" w14:textId="77777777" w:rsidR="002E475C" w:rsidRPr="00EC5492" w:rsidRDefault="00000000" w:rsidP="00EC5492">
      <w:pPr>
        <w:pStyle w:val="6"/>
      </w:pPr>
      <w:r>
        <w:rPr>
          <w:rFonts w:ascii="Cambria" w:eastAsia="Cambria" w:hAnsi="Cambria" w:cs="Arial"/>
          <w:lang w:val="pt-BR"/>
        </w:rPr>
        <w:t>Respostas</w:t>
      </w:r>
    </w:p>
    <w:p w14:paraId="19880AC0" w14:textId="77777777" w:rsidR="002E475C" w:rsidRPr="00CC1CB4" w:rsidRDefault="00000000">
      <w:pPr>
        <w:pStyle w:val="a6"/>
        <w:numPr>
          <w:ilvl w:val="0"/>
          <w:numId w:val="163"/>
        </w:numPr>
        <w:spacing w:after="120" w:line="264" w:lineRule="auto"/>
        <w:ind w:left="720"/>
        <w:contextualSpacing w:val="0"/>
        <w:rPr>
          <w:rFonts w:cs="Times New Roman"/>
          <w:i/>
          <w:iCs/>
          <w:lang w:val="es-ES"/>
        </w:rPr>
      </w:pPr>
      <w:r>
        <w:rPr>
          <w:rFonts w:eastAsia="Times New Roman" w:cs="Times New Roman"/>
          <w:lang w:val="pt-BR"/>
        </w:rPr>
        <w:t xml:space="preserve">A presença individual é crucial para o aprendizado. Quando os alunos se sentem apoiados, eles são mais propensos a frequentar a escola regularmente. A implementação de mais sistemas de apoio pode contribuir para um clima escolar positivo, resultando em taxas de frequência mais altas. </w:t>
      </w:r>
    </w:p>
    <w:p w14:paraId="1311396D" w14:textId="77777777" w:rsidR="002E475C" w:rsidRPr="00CC1CB4" w:rsidRDefault="00000000">
      <w:pPr>
        <w:pStyle w:val="a6"/>
        <w:numPr>
          <w:ilvl w:val="0"/>
          <w:numId w:val="136"/>
        </w:numPr>
        <w:tabs>
          <w:tab w:val="clear" w:pos="360"/>
          <w:tab w:val="num" w:pos="720"/>
        </w:tabs>
        <w:spacing w:after="120" w:line="259" w:lineRule="auto"/>
        <w:ind w:left="720"/>
        <w:contextualSpacing w:val="0"/>
        <w:rPr>
          <w:rFonts w:eastAsia="Times New Roman" w:cs="Times New Roman"/>
          <w:lang w:val="es-ES"/>
        </w:rPr>
      </w:pPr>
      <w:r>
        <w:rPr>
          <w:rFonts w:eastAsia="Times New Roman" w:cs="Times New Roman"/>
          <w:lang w:val="pt-BR"/>
        </w:rPr>
        <w:t>Levanta questões sobre o papel do barramento como parte do sistema de suporte para a participação, particularmente em relação ao fator de 2 milhas. Considera se a disponibilidade de ônibus influencia o nível de apoio dentro da escola.</w:t>
      </w:r>
    </w:p>
    <w:p w14:paraId="16D4BDA0" w14:textId="77777777" w:rsidR="002E475C" w:rsidRPr="00CC1CB4" w:rsidRDefault="00000000">
      <w:pPr>
        <w:pStyle w:val="a6"/>
        <w:numPr>
          <w:ilvl w:val="0"/>
          <w:numId w:val="136"/>
        </w:numPr>
        <w:tabs>
          <w:tab w:val="clear" w:pos="360"/>
          <w:tab w:val="num" w:pos="720"/>
        </w:tabs>
        <w:spacing w:after="120" w:line="259" w:lineRule="auto"/>
        <w:ind w:left="720"/>
        <w:contextualSpacing w:val="0"/>
        <w:rPr>
          <w:rFonts w:eastAsia="Times New Roman" w:cs="Times New Roman"/>
          <w:lang w:val="es-ES"/>
        </w:rPr>
      </w:pPr>
      <w:r>
        <w:rPr>
          <w:rFonts w:eastAsia="Times New Roman" w:cs="Times New Roman"/>
          <w:lang w:val="pt-BR"/>
        </w:rPr>
        <w:t>O envolvimento dos pais é um fator-chave na melhoria das taxas de frequência. Foi demonstrado que o aumento do envolvimento dos pais afeta positivamente a participação dos alunos.</w:t>
      </w:r>
    </w:p>
    <w:p w14:paraId="7A7B7159" w14:textId="77777777" w:rsidR="002E475C" w:rsidRPr="00CC1CB4" w:rsidRDefault="00000000">
      <w:pPr>
        <w:pStyle w:val="a6"/>
        <w:numPr>
          <w:ilvl w:val="0"/>
          <w:numId w:val="136"/>
        </w:numPr>
        <w:tabs>
          <w:tab w:val="clear" w:pos="360"/>
          <w:tab w:val="num" w:pos="720"/>
        </w:tabs>
        <w:spacing w:after="120" w:line="259" w:lineRule="auto"/>
        <w:ind w:left="720"/>
        <w:contextualSpacing w:val="0"/>
        <w:rPr>
          <w:rFonts w:eastAsia="Times New Roman" w:cs="Times New Roman"/>
          <w:lang w:val="es-ES"/>
        </w:rPr>
      </w:pPr>
      <w:r>
        <w:rPr>
          <w:rFonts w:eastAsia="Times New Roman" w:cs="Times New Roman"/>
          <w:lang w:val="pt-BR"/>
        </w:rPr>
        <w:t>Destaca a importância de fornecer apoio crítico para garantir que os alunos se sintam seguros na escola, especialmente quando estão vivenciando uma série de emoções e sentimentos por vários motivos.</w:t>
      </w:r>
    </w:p>
    <w:p w14:paraId="6CB85572" w14:textId="77777777" w:rsidR="002E475C" w:rsidRPr="00CC1CB4" w:rsidRDefault="00000000">
      <w:pPr>
        <w:pStyle w:val="a6"/>
        <w:numPr>
          <w:ilvl w:val="0"/>
          <w:numId w:val="134"/>
        </w:numPr>
        <w:spacing w:after="120" w:line="264" w:lineRule="auto"/>
        <w:ind w:left="720"/>
        <w:contextualSpacing w:val="0"/>
        <w:rPr>
          <w:rFonts w:eastAsia="Times New Roman" w:cs="Times New Roman"/>
          <w:lang w:val="es-ES"/>
        </w:rPr>
      </w:pPr>
      <w:r>
        <w:rPr>
          <w:rFonts w:eastAsia="Times New Roman" w:cs="Times New Roman"/>
          <w:lang w:val="pt-BR"/>
        </w:rPr>
        <w:t>Enfatiza o papel fundamental das relações com colegas e professores no desenvolvimento social das crianças e nas habilidades de resolução de problemas desde o nascimento até o 3º ano.</w:t>
      </w:r>
    </w:p>
    <w:p w14:paraId="76B2E8D4" w14:textId="77777777" w:rsidR="002E475C" w:rsidRPr="00CC1CB4" w:rsidRDefault="00000000">
      <w:pPr>
        <w:pStyle w:val="a6"/>
        <w:numPr>
          <w:ilvl w:val="0"/>
          <w:numId w:val="134"/>
        </w:numPr>
        <w:spacing w:after="120" w:line="264" w:lineRule="auto"/>
        <w:ind w:left="720"/>
        <w:contextualSpacing w:val="0"/>
        <w:rPr>
          <w:rFonts w:eastAsia="Times New Roman" w:cs="Times New Roman"/>
          <w:lang w:val="es-ES"/>
        </w:rPr>
      </w:pPr>
      <w:r>
        <w:rPr>
          <w:rFonts w:eastAsia="Times New Roman" w:cs="Times New Roman"/>
          <w:lang w:val="pt-BR"/>
        </w:rPr>
        <w:t>Defende o aumento do acesso a serviços e recursos, incluindo suportes multicamadas, para lidar com o absenteísmo de forma eficaz.</w:t>
      </w:r>
    </w:p>
    <w:p w14:paraId="489AF4F1" w14:textId="77777777" w:rsidR="002E475C" w:rsidRPr="00CC1CB4" w:rsidRDefault="00000000">
      <w:pPr>
        <w:pStyle w:val="a6"/>
        <w:numPr>
          <w:ilvl w:val="0"/>
          <w:numId w:val="134"/>
        </w:numPr>
        <w:spacing w:after="120" w:line="264" w:lineRule="auto"/>
        <w:ind w:left="720"/>
        <w:contextualSpacing w:val="0"/>
        <w:rPr>
          <w:rFonts w:eastAsia="Times New Roman" w:cs="Times New Roman"/>
          <w:lang w:val="es-ES"/>
        </w:rPr>
      </w:pPr>
      <w:r>
        <w:rPr>
          <w:rFonts w:eastAsia="Times New Roman" w:cs="Times New Roman"/>
          <w:lang w:val="pt-BR"/>
        </w:rPr>
        <w:t>Perguntas sobre o nível de envolvimento no material acadêmico e se ele pode ser usado para motivar a participação regular dos alunos.</w:t>
      </w:r>
    </w:p>
    <w:p w14:paraId="7BB398FD" w14:textId="77777777" w:rsidR="002E475C" w:rsidRPr="00CC1CB4" w:rsidRDefault="00000000">
      <w:pPr>
        <w:pStyle w:val="a6"/>
        <w:numPr>
          <w:ilvl w:val="0"/>
          <w:numId w:val="134"/>
        </w:numPr>
        <w:spacing w:after="120" w:line="264" w:lineRule="auto"/>
        <w:ind w:left="720"/>
        <w:contextualSpacing w:val="0"/>
        <w:rPr>
          <w:rFonts w:eastAsia="Times New Roman" w:cs="Times New Roman"/>
          <w:lang w:val="es-ES"/>
        </w:rPr>
      </w:pPr>
      <w:r>
        <w:rPr>
          <w:rFonts w:eastAsia="Times New Roman" w:cs="Times New Roman"/>
          <w:lang w:val="pt-BR"/>
        </w:rPr>
        <w:t>Explora o impacto do absenteísmo crônico em alunos de alto desempenho e seus efeitos no desempenho acadêmico.</w:t>
      </w:r>
    </w:p>
    <w:p w14:paraId="34012124" w14:textId="77777777" w:rsidR="002E475C" w:rsidRPr="00CC1CB4" w:rsidRDefault="00000000">
      <w:pPr>
        <w:pStyle w:val="a6"/>
        <w:numPr>
          <w:ilvl w:val="0"/>
          <w:numId w:val="134"/>
        </w:numPr>
        <w:spacing w:after="120" w:line="264" w:lineRule="auto"/>
        <w:ind w:left="720"/>
        <w:contextualSpacing w:val="0"/>
        <w:rPr>
          <w:rFonts w:eastAsia="Times New Roman" w:cs="Times New Roman"/>
          <w:lang w:val="es-ES"/>
        </w:rPr>
      </w:pPr>
      <w:r>
        <w:rPr>
          <w:rFonts w:eastAsia="Times New Roman" w:cs="Times New Roman"/>
          <w:lang w:val="pt-BR"/>
        </w:rPr>
        <w:t>Considera a interação entre a deficiência, os níveis de engajamento e os padrões de absenteísmo de um aluno.</w:t>
      </w:r>
    </w:p>
    <w:p w14:paraId="2A61260A" w14:textId="77777777" w:rsidR="002E475C" w:rsidRPr="00CC1CB4" w:rsidRDefault="00000000">
      <w:pPr>
        <w:pStyle w:val="a6"/>
        <w:numPr>
          <w:ilvl w:val="0"/>
          <w:numId w:val="134"/>
        </w:numPr>
        <w:spacing w:after="120" w:line="264" w:lineRule="auto"/>
        <w:ind w:left="720"/>
        <w:contextualSpacing w:val="0"/>
        <w:rPr>
          <w:rFonts w:eastAsia="Times New Roman" w:cs="Times New Roman"/>
          <w:lang w:val="es-ES"/>
        </w:rPr>
      </w:pPr>
      <w:r>
        <w:rPr>
          <w:rFonts w:eastAsia="Times New Roman" w:cs="Times New Roman"/>
          <w:lang w:val="pt-BR"/>
        </w:rPr>
        <w:t>Destaca a necessidade de abordagens personalizadas para abordar o absenteísmo crônico, argumentando contra uma estratégia única. Recomenda planos de ação corretiva personalizados, ilustrados por um caso de um aluno de alto desempenho em risco de falha devido ao absenteísmo.</w:t>
      </w:r>
    </w:p>
    <w:p w14:paraId="6BFD1DCE" w14:textId="77777777" w:rsidR="002E475C" w:rsidRPr="00CC1CB4" w:rsidRDefault="00000000">
      <w:pPr>
        <w:pStyle w:val="a6"/>
        <w:numPr>
          <w:ilvl w:val="0"/>
          <w:numId w:val="134"/>
        </w:numPr>
        <w:spacing w:after="120" w:line="264" w:lineRule="auto"/>
        <w:ind w:left="720"/>
        <w:contextualSpacing w:val="0"/>
        <w:rPr>
          <w:rFonts w:eastAsia="Times New Roman" w:cs="Times New Roman"/>
          <w:lang w:val="es-ES"/>
        </w:rPr>
      </w:pPr>
      <w:r>
        <w:rPr>
          <w:rFonts w:eastAsia="Times New Roman" w:cs="Times New Roman"/>
          <w:lang w:val="pt-BR"/>
        </w:rPr>
        <w:t>Defende uma mudança de medidas rigorosas e punitivas para uma abordagem mais sutil ao abordar o absenteísmo crônico.</w:t>
      </w:r>
    </w:p>
    <w:p w14:paraId="686D4F4F" w14:textId="77777777" w:rsidR="002E475C" w:rsidRPr="00CC1CB4" w:rsidRDefault="00000000">
      <w:pPr>
        <w:pStyle w:val="a6"/>
        <w:numPr>
          <w:ilvl w:val="0"/>
          <w:numId w:val="134"/>
        </w:numPr>
        <w:spacing w:after="120" w:line="264" w:lineRule="auto"/>
        <w:ind w:left="720"/>
        <w:contextualSpacing w:val="0"/>
        <w:rPr>
          <w:rFonts w:eastAsia="Times New Roman" w:cs="Times New Roman"/>
          <w:lang w:val="es-ES"/>
        </w:rPr>
      </w:pPr>
      <w:r>
        <w:rPr>
          <w:rFonts w:eastAsia="Times New Roman" w:cs="Times New Roman"/>
          <w:lang w:val="pt-BR"/>
        </w:rPr>
        <w:lastRenderedPageBreak/>
        <w:t>Explora vários métodos para avaliar e priorizar intervenções para o absenteísmo.</w:t>
      </w:r>
    </w:p>
    <w:p w14:paraId="4488840F" w14:textId="77777777" w:rsidR="002E475C" w:rsidRPr="00364862" w:rsidRDefault="00000000">
      <w:pPr>
        <w:pStyle w:val="a6"/>
        <w:numPr>
          <w:ilvl w:val="0"/>
          <w:numId w:val="134"/>
        </w:numPr>
        <w:spacing w:after="120" w:line="264" w:lineRule="auto"/>
        <w:ind w:left="720"/>
        <w:contextualSpacing w:val="0"/>
        <w:rPr>
          <w:rFonts w:eastAsia="Times New Roman" w:cs="Times New Roman"/>
        </w:rPr>
      </w:pPr>
      <w:r>
        <w:rPr>
          <w:rFonts w:eastAsia="Times New Roman" w:cs="Times New Roman"/>
          <w:lang w:val="pt-BR"/>
        </w:rPr>
        <w:t>Enfatiza a importância do posicionamento acadêmico apropriado, particularmente para alunos de alto desempenho que podem exigir maiores desafios. Propõe uma estrutura multicamadas para examinar o absenteísmo.</w:t>
      </w:r>
    </w:p>
    <w:p w14:paraId="443EFEAD" w14:textId="77777777" w:rsidR="002E475C" w:rsidRPr="00CC1CB4" w:rsidRDefault="00000000">
      <w:pPr>
        <w:pStyle w:val="a6"/>
        <w:numPr>
          <w:ilvl w:val="0"/>
          <w:numId w:val="134"/>
        </w:numPr>
        <w:spacing w:after="120" w:line="264" w:lineRule="auto"/>
        <w:ind w:left="720"/>
        <w:contextualSpacing w:val="0"/>
        <w:rPr>
          <w:rFonts w:eastAsia="Times New Roman" w:cs="Times New Roman"/>
          <w:lang w:val="es-ES"/>
        </w:rPr>
      </w:pPr>
      <w:r>
        <w:rPr>
          <w:rFonts w:eastAsia="Times New Roman" w:cs="Times New Roman"/>
          <w:lang w:val="pt-BR"/>
        </w:rPr>
        <w:t>Considera se as taxas de absenteísmo diferem entre alunos com níveis de desempenho acadêmico variados.</w:t>
      </w:r>
    </w:p>
    <w:p w14:paraId="3FBD1AC6" w14:textId="77777777" w:rsidR="002E475C" w:rsidRPr="00CC1CB4" w:rsidRDefault="00000000">
      <w:pPr>
        <w:pStyle w:val="a6"/>
        <w:numPr>
          <w:ilvl w:val="0"/>
          <w:numId w:val="137"/>
        </w:numPr>
        <w:spacing w:after="120" w:line="259" w:lineRule="auto"/>
        <w:ind w:left="720"/>
        <w:contextualSpacing w:val="0"/>
        <w:rPr>
          <w:rFonts w:eastAsia="Times New Roman" w:cs="Times New Roman"/>
          <w:lang w:val="es-ES"/>
        </w:rPr>
      </w:pPr>
      <w:r>
        <w:rPr>
          <w:rFonts w:eastAsia="Times New Roman" w:cs="Times New Roman"/>
          <w:lang w:val="pt-BR"/>
        </w:rPr>
        <w:t>Os alunos que estão ausentes perdem conceitos e conteúdos cruciais, tornando difícil acompanhar.</w:t>
      </w:r>
    </w:p>
    <w:p w14:paraId="54B8F54C" w14:textId="77777777" w:rsidR="002E475C" w:rsidRPr="00CC1CB4" w:rsidRDefault="00000000">
      <w:pPr>
        <w:pStyle w:val="a6"/>
        <w:numPr>
          <w:ilvl w:val="0"/>
          <w:numId w:val="137"/>
        </w:numPr>
        <w:spacing w:after="120" w:line="259" w:lineRule="auto"/>
        <w:ind w:left="720"/>
        <w:contextualSpacing w:val="0"/>
        <w:rPr>
          <w:rFonts w:eastAsia="Times New Roman" w:cs="Times New Roman"/>
          <w:lang w:val="es-ES"/>
        </w:rPr>
      </w:pPr>
      <w:r>
        <w:rPr>
          <w:rFonts w:eastAsia="Times New Roman" w:cs="Times New Roman"/>
          <w:lang w:val="pt-BR"/>
        </w:rPr>
        <w:t>Esse desafio é particularmente pronunciado em certos assuntos, como matemática.</w:t>
      </w:r>
    </w:p>
    <w:p w14:paraId="56A73681" w14:textId="77777777" w:rsidR="002E475C" w:rsidRPr="00CC1CB4" w:rsidRDefault="00000000">
      <w:pPr>
        <w:pStyle w:val="a6"/>
        <w:numPr>
          <w:ilvl w:val="0"/>
          <w:numId w:val="137"/>
        </w:numPr>
        <w:spacing w:after="120" w:line="259" w:lineRule="auto"/>
        <w:ind w:left="720"/>
        <w:contextualSpacing w:val="0"/>
        <w:rPr>
          <w:rFonts w:eastAsia="Times New Roman" w:cs="Times New Roman"/>
          <w:lang w:val="es-ES"/>
        </w:rPr>
      </w:pPr>
      <w:r>
        <w:rPr>
          <w:rFonts w:eastAsia="Times New Roman" w:cs="Times New Roman"/>
          <w:lang w:val="pt-BR"/>
        </w:rPr>
        <w:t>As ausências podem levar a consequências sociais, incluindo ansiedade, especialmente para alunos universitários que podem sentir pressão e arriscar não se formar.</w:t>
      </w:r>
    </w:p>
    <w:p w14:paraId="67E2E128" w14:textId="77777777" w:rsidR="002E475C" w:rsidRPr="00CC1CB4" w:rsidRDefault="00000000">
      <w:pPr>
        <w:pStyle w:val="a6"/>
        <w:numPr>
          <w:ilvl w:val="0"/>
          <w:numId w:val="137"/>
        </w:numPr>
        <w:spacing w:after="120" w:line="259" w:lineRule="auto"/>
        <w:ind w:left="720"/>
        <w:contextualSpacing w:val="0"/>
        <w:rPr>
          <w:rFonts w:eastAsia="Times New Roman" w:cs="Times New Roman"/>
          <w:lang w:val="es-ES"/>
        </w:rPr>
      </w:pPr>
      <w:r>
        <w:rPr>
          <w:rFonts w:eastAsia="Times New Roman" w:cs="Times New Roman"/>
          <w:lang w:val="pt-BR"/>
        </w:rPr>
        <w:t>Definir o que constitui uma ausência é um problema-chave de implementação, e as perspectivas locais sobre relatórios de dados variam.</w:t>
      </w:r>
    </w:p>
    <w:p w14:paraId="05E4A3C3" w14:textId="77777777" w:rsidR="002E475C" w:rsidRPr="00CC1CB4" w:rsidRDefault="00000000">
      <w:pPr>
        <w:pStyle w:val="a6"/>
        <w:numPr>
          <w:ilvl w:val="0"/>
          <w:numId w:val="137"/>
        </w:numPr>
        <w:spacing w:after="120" w:line="259" w:lineRule="auto"/>
        <w:ind w:left="720"/>
        <w:contextualSpacing w:val="0"/>
        <w:rPr>
          <w:rFonts w:eastAsia="Times New Roman" w:cs="Times New Roman"/>
          <w:lang w:val="es-ES"/>
        </w:rPr>
      </w:pPr>
      <w:r>
        <w:rPr>
          <w:rFonts w:eastAsia="Times New Roman" w:cs="Times New Roman"/>
          <w:lang w:val="pt-BR"/>
        </w:rPr>
        <w:t>As dificuldades acadêmicas muitas vezes andam de mãos dadas com questões de frequência.</w:t>
      </w:r>
    </w:p>
    <w:p w14:paraId="2F6B165B" w14:textId="77777777" w:rsidR="002E475C" w:rsidRPr="00CC1CB4" w:rsidRDefault="00000000">
      <w:pPr>
        <w:pStyle w:val="a6"/>
        <w:numPr>
          <w:ilvl w:val="0"/>
          <w:numId w:val="137"/>
        </w:numPr>
        <w:spacing w:after="120" w:line="259" w:lineRule="auto"/>
        <w:ind w:left="720"/>
        <w:contextualSpacing w:val="0"/>
        <w:rPr>
          <w:rFonts w:eastAsia="Times New Roman" w:cs="Times New Roman"/>
          <w:lang w:val="es-ES"/>
        </w:rPr>
      </w:pPr>
      <w:r>
        <w:rPr>
          <w:rFonts w:eastAsia="Times New Roman" w:cs="Times New Roman"/>
          <w:lang w:val="pt-BR"/>
        </w:rPr>
        <w:t>Há uma tendência crescente de mais crianças ficarem em casa fora da escola.</w:t>
      </w:r>
    </w:p>
    <w:p w14:paraId="3A456279" w14:textId="77777777" w:rsidR="002E475C" w:rsidRPr="00CC1CB4" w:rsidRDefault="00000000">
      <w:pPr>
        <w:pStyle w:val="a6"/>
        <w:numPr>
          <w:ilvl w:val="0"/>
          <w:numId w:val="137"/>
        </w:numPr>
        <w:spacing w:after="120" w:line="259" w:lineRule="auto"/>
        <w:ind w:left="720"/>
        <w:contextualSpacing w:val="0"/>
        <w:rPr>
          <w:rFonts w:eastAsia="Times New Roman" w:cs="Times New Roman"/>
          <w:lang w:val="es-ES"/>
        </w:rPr>
      </w:pPr>
      <w:r>
        <w:rPr>
          <w:rFonts w:eastAsia="Times New Roman" w:cs="Times New Roman"/>
          <w:lang w:val="pt-BR"/>
        </w:rPr>
        <w:t>Determinar quando ficar em casa devido a doenças é necessário e como lidar com ausências excessivas com as famílias representa desafios.</w:t>
      </w:r>
    </w:p>
    <w:p w14:paraId="12DF8564" w14:textId="77777777" w:rsidR="002E475C" w:rsidRPr="00CC1CB4" w:rsidRDefault="00000000">
      <w:pPr>
        <w:pStyle w:val="a6"/>
        <w:numPr>
          <w:ilvl w:val="0"/>
          <w:numId w:val="137"/>
        </w:numPr>
        <w:spacing w:after="120" w:line="259" w:lineRule="auto"/>
        <w:ind w:left="720"/>
        <w:contextualSpacing w:val="0"/>
        <w:rPr>
          <w:rFonts w:eastAsia="Times New Roman" w:cs="Times New Roman"/>
          <w:lang w:val="es-ES"/>
        </w:rPr>
      </w:pPr>
      <w:r>
        <w:rPr>
          <w:rFonts w:eastAsia="Times New Roman" w:cs="Times New Roman"/>
          <w:lang w:val="pt-BR"/>
        </w:rPr>
        <w:t>A baixa frequência complica o processo de determinação da elegibilidade para serviços de educação especial.</w:t>
      </w:r>
    </w:p>
    <w:p w14:paraId="240D011B" w14:textId="77777777" w:rsidR="002E475C" w:rsidRPr="00CC1CB4" w:rsidRDefault="00000000">
      <w:pPr>
        <w:pStyle w:val="a6"/>
        <w:numPr>
          <w:ilvl w:val="0"/>
          <w:numId w:val="137"/>
        </w:numPr>
        <w:spacing w:after="120" w:line="259" w:lineRule="auto"/>
        <w:ind w:left="720"/>
        <w:contextualSpacing w:val="0"/>
        <w:rPr>
          <w:rFonts w:eastAsia="Times New Roman" w:cs="Times New Roman"/>
          <w:lang w:val="es-ES"/>
        </w:rPr>
      </w:pPr>
      <w:r>
        <w:rPr>
          <w:rFonts w:eastAsia="Times New Roman" w:cs="Times New Roman"/>
          <w:lang w:val="pt-BR"/>
        </w:rPr>
        <w:t>Em programas de tutoria, perder tempo fora da escola, como coletas antecipadas e sessões de verão, dificulta o progresso dos alunos e os desvia do trabalho acadêmico.</w:t>
      </w:r>
    </w:p>
    <w:p w14:paraId="21F02FFE" w14:textId="77777777" w:rsidR="002E475C" w:rsidRPr="00CC1CB4" w:rsidRDefault="00000000">
      <w:pPr>
        <w:pStyle w:val="a6"/>
        <w:numPr>
          <w:ilvl w:val="0"/>
          <w:numId w:val="136"/>
        </w:numPr>
        <w:tabs>
          <w:tab w:val="clear" w:pos="360"/>
          <w:tab w:val="num" w:pos="720"/>
        </w:tabs>
        <w:spacing w:after="120" w:line="259" w:lineRule="auto"/>
        <w:ind w:left="720"/>
        <w:contextualSpacing w:val="0"/>
        <w:rPr>
          <w:rFonts w:eastAsia="Times New Roman" w:cs="Times New Roman"/>
          <w:lang w:val="es-ES"/>
        </w:rPr>
      </w:pPr>
      <w:r>
        <w:rPr>
          <w:rFonts w:eastAsia="Times New Roman" w:cs="Times New Roman"/>
          <w:lang w:val="pt-BR"/>
        </w:rPr>
        <w:t>Fornece percepções claras e focadas na identificação de questões subjacentes, especialmente relacionadas a alunos e famílias.</w:t>
      </w:r>
    </w:p>
    <w:p w14:paraId="166DEC2E" w14:textId="77777777" w:rsidR="002E475C" w:rsidRPr="00CC1CB4" w:rsidRDefault="00000000">
      <w:pPr>
        <w:pStyle w:val="a6"/>
        <w:numPr>
          <w:ilvl w:val="0"/>
          <w:numId w:val="136"/>
        </w:numPr>
        <w:tabs>
          <w:tab w:val="clear" w:pos="360"/>
          <w:tab w:val="num" w:pos="720"/>
        </w:tabs>
        <w:spacing w:after="120" w:line="259" w:lineRule="auto"/>
        <w:ind w:left="720"/>
        <w:contextualSpacing w:val="0"/>
        <w:rPr>
          <w:rFonts w:eastAsia="Times New Roman" w:cs="Times New Roman"/>
          <w:lang w:val="es-ES"/>
        </w:rPr>
      </w:pPr>
      <w:r>
        <w:rPr>
          <w:rFonts w:eastAsia="Times New Roman" w:cs="Times New Roman"/>
          <w:lang w:val="pt-BR"/>
        </w:rPr>
        <w:t>Enfatiza a importância de descobrir as causas-raiz para enfrentar os desafios de frequência com sucesso.</w:t>
      </w:r>
    </w:p>
    <w:p w14:paraId="120A7070" w14:textId="77777777" w:rsidR="002E475C" w:rsidRPr="00CC1CB4" w:rsidRDefault="00000000">
      <w:pPr>
        <w:pStyle w:val="a6"/>
        <w:numPr>
          <w:ilvl w:val="0"/>
          <w:numId w:val="136"/>
        </w:numPr>
        <w:tabs>
          <w:tab w:val="clear" w:pos="360"/>
          <w:tab w:val="num" w:pos="720"/>
        </w:tabs>
        <w:spacing w:after="120" w:line="259" w:lineRule="auto"/>
        <w:ind w:left="720"/>
        <w:contextualSpacing w:val="0"/>
        <w:rPr>
          <w:rFonts w:eastAsia="Times New Roman" w:cs="Times New Roman"/>
          <w:lang w:val="es-ES"/>
        </w:rPr>
      </w:pPr>
      <w:r>
        <w:rPr>
          <w:rFonts w:eastAsia="Times New Roman" w:cs="Times New Roman"/>
          <w:lang w:val="pt-BR"/>
        </w:rPr>
        <w:t>Apresenta uma pergunta crítica: Como as soluções podem ser implementadas sem compreender completamente as causas básicas?</w:t>
      </w:r>
    </w:p>
    <w:p w14:paraId="3588365B" w14:textId="77777777" w:rsidR="002E475C" w:rsidRPr="00CC1CB4" w:rsidRDefault="00000000">
      <w:pPr>
        <w:pStyle w:val="a6"/>
        <w:numPr>
          <w:ilvl w:val="0"/>
          <w:numId w:val="136"/>
        </w:numPr>
        <w:tabs>
          <w:tab w:val="clear" w:pos="360"/>
          <w:tab w:val="num" w:pos="720"/>
        </w:tabs>
        <w:spacing w:after="120" w:line="259" w:lineRule="auto"/>
        <w:ind w:left="720"/>
        <w:contextualSpacing w:val="0"/>
        <w:rPr>
          <w:rFonts w:eastAsia="Times New Roman" w:cs="Times New Roman"/>
          <w:lang w:val="es-ES"/>
        </w:rPr>
      </w:pPr>
      <w:r>
        <w:rPr>
          <w:rFonts w:eastAsia="Times New Roman" w:cs="Times New Roman"/>
          <w:lang w:val="pt-BR"/>
        </w:rPr>
        <w:t>Reconhece uma diferença nas questões de frequência entre os anos pré-escolares e 8ª e o ensino médio.</w:t>
      </w:r>
    </w:p>
    <w:p w14:paraId="459A0757" w14:textId="77777777" w:rsidR="002E475C" w:rsidRPr="00CC1CB4" w:rsidRDefault="00000000">
      <w:pPr>
        <w:pStyle w:val="a6"/>
        <w:numPr>
          <w:ilvl w:val="0"/>
          <w:numId w:val="155"/>
        </w:numPr>
        <w:tabs>
          <w:tab w:val="clear" w:pos="360"/>
          <w:tab w:val="num" w:pos="720"/>
        </w:tabs>
        <w:spacing w:after="120" w:line="259" w:lineRule="auto"/>
        <w:ind w:left="720"/>
        <w:contextualSpacing w:val="0"/>
        <w:rPr>
          <w:rFonts w:eastAsia="Times New Roman" w:cs="Times New Roman"/>
          <w:lang w:val="es-ES"/>
        </w:rPr>
      </w:pPr>
      <w:r>
        <w:rPr>
          <w:rFonts w:eastAsia="Times New Roman" w:cs="Times New Roman"/>
          <w:lang w:val="pt-BR"/>
        </w:rPr>
        <w:t>A participação é crucial para o sucesso acadêmico de um aluno, com o apoio dos pais sendo essencial.</w:t>
      </w:r>
    </w:p>
    <w:p w14:paraId="41187CFB" w14:textId="77777777" w:rsidR="002E475C" w:rsidRPr="00CC1CB4" w:rsidRDefault="00000000">
      <w:pPr>
        <w:pStyle w:val="a6"/>
        <w:numPr>
          <w:ilvl w:val="0"/>
          <w:numId w:val="155"/>
        </w:numPr>
        <w:tabs>
          <w:tab w:val="clear" w:pos="360"/>
          <w:tab w:val="num" w:pos="720"/>
        </w:tabs>
        <w:spacing w:after="120" w:line="259" w:lineRule="auto"/>
        <w:ind w:left="720"/>
        <w:contextualSpacing w:val="0"/>
        <w:rPr>
          <w:rFonts w:eastAsia="Times New Roman" w:cs="Times New Roman"/>
          <w:lang w:val="es-ES"/>
        </w:rPr>
      </w:pPr>
      <w:r>
        <w:rPr>
          <w:rFonts w:eastAsia="Times New Roman" w:cs="Times New Roman"/>
          <w:lang w:val="pt-BR"/>
        </w:rPr>
        <w:t>Algumas famílias podem precisar retirar seus filhos para observâncias religiosas não alinhadas com o calendário escolar.</w:t>
      </w:r>
    </w:p>
    <w:p w14:paraId="637F83FF" w14:textId="77777777" w:rsidR="002E475C" w:rsidRPr="00CC1CB4" w:rsidRDefault="00000000">
      <w:pPr>
        <w:pStyle w:val="a6"/>
        <w:numPr>
          <w:ilvl w:val="0"/>
          <w:numId w:val="155"/>
        </w:numPr>
        <w:tabs>
          <w:tab w:val="clear" w:pos="360"/>
          <w:tab w:val="num" w:pos="720"/>
        </w:tabs>
        <w:spacing w:after="120" w:line="259" w:lineRule="auto"/>
        <w:ind w:left="720"/>
        <w:contextualSpacing w:val="0"/>
        <w:rPr>
          <w:rFonts w:eastAsia="Times New Roman" w:cs="Times New Roman"/>
          <w:lang w:val="es-ES"/>
        </w:rPr>
      </w:pPr>
      <w:r>
        <w:rPr>
          <w:rFonts w:eastAsia="Times New Roman" w:cs="Times New Roman"/>
          <w:lang w:val="pt-BR"/>
        </w:rPr>
        <w:t>Abordar o absenteísmo crônico é vital para garantir que todos os alunos estejam consistentemente envolvidos na aprendizagem.</w:t>
      </w:r>
    </w:p>
    <w:p w14:paraId="2DF7AD2C" w14:textId="77777777" w:rsidR="002E475C" w:rsidRPr="00CC1CB4" w:rsidRDefault="00000000">
      <w:pPr>
        <w:pStyle w:val="a6"/>
        <w:numPr>
          <w:ilvl w:val="0"/>
          <w:numId w:val="155"/>
        </w:numPr>
        <w:tabs>
          <w:tab w:val="clear" w:pos="360"/>
          <w:tab w:val="num" w:pos="720"/>
        </w:tabs>
        <w:spacing w:after="120" w:line="259" w:lineRule="auto"/>
        <w:ind w:left="720"/>
        <w:contextualSpacing w:val="0"/>
        <w:rPr>
          <w:rFonts w:eastAsia="Times New Roman" w:cs="Times New Roman"/>
          <w:lang w:val="es-ES"/>
        </w:rPr>
      </w:pPr>
      <w:r>
        <w:rPr>
          <w:rFonts w:eastAsia="Times New Roman" w:cs="Times New Roman"/>
          <w:lang w:val="pt-BR"/>
        </w:rPr>
        <w:t>Fatores como lidar com vários empregos e rotinas matinais podem contribuir para ausências escolares, ressaltando a necessidade de recursos dos pais.</w:t>
      </w:r>
    </w:p>
    <w:p w14:paraId="11BB3B2B" w14:textId="77777777" w:rsidR="002E475C" w:rsidRPr="00CC1CB4" w:rsidRDefault="00000000">
      <w:pPr>
        <w:pStyle w:val="a6"/>
        <w:numPr>
          <w:ilvl w:val="0"/>
          <w:numId w:val="155"/>
        </w:numPr>
        <w:tabs>
          <w:tab w:val="clear" w:pos="360"/>
          <w:tab w:val="num" w:pos="720"/>
        </w:tabs>
        <w:spacing w:after="120" w:line="259" w:lineRule="auto"/>
        <w:ind w:left="720"/>
        <w:contextualSpacing w:val="0"/>
        <w:rPr>
          <w:rFonts w:eastAsia="Times New Roman" w:cs="Times New Roman"/>
          <w:lang w:val="es-ES"/>
        </w:rPr>
      </w:pPr>
      <w:r>
        <w:rPr>
          <w:rFonts w:eastAsia="Times New Roman" w:cs="Times New Roman"/>
          <w:lang w:val="pt-BR"/>
        </w:rPr>
        <w:lastRenderedPageBreak/>
        <w:t>A colaboração com pais, escolas e programas comunitários é fundamental para melhorar as taxas de frequência e atender às necessidades dos alunos.</w:t>
      </w:r>
    </w:p>
    <w:p w14:paraId="56D98D5A" w14:textId="77777777" w:rsidR="002E475C" w:rsidRPr="00CC1CB4" w:rsidRDefault="00000000">
      <w:pPr>
        <w:pStyle w:val="a6"/>
        <w:numPr>
          <w:ilvl w:val="0"/>
          <w:numId w:val="155"/>
        </w:numPr>
        <w:tabs>
          <w:tab w:val="clear" w:pos="360"/>
          <w:tab w:val="num" w:pos="720"/>
        </w:tabs>
        <w:spacing w:after="120" w:line="259" w:lineRule="auto"/>
        <w:ind w:left="720"/>
        <w:contextualSpacing w:val="0"/>
        <w:rPr>
          <w:rFonts w:eastAsia="Times New Roman" w:cs="Times New Roman"/>
          <w:lang w:val="es-ES"/>
        </w:rPr>
      </w:pPr>
      <w:r>
        <w:rPr>
          <w:rFonts w:eastAsia="Times New Roman" w:cs="Times New Roman"/>
          <w:lang w:val="pt-BR"/>
        </w:rPr>
        <w:t>Obter percepções de modelos e distritos bem-sucedidos pode fornecer estratégias valiosas para promover a participação.</w:t>
      </w:r>
    </w:p>
    <w:p w14:paraId="7310A064" w14:textId="77777777" w:rsidR="002E475C" w:rsidRPr="00CC1CB4" w:rsidRDefault="00000000">
      <w:pPr>
        <w:pStyle w:val="a6"/>
        <w:numPr>
          <w:ilvl w:val="0"/>
          <w:numId w:val="155"/>
        </w:numPr>
        <w:tabs>
          <w:tab w:val="clear" w:pos="360"/>
          <w:tab w:val="num" w:pos="720"/>
        </w:tabs>
        <w:spacing w:after="160" w:line="259" w:lineRule="auto"/>
        <w:ind w:left="720"/>
        <w:rPr>
          <w:rFonts w:eastAsia="Times New Roman" w:cs="Times New Roman"/>
          <w:lang w:val="es-ES"/>
        </w:rPr>
      </w:pPr>
      <w:r>
        <w:rPr>
          <w:rFonts w:eastAsia="Times New Roman" w:cs="Times New Roman"/>
          <w:lang w:val="pt-BR"/>
        </w:rPr>
        <w:t>O Attendance Works oferece recursos e experiência para abordar o absenteísmo crônico.</w:t>
      </w:r>
    </w:p>
    <w:p w14:paraId="5FE60F57" w14:textId="77777777" w:rsidR="00EC5492" w:rsidRPr="00CC1CB4" w:rsidRDefault="00000000" w:rsidP="00EC5492">
      <w:pPr>
        <w:pStyle w:val="5"/>
        <w:rPr>
          <w:lang w:val="es-ES"/>
        </w:rPr>
      </w:pPr>
      <w:r>
        <w:rPr>
          <w:rFonts w:ascii="Cambria" w:eastAsia="Cambria" w:hAnsi="Cambria" w:cs="Times New Roman"/>
          <w:bCs/>
          <w:lang w:val="pt-BR"/>
        </w:rPr>
        <w:t>Pergunta 2: Isenções de IEP</w:t>
      </w:r>
    </w:p>
    <w:p w14:paraId="17E775EB" w14:textId="77777777" w:rsidR="002E475C" w:rsidRPr="00CC1CB4" w:rsidRDefault="00000000" w:rsidP="00EC5492">
      <w:pPr>
        <w:rPr>
          <w:b/>
          <w:bCs/>
          <w:color w:val="074F6A"/>
          <w:lang w:val="es-ES"/>
        </w:rPr>
      </w:pPr>
      <w:r>
        <w:rPr>
          <w:rFonts w:eastAsia="Times New Roman" w:cs="Arial"/>
          <w:b/>
          <w:bCs/>
          <w:color w:val="074F6A"/>
          <w:lang w:val="pt-BR"/>
        </w:rPr>
        <w:t>Essa medida proposta aborda a preocupação de que a taxa de formação não inclua alunos que se formaram por meio de isenções do IEP?</w:t>
      </w:r>
    </w:p>
    <w:p w14:paraId="25A36EC5" w14:textId="77777777" w:rsidR="002E475C" w:rsidRPr="00EC5492" w:rsidRDefault="00000000" w:rsidP="00EC5492">
      <w:pPr>
        <w:pStyle w:val="6"/>
      </w:pPr>
      <w:r>
        <w:rPr>
          <w:rFonts w:ascii="Cambria" w:eastAsia="Cambria" w:hAnsi="Cambria" w:cs="Arial"/>
          <w:lang w:val="pt-BR"/>
        </w:rPr>
        <w:t>Respostas</w:t>
      </w:r>
    </w:p>
    <w:p w14:paraId="09DD5077" w14:textId="77777777" w:rsidR="002E475C" w:rsidRPr="00CC1CB4" w:rsidRDefault="00000000">
      <w:pPr>
        <w:pStyle w:val="a6"/>
        <w:numPr>
          <w:ilvl w:val="0"/>
          <w:numId w:val="138"/>
        </w:numPr>
        <w:spacing w:after="120" w:line="259" w:lineRule="auto"/>
        <w:contextualSpacing w:val="0"/>
        <w:rPr>
          <w:rFonts w:eastAsia="Times New Roman" w:cs="Times New Roman"/>
          <w:lang w:val="es-ES"/>
        </w:rPr>
      </w:pPr>
      <w:r>
        <w:rPr>
          <w:rFonts w:eastAsia="Times New Roman" w:cs="Times New Roman"/>
          <w:lang w:val="pt-BR"/>
        </w:rPr>
        <w:t>Aproximando-se do alinhamento com as políticas estaduais de formação.</w:t>
      </w:r>
    </w:p>
    <w:p w14:paraId="0A6490FE" w14:textId="77777777" w:rsidR="002E475C" w:rsidRPr="00CC1CB4" w:rsidRDefault="00000000">
      <w:pPr>
        <w:pStyle w:val="a6"/>
        <w:numPr>
          <w:ilvl w:val="0"/>
          <w:numId w:val="138"/>
        </w:numPr>
        <w:spacing w:after="120" w:line="259" w:lineRule="auto"/>
        <w:contextualSpacing w:val="0"/>
        <w:rPr>
          <w:rFonts w:eastAsia="Times New Roman" w:cs="Times New Roman"/>
          <w:lang w:val="es-ES"/>
        </w:rPr>
      </w:pPr>
      <w:r>
        <w:rPr>
          <w:rFonts w:eastAsia="Times New Roman" w:cs="Times New Roman"/>
          <w:lang w:val="pt-BR"/>
        </w:rPr>
        <w:t>Acordo positivo com a medida, aproximando as partes interessadas.</w:t>
      </w:r>
    </w:p>
    <w:p w14:paraId="4F1B16BF" w14:textId="77777777" w:rsidR="002E475C" w:rsidRPr="00CC1CB4" w:rsidRDefault="00000000">
      <w:pPr>
        <w:pStyle w:val="a6"/>
        <w:numPr>
          <w:ilvl w:val="0"/>
          <w:numId w:val="138"/>
        </w:numPr>
        <w:spacing w:after="120" w:line="259" w:lineRule="auto"/>
        <w:contextualSpacing w:val="0"/>
        <w:rPr>
          <w:rFonts w:eastAsia="Times New Roman" w:cs="Times New Roman"/>
          <w:lang w:val="es-ES"/>
        </w:rPr>
      </w:pPr>
      <w:r>
        <w:rPr>
          <w:rFonts w:eastAsia="Times New Roman" w:cs="Times New Roman"/>
          <w:lang w:val="pt-BR"/>
        </w:rPr>
        <w:t>Valorização pelos esforços de rebranding, observando que as escolas de ensino fundamental podem estabelecer as bases para abordar o absenteísmo crônico.</w:t>
      </w:r>
    </w:p>
    <w:p w14:paraId="5D44793F" w14:textId="77777777" w:rsidR="002E475C" w:rsidRPr="00CC1CB4" w:rsidRDefault="00000000">
      <w:pPr>
        <w:pStyle w:val="a6"/>
        <w:numPr>
          <w:ilvl w:val="0"/>
          <w:numId w:val="138"/>
        </w:numPr>
        <w:spacing w:after="120" w:line="259" w:lineRule="auto"/>
        <w:contextualSpacing w:val="0"/>
        <w:rPr>
          <w:rFonts w:eastAsia="Times New Roman" w:cs="Times New Roman"/>
          <w:lang w:val="es-ES"/>
        </w:rPr>
      </w:pPr>
      <w:r>
        <w:rPr>
          <w:rFonts w:eastAsia="Times New Roman" w:cs="Times New Roman"/>
          <w:lang w:val="pt-BR"/>
        </w:rPr>
        <w:t>Questionamento se fatores externos que afetam a “porcentagem” estão sendo considerados.</w:t>
      </w:r>
    </w:p>
    <w:p w14:paraId="26EC5A41" w14:textId="77777777" w:rsidR="002E475C" w:rsidRPr="00CC1CB4" w:rsidRDefault="00000000">
      <w:pPr>
        <w:pStyle w:val="a6"/>
        <w:numPr>
          <w:ilvl w:val="0"/>
          <w:numId w:val="138"/>
        </w:numPr>
        <w:spacing w:after="120" w:line="259" w:lineRule="auto"/>
        <w:contextualSpacing w:val="0"/>
        <w:rPr>
          <w:rFonts w:eastAsia="Times New Roman" w:cs="Times New Roman"/>
          <w:lang w:val="es-ES"/>
        </w:rPr>
      </w:pPr>
      <w:r>
        <w:rPr>
          <w:rFonts w:eastAsia="Times New Roman" w:cs="Times New Roman"/>
          <w:lang w:val="pt-BR"/>
        </w:rPr>
        <w:t>Reconhecimento da utilidade dos recursos explicando os indicadores, sugerindo que cada indicador deve ser acompanhado por um recurso.</w:t>
      </w:r>
    </w:p>
    <w:p w14:paraId="544F2676" w14:textId="77777777" w:rsidR="002E475C" w:rsidRPr="00CC1CB4" w:rsidRDefault="00000000">
      <w:pPr>
        <w:pStyle w:val="a6"/>
        <w:numPr>
          <w:ilvl w:val="0"/>
          <w:numId w:val="138"/>
        </w:numPr>
        <w:spacing w:after="120" w:line="259" w:lineRule="auto"/>
        <w:contextualSpacing w:val="0"/>
        <w:rPr>
          <w:rFonts w:eastAsia="Times New Roman" w:cs="Times New Roman"/>
          <w:lang w:val="es-ES"/>
        </w:rPr>
      </w:pPr>
      <w:r>
        <w:rPr>
          <w:rFonts w:eastAsia="Times New Roman" w:cs="Times New Roman"/>
          <w:lang w:val="pt-BR"/>
        </w:rPr>
        <w:t>Sugestões para os distritos utilizarem ferramentas para esclarecer indicadores a fim de obter melhor compreensão.</w:t>
      </w:r>
    </w:p>
    <w:p w14:paraId="7B835534" w14:textId="77777777" w:rsidR="002E475C" w:rsidRPr="00CC1CB4" w:rsidRDefault="00000000">
      <w:pPr>
        <w:pStyle w:val="a6"/>
        <w:numPr>
          <w:ilvl w:val="0"/>
          <w:numId w:val="138"/>
        </w:numPr>
        <w:spacing w:after="120" w:line="259" w:lineRule="auto"/>
        <w:contextualSpacing w:val="0"/>
        <w:rPr>
          <w:rFonts w:eastAsia="Times New Roman" w:cs="Times New Roman"/>
          <w:lang w:val="es-ES"/>
        </w:rPr>
      </w:pPr>
      <w:r>
        <w:rPr>
          <w:rFonts w:eastAsia="Times New Roman" w:cs="Times New Roman"/>
          <w:lang w:val="pt-BR"/>
        </w:rPr>
        <w:t>Ênfase na compreensão de que o absenteísmo crônico afeta o futuro dos alunos, levando à consideração de abordar o problema a partir do ensino fundamental.</w:t>
      </w:r>
    </w:p>
    <w:p w14:paraId="7868B202" w14:textId="77777777" w:rsidR="002E475C" w:rsidRPr="00CC1CB4" w:rsidRDefault="00000000">
      <w:pPr>
        <w:pStyle w:val="a6"/>
        <w:numPr>
          <w:ilvl w:val="0"/>
          <w:numId w:val="138"/>
        </w:numPr>
        <w:spacing w:after="120" w:line="259" w:lineRule="auto"/>
        <w:contextualSpacing w:val="0"/>
        <w:rPr>
          <w:rFonts w:eastAsia="Times New Roman" w:cs="Times New Roman"/>
          <w:lang w:val="es-ES"/>
        </w:rPr>
      </w:pPr>
      <w:r>
        <w:rPr>
          <w:rFonts w:eastAsia="Times New Roman" w:cs="Times New Roman"/>
          <w:lang w:val="pt-BR"/>
        </w:rPr>
        <w:t>Questionar se questões sistêmicas exclusivas de cada distrito estão sendo consideradas, pois diferentes escolas podem enfrentar desafios sistêmicos não divulgados.</w:t>
      </w:r>
    </w:p>
    <w:p w14:paraId="6381FC52" w14:textId="77777777" w:rsidR="002E475C" w:rsidRPr="00CC1CB4" w:rsidRDefault="00000000">
      <w:pPr>
        <w:pStyle w:val="a6"/>
        <w:numPr>
          <w:ilvl w:val="0"/>
          <w:numId w:val="152"/>
        </w:numPr>
        <w:spacing w:after="120" w:line="259" w:lineRule="auto"/>
        <w:contextualSpacing w:val="0"/>
        <w:rPr>
          <w:rFonts w:cs="Times New Roman"/>
          <w:sz w:val="20"/>
          <w:szCs w:val="20"/>
          <w:lang w:val="es-ES"/>
        </w:rPr>
      </w:pPr>
      <w:r>
        <w:rPr>
          <w:rFonts w:eastAsia="Times New Roman" w:cs="Times New Roman"/>
          <w:lang w:val="pt-BR"/>
        </w:rPr>
        <w:t>Preocupação com possíveis consequências não intencionais que possam dificultar a abordagem do absenteísmo crônico.</w:t>
      </w:r>
    </w:p>
    <w:p w14:paraId="0CB9D0E6" w14:textId="77777777" w:rsidR="002E475C" w:rsidRPr="00CC1CB4" w:rsidRDefault="00000000">
      <w:pPr>
        <w:pStyle w:val="a6"/>
        <w:numPr>
          <w:ilvl w:val="0"/>
          <w:numId w:val="151"/>
        </w:numPr>
        <w:spacing w:after="120" w:line="264" w:lineRule="auto"/>
        <w:contextualSpacing w:val="0"/>
        <w:rPr>
          <w:rFonts w:cs="Times New Roman"/>
          <w:sz w:val="20"/>
          <w:szCs w:val="20"/>
          <w:lang w:val="es-ES"/>
        </w:rPr>
      </w:pPr>
      <w:r>
        <w:rPr>
          <w:rFonts w:eastAsia="Times New Roman" w:cs="Times New Roman"/>
          <w:lang w:val="pt-BR"/>
        </w:rPr>
        <w:t>Desaprovação da prática atual de esperar até o ensino médio para abordar o absenteísmo, sugerindo que esse atraso poderia contribuir para o problema.</w:t>
      </w:r>
    </w:p>
    <w:p w14:paraId="4F8FCBBD" w14:textId="77777777" w:rsidR="002E475C" w:rsidRPr="00CC1CB4" w:rsidRDefault="00000000">
      <w:pPr>
        <w:pStyle w:val="a6"/>
        <w:numPr>
          <w:ilvl w:val="0"/>
          <w:numId w:val="151"/>
        </w:numPr>
        <w:spacing w:after="120" w:line="264" w:lineRule="auto"/>
        <w:contextualSpacing w:val="0"/>
        <w:rPr>
          <w:rFonts w:cs="Times New Roman"/>
          <w:sz w:val="20"/>
          <w:szCs w:val="20"/>
          <w:lang w:val="es-ES"/>
        </w:rPr>
      </w:pPr>
      <w:r>
        <w:rPr>
          <w:rFonts w:eastAsia="Times New Roman" w:cs="Times New Roman"/>
          <w:lang w:val="pt-BR"/>
        </w:rPr>
        <w:t>Questiona o papel de escolas individuais consideradas como um distrito, particularmente escolas de ensino médio regionais que matriculam alunos de vários distritos circundantes e propondo que iniciar intervenções no ensino fundamental pode ser mais eficaz.</w:t>
      </w:r>
    </w:p>
    <w:p w14:paraId="5A87F6BD" w14:textId="77777777" w:rsidR="002E475C" w:rsidRPr="00CC1CB4" w:rsidRDefault="00000000">
      <w:pPr>
        <w:pStyle w:val="a6"/>
        <w:numPr>
          <w:ilvl w:val="0"/>
          <w:numId w:val="151"/>
        </w:numPr>
        <w:spacing w:after="120" w:line="264" w:lineRule="auto"/>
        <w:contextualSpacing w:val="0"/>
        <w:rPr>
          <w:rFonts w:cs="Times New Roman"/>
          <w:sz w:val="20"/>
          <w:szCs w:val="20"/>
          <w:lang w:val="es-ES"/>
        </w:rPr>
      </w:pPr>
      <w:r>
        <w:rPr>
          <w:rFonts w:eastAsia="Times New Roman" w:cs="Times New Roman"/>
          <w:lang w:val="pt-BR"/>
        </w:rPr>
        <w:t>Feedback positivo sobre os esforços de rebranding relacionados à medida.</w:t>
      </w:r>
    </w:p>
    <w:p w14:paraId="2D118BC6" w14:textId="77777777" w:rsidR="002E475C" w:rsidRPr="00CC1CB4" w:rsidRDefault="00000000">
      <w:pPr>
        <w:pStyle w:val="a6"/>
        <w:numPr>
          <w:ilvl w:val="0"/>
          <w:numId w:val="135"/>
        </w:numPr>
        <w:spacing w:after="120" w:line="264" w:lineRule="auto"/>
        <w:contextualSpacing w:val="0"/>
        <w:rPr>
          <w:rFonts w:eastAsia="Times New Roman" w:cs="Times New Roman"/>
          <w:lang w:val="es-ES"/>
        </w:rPr>
      </w:pPr>
      <w:r>
        <w:rPr>
          <w:rFonts w:eastAsia="Times New Roman" w:cs="Times New Roman"/>
          <w:lang w:val="pt-BR"/>
        </w:rPr>
        <w:t>Expressa incerteza sobre como o proposto medirá e abordará especificamente as necessidades dos alunos com Programas de Educação Individualizada (IEPs).</w:t>
      </w:r>
    </w:p>
    <w:p w14:paraId="152BFFFA" w14:textId="77777777" w:rsidR="002E475C" w:rsidRPr="00CC1CB4" w:rsidRDefault="00000000">
      <w:pPr>
        <w:pStyle w:val="a6"/>
        <w:numPr>
          <w:ilvl w:val="0"/>
          <w:numId w:val="135"/>
        </w:numPr>
        <w:spacing w:after="120" w:line="264" w:lineRule="auto"/>
        <w:contextualSpacing w:val="0"/>
        <w:rPr>
          <w:rFonts w:eastAsia="Times New Roman" w:cs="Times New Roman"/>
          <w:lang w:val="es-ES"/>
        </w:rPr>
      </w:pPr>
      <w:r>
        <w:rPr>
          <w:rFonts w:eastAsia="Times New Roman" w:cs="Times New Roman"/>
          <w:lang w:val="pt-BR"/>
        </w:rPr>
        <w:t>Levanta preocupações sobre como a inclusão de alunos que se formaram por meio de isenções do IEP será refletida nos relatórios de desempenho.</w:t>
      </w:r>
    </w:p>
    <w:p w14:paraId="5407D384" w14:textId="77777777" w:rsidR="002E475C" w:rsidRPr="00CC1CB4" w:rsidRDefault="00000000">
      <w:pPr>
        <w:pStyle w:val="a6"/>
        <w:numPr>
          <w:ilvl w:val="0"/>
          <w:numId w:val="135"/>
        </w:numPr>
        <w:spacing w:after="120" w:line="264" w:lineRule="auto"/>
        <w:contextualSpacing w:val="0"/>
        <w:rPr>
          <w:rFonts w:eastAsia="Times New Roman" w:cs="Times New Roman"/>
          <w:lang w:val="es-ES"/>
        </w:rPr>
      </w:pPr>
      <w:r>
        <w:rPr>
          <w:rFonts w:eastAsia="Times New Roman" w:cs="Times New Roman"/>
          <w:lang w:val="pt-BR"/>
        </w:rPr>
        <w:t>Levanta preocupações sobre o impacto potencial na mobilidade dos alunos, particularmente para alunos com IEPs que podem estar fazendo a transição entre escolas, saindo do distrito ou se transferindo para escolas especializadas.</w:t>
      </w:r>
    </w:p>
    <w:p w14:paraId="4B4A438C" w14:textId="77777777" w:rsidR="002E475C" w:rsidRPr="00CC1CB4" w:rsidRDefault="00000000">
      <w:pPr>
        <w:pStyle w:val="a6"/>
        <w:numPr>
          <w:ilvl w:val="0"/>
          <w:numId w:val="145"/>
        </w:numPr>
        <w:spacing w:after="120" w:line="264" w:lineRule="auto"/>
        <w:contextualSpacing w:val="0"/>
        <w:rPr>
          <w:rFonts w:eastAsia="Times New Roman" w:cs="Times New Roman"/>
          <w:sz w:val="24"/>
          <w:szCs w:val="24"/>
          <w:lang w:val="es-ES"/>
        </w:rPr>
      </w:pPr>
      <w:r>
        <w:rPr>
          <w:rFonts w:eastAsia="Times New Roman" w:cs="Times New Roman"/>
          <w:lang w:val="pt-BR"/>
        </w:rPr>
        <w:lastRenderedPageBreak/>
        <w:t>Considera as possíveis implicações da implementação de uma “penalidade” para alunos com IEPs e perguntas se isso se alinhar com o objetivo da ESSA de fornecer recursos adicionais.</w:t>
      </w:r>
    </w:p>
    <w:p w14:paraId="7B0E2E78" w14:textId="77777777" w:rsidR="002E475C" w:rsidRPr="00CC1CB4" w:rsidRDefault="00000000">
      <w:pPr>
        <w:pStyle w:val="a6"/>
        <w:numPr>
          <w:ilvl w:val="0"/>
          <w:numId w:val="145"/>
        </w:numPr>
        <w:spacing w:after="120" w:line="264" w:lineRule="auto"/>
        <w:contextualSpacing w:val="0"/>
        <w:rPr>
          <w:rFonts w:eastAsia="Times New Roman" w:cs="Times New Roman"/>
          <w:lang w:val="es-ES"/>
        </w:rPr>
      </w:pPr>
      <w:r>
        <w:rPr>
          <w:rFonts w:eastAsia="Times New Roman" w:cs="Times New Roman"/>
          <w:lang w:val="pt-BR"/>
        </w:rPr>
        <w:t>Examina a conexão entre a medida e a alocação de recursos, questionando se o aumento na porcentagem se traduz em recursos aprimorados e se esses recursos são, em última análise, benéficos ou prejudiciais.</w:t>
      </w:r>
    </w:p>
    <w:p w14:paraId="6A199EE9" w14:textId="77777777" w:rsidR="002E475C" w:rsidRPr="00CC1CB4" w:rsidRDefault="00000000">
      <w:pPr>
        <w:pStyle w:val="a6"/>
        <w:numPr>
          <w:ilvl w:val="0"/>
          <w:numId w:val="145"/>
        </w:numPr>
        <w:spacing w:after="120" w:line="264" w:lineRule="auto"/>
        <w:contextualSpacing w:val="0"/>
        <w:rPr>
          <w:rFonts w:eastAsia="Times New Roman" w:cs="Times New Roman"/>
          <w:lang w:val="es-ES"/>
        </w:rPr>
      </w:pPr>
      <w:r>
        <w:rPr>
          <w:rFonts w:eastAsia="Times New Roman" w:cs="Times New Roman"/>
          <w:lang w:val="pt-BR"/>
        </w:rPr>
        <w:t>Defende a utilização de várias medidas em vez de confiar apenas em uma métrica, levando a uma discussão sobre a adequação da medida proposta.</w:t>
      </w:r>
    </w:p>
    <w:p w14:paraId="73F25172" w14:textId="77777777" w:rsidR="002E475C" w:rsidRPr="00CC1CB4" w:rsidRDefault="00000000">
      <w:pPr>
        <w:pStyle w:val="a6"/>
        <w:numPr>
          <w:ilvl w:val="0"/>
          <w:numId w:val="145"/>
        </w:numPr>
        <w:spacing w:after="120" w:line="264" w:lineRule="auto"/>
        <w:contextualSpacing w:val="0"/>
        <w:rPr>
          <w:rFonts w:eastAsia="Times New Roman" w:cs="Times New Roman"/>
          <w:lang w:val="es-ES"/>
        </w:rPr>
      </w:pPr>
      <w:r>
        <w:rPr>
          <w:rFonts w:eastAsia="Times New Roman" w:cs="Times New Roman"/>
          <w:lang w:val="pt-BR"/>
        </w:rPr>
        <w:t>Consultas sobre implementações anteriores de medidas semelhantes em outros estados e as lições que podem ser aprendidas com essas experiências.</w:t>
      </w:r>
    </w:p>
    <w:p w14:paraId="322B6578" w14:textId="77777777" w:rsidR="002E475C" w:rsidRPr="00CC1CB4" w:rsidRDefault="00000000">
      <w:pPr>
        <w:pStyle w:val="a6"/>
        <w:numPr>
          <w:ilvl w:val="0"/>
          <w:numId w:val="145"/>
        </w:numPr>
        <w:spacing w:after="120" w:line="264" w:lineRule="auto"/>
        <w:contextualSpacing w:val="0"/>
        <w:rPr>
          <w:rFonts w:eastAsia="Times New Roman" w:cs="Times New Roman"/>
          <w:lang w:val="es-ES"/>
        </w:rPr>
      </w:pPr>
      <w:r>
        <w:rPr>
          <w:rFonts w:eastAsia="Times New Roman" w:cs="Times New Roman"/>
          <w:lang w:val="pt-BR"/>
        </w:rPr>
        <w:t>Sugere começar com um peso de 0 por cento para a métrica inicialmente e descreve um cronograma para gradativamente colocá-la em fases em mais de dois anos, se comprovadamente eficaz.</w:t>
      </w:r>
    </w:p>
    <w:p w14:paraId="45E08B87" w14:textId="77777777" w:rsidR="002E475C" w:rsidRPr="00CC1CB4" w:rsidRDefault="00000000">
      <w:pPr>
        <w:pStyle w:val="a6"/>
        <w:numPr>
          <w:ilvl w:val="0"/>
          <w:numId w:val="145"/>
        </w:numPr>
        <w:spacing w:after="120" w:line="264" w:lineRule="auto"/>
        <w:contextualSpacing w:val="0"/>
        <w:rPr>
          <w:rFonts w:eastAsia="Times New Roman" w:cs="Times New Roman"/>
          <w:lang w:val="es-ES"/>
        </w:rPr>
      </w:pPr>
      <w:r>
        <w:rPr>
          <w:rFonts w:eastAsia="Times New Roman" w:cs="Times New Roman"/>
          <w:lang w:val="pt-BR"/>
        </w:rPr>
        <w:t>Apoia a rotulagem da métrica com um descritor positivo, como “persistência”, para destacar seu foco pretendido no progresso e continuidade dos alunos.</w:t>
      </w:r>
    </w:p>
    <w:p w14:paraId="52559933" w14:textId="77777777" w:rsidR="002E475C" w:rsidRPr="00CC1CB4" w:rsidRDefault="00000000">
      <w:pPr>
        <w:pStyle w:val="a6"/>
        <w:numPr>
          <w:ilvl w:val="0"/>
          <w:numId w:val="146"/>
        </w:numPr>
        <w:spacing w:after="120" w:line="264" w:lineRule="auto"/>
        <w:contextualSpacing w:val="0"/>
        <w:rPr>
          <w:rFonts w:eastAsia="Times New Roman" w:cs="Times New Roman"/>
          <w:sz w:val="24"/>
          <w:szCs w:val="24"/>
          <w:lang w:val="es-ES"/>
        </w:rPr>
      </w:pPr>
      <w:r>
        <w:rPr>
          <w:rFonts w:eastAsia="Times New Roman" w:cs="Times New Roman"/>
          <w:lang w:val="pt-BR"/>
        </w:rPr>
        <w:t>Discorda da afirmação de que a medida proposta aborda adequadamente a preocupação dos alunos multilíngues, pois eles ainda não são contabilizados no relatório de formação.</w:t>
      </w:r>
    </w:p>
    <w:p w14:paraId="38E32D98" w14:textId="77777777" w:rsidR="002E475C" w:rsidRPr="00CC1CB4" w:rsidRDefault="00000000">
      <w:pPr>
        <w:pStyle w:val="a6"/>
        <w:numPr>
          <w:ilvl w:val="0"/>
          <w:numId w:val="146"/>
        </w:numPr>
        <w:spacing w:after="120" w:line="264" w:lineRule="auto"/>
        <w:contextualSpacing w:val="0"/>
        <w:rPr>
          <w:rFonts w:eastAsia="Times New Roman" w:cs="Times New Roman"/>
          <w:lang w:val="es-ES"/>
        </w:rPr>
      </w:pPr>
      <w:r>
        <w:rPr>
          <w:rFonts w:eastAsia="Times New Roman" w:cs="Times New Roman"/>
          <w:lang w:val="pt-BR"/>
        </w:rPr>
        <w:t>Reconhece que a medida captura alunos que se formaram, mas não podem ser contados em relatórios federais.</w:t>
      </w:r>
    </w:p>
    <w:p w14:paraId="7E58E18E" w14:textId="77777777" w:rsidR="002E475C" w:rsidRPr="00CC1CB4" w:rsidRDefault="00000000">
      <w:pPr>
        <w:pStyle w:val="a6"/>
        <w:numPr>
          <w:ilvl w:val="0"/>
          <w:numId w:val="147"/>
        </w:numPr>
        <w:spacing w:after="120" w:line="264" w:lineRule="auto"/>
        <w:contextualSpacing w:val="0"/>
        <w:rPr>
          <w:rFonts w:eastAsia="Times New Roman" w:cs="Times New Roman"/>
          <w:lang w:val="es-ES"/>
        </w:rPr>
      </w:pPr>
      <w:r>
        <w:rPr>
          <w:rFonts w:eastAsia="Times New Roman" w:cs="Times New Roman"/>
          <w:lang w:val="pt-BR"/>
        </w:rPr>
        <w:t>Faz uma pergunta sobre se a medida reflete com precisão o que os alunos estão fazendo depois de permanecer na escola, particularmente nos casos em que os alunos podem estar envelhecendo em vez de se formando.</w:t>
      </w:r>
    </w:p>
    <w:p w14:paraId="32D1ED69" w14:textId="77777777" w:rsidR="002E475C" w:rsidRPr="00CC1CB4" w:rsidRDefault="00000000">
      <w:pPr>
        <w:pStyle w:val="a6"/>
        <w:numPr>
          <w:ilvl w:val="0"/>
          <w:numId w:val="147"/>
        </w:numPr>
        <w:spacing w:after="120" w:line="264" w:lineRule="auto"/>
        <w:rPr>
          <w:rFonts w:eastAsia="Times New Roman" w:cs="Times New Roman"/>
          <w:lang w:val="es-ES"/>
        </w:rPr>
      </w:pPr>
      <w:r>
        <w:rPr>
          <w:rFonts w:eastAsia="Times New Roman" w:cs="Times New Roman"/>
          <w:lang w:val="pt-BR"/>
        </w:rPr>
        <w:t>Observa que a medida aborda certas preocupações, mas expressa falta de familiaridade com a forma como se relaciona especificamente com alunos com IEPs.</w:t>
      </w:r>
    </w:p>
    <w:p w14:paraId="3A8DB37B" w14:textId="77777777" w:rsidR="00EC5492" w:rsidRPr="00CC1CB4" w:rsidRDefault="00000000" w:rsidP="00EC5492">
      <w:pPr>
        <w:pStyle w:val="5"/>
        <w:rPr>
          <w:lang w:val="es-ES"/>
        </w:rPr>
      </w:pPr>
      <w:r>
        <w:rPr>
          <w:rFonts w:ascii="Cambria" w:eastAsia="Cambria" w:hAnsi="Cambria" w:cs="Times New Roman"/>
          <w:bCs/>
          <w:lang w:val="pt-BR"/>
        </w:rPr>
        <w:t>Pergunta 3: Métrica</w:t>
      </w:r>
    </w:p>
    <w:p w14:paraId="692B4375" w14:textId="77777777" w:rsidR="002E475C" w:rsidRPr="005223A6" w:rsidRDefault="00000000" w:rsidP="00EC5492">
      <w:pPr>
        <w:rPr>
          <w:b/>
          <w:bCs/>
          <w:color w:val="074F6A"/>
        </w:rPr>
      </w:pPr>
      <w:r>
        <w:rPr>
          <w:rFonts w:eastAsia="Times New Roman" w:cs="Arial"/>
          <w:b/>
          <w:bCs/>
          <w:color w:val="074F6A"/>
          <w:lang w:val="pt-BR"/>
        </w:rPr>
        <w:t xml:space="preserve">Você vê essa métrica sendo útil em um sistema de prestação de contas? Por que ou por que não? </w:t>
      </w:r>
    </w:p>
    <w:p w14:paraId="3BC7CE2C" w14:textId="77777777" w:rsidR="002E475C" w:rsidRPr="00EC5492" w:rsidRDefault="00000000" w:rsidP="00EC5492">
      <w:pPr>
        <w:pStyle w:val="6"/>
      </w:pPr>
      <w:r>
        <w:rPr>
          <w:rFonts w:ascii="Cambria" w:eastAsia="Cambria" w:hAnsi="Cambria" w:cs="Arial"/>
          <w:lang w:val="pt-BR"/>
        </w:rPr>
        <w:t>Respostas</w:t>
      </w:r>
    </w:p>
    <w:p w14:paraId="7B3D52AF" w14:textId="77777777" w:rsidR="002E475C" w:rsidRPr="00CC1CB4" w:rsidRDefault="00000000">
      <w:pPr>
        <w:pStyle w:val="a6"/>
        <w:numPr>
          <w:ilvl w:val="0"/>
          <w:numId w:val="148"/>
        </w:numPr>
        <w:spacing w:after="120" w:line="264" w:lineRule="auto"/>
        <w:rPr>
          <w:rFonts w:cs="Times New Roman"/>
          <w:sz w:val="24"/>
          <w:szCs w:val="24"/>
          <w:lang w:val="es-ES"/>
        </w:rPr>
      </w:pPr>
      <w:r>
        <w:rPr>
          <w:rFonts w:eastAsia="Times New Roman" w:cs="Times New Roman"/>
          <w:lang w:val="pt-BR"/>
        </w:rPr>
        <w:t>Valoriza a mudança significativa de uma conotação negativa, como absenteísmo crônico, para uma mais positiva, como persistência.</w:t>
      </w:r>
    </w:p>
    <w:p w14:paraId="7A9A0892" w14:textId="77777777" w:rsidR="002E475C" w:rsidRPr="00CC1CB4" w:rsidRDefault="00000000">
      <w:pPr>
        <w:pStyle w:val="a6"/>
        <w:numPr>
          <w:ilvl w:val="0"/>
          <w:numId w:val="148"/>
        </w:numPr>
        <w:spacing w:after="120" w:line="264" w:lineRule="auto"/>
        <w:rPr>
          <w:rFonts w:cs="Times New Roman"/>
          <w:lang w:val="es-ES"/>
        </w:rPr>
      </w:pPr>
      <w:r>
        <w:rPr>
          <w:rFonts w:eastAsia="Times New Roman" w:cs="Times New Roman"/>
          <w:lang w:val="pt-BR"/>
        </w:rPr>
        <w:t>Dá um exemplo de como a métrica pode fornecer uma visão mais abrangente das experiências dos alunos, como alunos que chegam no último ano depois de participar de outros programas.</w:t>
      </w:r>
    </w:p>
    <w:p w14:paraId="0247B2C4" w14:textId="77777777" w:rsidR="002E475C" w:rsidRPr="00CC1CB4" w:rsidRDefault="00000000">
      <w:pPr>
        <w:pStyle w:val="a6"/>
        <w:numPr>
          <w:ilvl w:val="0"/>
          <w:numId w:val="148"/>
        </w:numPr>
        <w:spacing w:after="120" w:line="264" w:lineRule="auto"/>
        <w:rPr>
          <w:rFonts w:cs="Times New Roman"/>
          <w:lang w:val="es-ES"/>
        </w:rPr>
      </w:pPr>
      <w:r>
        <w:rPr>
          <w:rFonts w:eastAsia="Times New Roman" w:cs="Times New Roman"/>
          <w:lang w:val="pt-BR"/>
        </w:rPr>
        <w:t>Defende o relato intencional de indicadores positivos para pintar um quadro holístico da realização e do progresso dos alunos.</w:t>
      </w:r>
    </w:p>
    <w:p w14:paraId="13A1C812" w14:textId="77777777" w:rsidR="002E475C" w:rsidRPr="00CC1CB4" w:rsidRDefault="00000000">
      <w:pPr>
        <w:pStyle w:val="a6"/>
        <w:numPr>
          <w:ilvl w:val="0"/>
          <w:numId w:val="149"/>
        </w:numPr>
        <w:spacing w:after="120" w:line="264" w:lineRule="auto"/>
        <w:rPr>
          <w:rFonts w:cs="Times New Roman"/>
          <w:sz w:val="24"/>
          <w:szCs w:val="24"/>
          <w:lang w:val="es-ES"/>
        </w:rPr>
      </w:pPr>
      <w:r>
        <w:rPr>
          <w:rFonts w:eastAsia="Times New Roman" w:cs="Times New Roman"/>
          <w:lang w:val="pt-BR"/>
        </w:rPr>
        <w:t>A métrica é “útil e lógica”.</w:t>
      </w:r>
    </w:p>
    <w:p w14:paraId="40851D3A" w14:textId="77777777" w:rsidR="002E475C" w:rsidRPr="00CC1CB4" w:rsidRDefault="00000000">
      <w:pPr>
        <w:pStyle w:val="a6"/>
        <w:numPr>
          <w:ilvl w:val="0"/>
          <w:numId w:val="149"/>
        </w:numPr>
        <w:spacing w:after="120" w:line="264" w:lineRule="auto"/>
        <w:rPr>
          <w:rFonts w:cs="Times New Roman"/>
          <w:lang w:val="es-ES"/>
        </w:rPr>
      </w:pPr>
      <w:r>
        <w:rPr>
          <w:rFonts w:eastAsia="Times New Roman" w:cs="Times New Roman"/>
          <w:lang w:val="pt-BR"/>
        </w:rPr>
        <w:t>Reconhece que a métrica indica o interesse de um aluno em concluir um programa.</w:t>
      </w:r>
    </w:p>
    <w:p w14:paraId="4DBF1DE0" w14:textId="77777777" w:rsidR="002E475C" w:rsidRPr="00CC1CB4" w:rsidRDefault="00000000">
      <w:pPr>
        <w:pStyle w:val="a6"/>
        <w:numPr>
          <w:ilvl w:val="0"/>
          <w:numId w:val="149"/>
        </w:numPr>
        <w:spacing w:after="120" w:line="264" w:lineRule="auto"/>
        <w:rPr>
          <w:rFonts w:cs="Times New Roman"/>
          <w:lang w:val="es-ES"/>
        </w:rPr>
      </w:pPr>
      <w:r>
        <w:rPr>
          <w:rFonts w:eastAsia="Times New Roman" w:cs="Times New Roman"/>
          <w:lang w:val="pt-BR"/>
        </w:rPr>
        <w:t>Enfatiza que os alunos que podem continuar sua educação podem incentivar os distritos a promover e manter o engajamento dos alunos na escola.</w:t>
      </w:r>
    </w:p>
    <w:p w14:paraId="37E9F21E" w14:textId="77777777" w:rsidR="002E475C" w:rsidRPr="00CC1CB4" w:rsidRDefault="00000000">
      <w:pPr>
        <w:pStyle w:val="a6"/>
        <w:numPr>
          <w:ilvl w:val="0"/>
          <w:numId w:val="150"/>
        </w:numPr>
        <w:spacing w:after="120" w:line="264" w:lineRule="auto"/>
        <w:rPr>
          <w:rFonts w:cs="Times New Roman"/>
          <w:sz w:val="24"/>
          <w:szCs w:val="24"/>
          <w:lang w:val="es-ES"/>
        </w:rPr>
      </w:pPr>
      <w:r>
        <w:rPr>
          <w:rFonts w:eastAsia="Times New Roman" w:cs="Times New Roman"/>
          <w:lang w:val="pt-BR"/>
        </w:rPr>
        <w:t>Reconhece que a métrica pode ser útil, mas enfatiza a importância da especificidade em relação aos tipos de ausências que estão sendo medidas.</w:t>
      </w:r>
    </w:p>
    <w:p w14:paraId="24FA3747" w14:textId="77777777" w:rsidR="002E475C" w:rsidRPr="00CC1CB4" w:rsidRDefault="00000000">
      <w:pPr>
        <w:pStyle w:val="a6"/>
        <w:numPr>
          <w:ilvl w:val="0"/>
          <w:numId w:val="150"/>
        </w:numPr>
        <w:spacing w:after="120" w:line="264" w:lineRule="auto"/>
        <w:rPr>
          <w:rFonts w:cs="Times New Roman"/>
          <w:lang w:val="es-ES"/>
        </w:rPr>
      </w:pPr>
      <w:r>
        <w:rPr>
          <w:rFonts w:eastAsia="Times New Roman" w:cs="Times New Roman"/>
          <w:lang w:val="pt-BR"/>
        </w:rPr>
        <w:lastRenderedPageBreak/>
        <w:t>Aprecia a flexibilidade da métrica na abordagem de casos especiais e valoriza a abordagem ponderada que entrou em seu desenvolvimento.</w:t>
      </w:r>
    </w:p>
    <w:p w14:paraId="2E27521F" w14:textId="77777777" w:rsidR="002E475C" w:rsidRPr="00CC1CB4" w:rsidRDefault="00000000">
      <w:pPr>
        <w:pStyle w:val="a6"/>
        <w:numPr>
          <w:ilvl w:val="0"/>
          <w:numId w:val="150"/>
        </w:numPr>
        <w:spacing w:after="120" w:line="264" w:lineRule="auto"/>
        <w:rPr>
          <w:rFonts w:cs="Times New Roman"/>
          <w:lang w:val="es-ES"/>
        </w:rPr>
      </w:pPr>
      <w:r>
        <w:rPr>
          <w:rFonts w:eastAsia="Times New Roman" w:cs="Times New Roman"/>
          <w:lang w:val="pt-BR"/>
        </w:rPr>
        <w:t>Destaca o papel crítico da comunicação para garantir que os pais entendam o conceito de absenteísmo crônico e seu impacto, especialmente em situações envolvendo estudantes com IEPs.</w:t>
      </w:r>
    </w:p>
    <w:p w14:paraId="358632FF" w14:textId="6414D1A0" w:rsidR="002E475C" w:rsidRPr="00CC1CB4" w:rsidRDefault="00000000" w:rsidP="00186D45">
      <w:pPr>
        <w:pStyle w:val="a6"/>
        <w:numPr>
          <w:ilvl w:val="0"/>
          <w:numId w:val="150"/>
        </w:numPr>
        <w:spacing w:after="120" w:line="264" w:lineRule="auto"/>
        <w:rPr>
          <w:rFonts w:cs="Times New Roman"/>
          <w:lang w:val="es-ES"/>
        </w:rPr>
      </w:pPr>
      <w:r>
        <w:rPr>
          <w:rFonts w:eastAsia="Times New Roman" w:cs="Times New Roman"/>
          <w:lang w:val="pt-BR"/>
        </w:rPr>
        <w:t>Faz uma pergunta sobre como a métrica pode ser usada para identificar escolas que precisam de apoio adicional.</w:t>
      </w:r>
    </w:p>
    <w:p w14:paraId="785F4244" w14:textId="77777777" w:rsidR="00EC5492" w:rsidRPr="00CC1CB4" w:rsidRDefault="00000000" w:rsidP="00EC5492">
      <w:pPr>
        <w:pStyle w:val="5"/>
        <w:spacing w:before="240"/>
        <w:rPr>
          <w:lang w:val="es-ES"/>
        </w:rPr>
      </w:pPr>
      <w:r>
        <w:rPr>
          <w:rFonts w:ascii="Cambria" w:eastAsia="Cambria" w:hAnsi="Cambria" w:cs="Times New Roman"/>
          <w:bCs/>
          <w:lang w:val="pt-BR"/>
        </w:rPr>
        <w:t>Pergunta 4: Pesos do indicador</w:t>
      </w:r>
    </w:p>
    <w:p w14:paraId="797E1E8A" w14:textId="77777777" w:rsidR="002E475C" w:rsidRPr="00CC1CB4" w:rsidRDefault="00000000" w:rsidP="00EC5492">
      <w:pPr>
        <w:rPr>
          <w:b/>
          <w:bCs/>
          <w:color w:val="074F6A"/>
          <w:lang w:val="es-ES"/>
        </w:rPr>
      </w:pPr>
      <w:r>
        <w:rPr>
          <w:rFonts w:eastAsia="Times New Roman" w:cs="Arial"/>
          <w:b/>
          <w:bCs/>
          <w:color w:val="074F6A"/>
          <w:lang w:val="pt-BR"/>
        </w:rPr>
        <w:t>Considerando nossa estrutura de ponderação atual, o que você consideraria uma maneira adequada de ajustar os pesos dos indicadores? Você prevê algum problema no reajuste dos pesos dos indicadores?</w:t>
      </w:r>
    </w:p>
    <w:p w14:paraId="76668D70" w14:textId="77777777" w:rsidR="002E475C" w:rsidRPr="00364862" w:rsidRDefault="00000000" w:rsidP="00EC5492">
      <w:pPr>
        <w:pStyle w:val="6"/>
      </w:pPr>
      <w:r>
        <w:rPr>
          <w:rFonts w:ascii="Cambria" w:eastAsia="Cambria" w:hAnsi="Cambria" w:cs="Arial"/>
          <w:lang w:val="pt-BR"/>
        </w:rPr>
        <w:t>Respostas</w:t>
      </w:r>
    </w:p>
    <w:p w14:paraId="574D04E3" w14:textId="77777777" w:rsidR="002E475C" w:rsidRPr="00CC1CB4" w:rsidRDefault="00000000">
      <w:pPr>
        <w:pStyle w:val="a6"/>
        <w:numPr>
          <w:ilvl w:val="0"/>
          <w:numId w:val="150"/>
        </w:numPr>
        <w:spacing w:after="120" w:line="264" w:lineRule="auto"/>
        <w:contextualSpacing w:val="0"/>
        <w:rPr>
          <w:rFonts w:cs="Times New Roman"/>
          <w:lang w:val="es-ES"/>
        </w:rPr>
      </w:pPr>
      <w:r>
        <w:rPr>
          <w:rFonts w:eastAsia="Times New Roman" w:cs="Times New Roman"/>
          <w:lang w:val="pt-BR"/>
        </w:rPr>
        <w:t xml:space="preserve">Dividir o peso entre os indicadores diminuiria seus impactos individuais. </w:t>
      </w:r>
    </w:p>
    <w:p w14:paraId="40C15467" w14:textId="77777777" w:rsidR="002E475C" w:rsidRPr="00364862" w:rsidRDefault="00000000">
      <w:pPr>
        <w:pStyle w:val="a6"/>
        <w:numPr>
          <w:ilvl w:val="0"/>
          <w:numId w:val="150"/>
        </w:numPr>
        <w:spacing w:after="120" w:line="264" w:lineRule="auto"/>
        <w:contextualSpacing w:val="0"/>
        <w:rPr>
          <w:rFonts w:cs="Times New Roman"/>
        </w:rPr>
      </w:pPr>
      <w:r>
        <w:rPr>
          <w:rFonts w:eastAsia="Times New Roman" w:cs="Times New Roman"/>
          <w:lang w:val="pt-BR"/>
        </w:rPr>
        <w:t>Considerando que a taxa de formação já está dividida, devemos excluir dados das taxas estendidas de 5 e 6 anos? Outras simulações serão conduzidas para explorar isso.</w:t>
      </w:r>
    </w:p>
    <w:p w14:paraId="53CFC863" w14:textId="77777777" w:rsidR="002E475C" w:rsidRPr="00CC1CB4" w:rsidRDefault="00000000">
      <w:pPr>
        <w:pStyle w:val="a6"/>
        <w:numPr>
          <w:ilvl w:val="0"/>
          <w:numId w:val="150"/>
        </w:numPr>
        <w:spacing w:after="120" w:line="264" w:lineRule="auto"/>
        <w:contextualSpacing w:val="0"/>
        <w:rPr>
          <w:rFonts w:cs="Times New Roman"/>
          <w:lang w:val="es-ES"/>
        </w:rPr>
      </w:pPr>
      <w:r>
        <w:rPr>
          <w:rFonts w:eastAsia="Times New Roman" w:cs="Times New Roman"/>
          <w:lang w:val="pt-BR"/>
        </w:rPr>
        <w:t xml:space="preserve">É viável redistribuir o peso da taxa de formação e do absenteísmo crônico? </w:t>
      </w:r>
    </w:p>
    <w:p w14:paraId="6547570D" w14:textId="77777777" w:rsidR="002E475C" w:rsidRPr="00CC1CB4" w:rsidRDefault="00000000">
      <w:pPr>
        <w:pStyle w:val="a6"/>
        <w:numPr>
          <w:ilvl w:val="0"/>
          <w:numId w:val="150"/>
        </w:numPr>
        <w:spacing w:after="120" w:line="264" w:lineRule="auto"/>
        <w:rPr>
          <w:rFonts w:cs="Times New Roman"/>
          <w:lang w:val="es-ES"/>
        </w:rPr>
      </w:pPr>
      <w:r>
        <w:rPr>
          <w:rFonts w:eastAsia="Times New Roman" w:cs="Times New Roman"/>
          <w:lang w:val="pt-BR"/>
        </w:rPr>
        <w:t>O absenteísmo crônico poderia ser integrado à métrica de persistência? Como o absenteísmo crônico afeta a taxa de formação estendida?</w:t>
      </w:r>
    </w:p>
    <w:p w14:paraId="7CE38CCC" w14:textId="77777777" w:rsidR="002E475C" w:rsidRPr="00CC1CB4" w:rsidRDefault="00000000" w:rsidP="00EC5492">
      <w:pPr>
        <w:pStyle w:val="4"/>
        <w:rPr>
          <w:lang w:val="es-ES"/>
        </w:rPr>
      </w:pPr>
      <w:bookmarkStart w:id="325" w:name="_Toc199403853"/>
      <w:r>
        <w:rPr>
          <w:rFonts w:ascii="Cambria" w:eastAsia="Cambria" w:hAnsi="Cambria" w:cs="Arial"/>
          <w:szCs w:val="24"/>
          <w:lang w:val="pt-BR"/>
        </w:rPr>
        <w:t>Principais pontos de feedback sobre a proposta de qualidade escolar/sucesso do aluno (persistência do aluno)</w:t>
      </w:r>
      <w:bookmarkEnd w:id="325"/>
      <w:r>
        <w:rPr>
          <w:rFonts w:ascii="Cambria" w:eastAsia="Cambria" w:hAnsi="Cambria" w:cs="Arial"/>
          <w:szCs w:val="24"/>
          <w:lang w:val="pt-BR"/>
        </w:rPr>
        <w:t xml:space="preserve"> </w:t>
      </w:r>
    </w:p>
    <w:p w14:paraId="409D70B6" w14:textId="77777777" w:rsidR="002E475C" w:rsidRPr="00EC5492" w:rsidRDefault="00000000" w:rsidP="00EC5492">
      <w:pPr>
        <w:pStyle w:val="5"/>
      </w:pPr>
      <w:r>
        <w:rPr>
          <w:rFonts w:ascii="Cambria" w:eastAsia="Cambria" w:hAnsi="Cambria" w:cs="Times New Roman"/>
          <w:bCs/>
          <w:lang w:val="pt-BR"/>
        </w:rPr>
        <w:t>Respostas</w:t>
      </w:r>
    </w:p>
    <w:p w14:paraId="72F9C0AB" w14:textId="77777777" w:rsidR="002E475C" w:rsidRPr="00CC1CB4" w:rsidRDefault="00000000">
      <w:pPr>
        <w:pStyle w:val="a6"/>
        <w:numPr>
          <w:ilvl w:val="0"/>
          <w:numId w:val="156"/>
        </w:numPr>
        <w:tabs>
          <w:tab w:val="clear" w:pos="360"/>
          <w:tab w:val="num" w:pos="720"/>
        </w:tabs>
        <w:spacing w:after="120" w:line="264" w:lineRule="auto"/>
        <w:ind w:left="720"/>
        <w:contextualSpacing w:val="0"/>
        <w:rPr>
          <w:rFonts w:cs="Times New Roman"/>
          <w:lang w:val="es-ES"/>
        </w:rPr>
      </w:pPr>
      <w:r>
        <w:rPr>
          <w:rFonts w:eastAsia="Times New Roman" w:cs="Times New Roman"/>
          <w:lang w:val="pt-BR"/>
        </w:rPr>
        <w:t>“Não tenho nenhuma pergunta pendente”.</w:t>
      </w:r>
    </w:p>
    <w:p w14:paraId="7261560E" w14:textId="77777777" w:rsidR="002E475C" w:rsidRPr="00CC1CB4" w:rsidRDefault="00000000">
      <w:pPr>
        <w:pStyle w:val="a6"/>
        <w:numPr>
          <w:ilvl w:val="0"/>
          <w:numId w:val="156"/>
        </w:numPr>
        <w:tabs>
          <w:tab w:val="clear" w:pos="360"/>
          <w:tab w:val="num" w:pos="720"/>
        </w:tabs>
        <w:spacing w:after="120" w:line="264" w:lineRule="auto"/>
        <w:ind w:left="720"/>
        <w:contextualSpacing w:val="0"/>
        <w:rPr>
          <w:rFonts w:cs="Times New Roman"/>
          <w:lang w:val="es-ES"/>
        </w:rPr>
      </w:pPr>
      <w:r>
        <w:rPr>
          <w:rFonts w:eastAsia="Times New Roman" w:cs="Times New Roman"/>
          <w:lang w:val="pt-BR"/>
        </w:rPr>
        <w:t>“Estou preocupado que alunos com deficiências possam ser percebidos como tendo um impacto negativo no “relatório” da escola com base nos indicadores da ESSA.”</w:t>
      </w:r>
    </w:p>
    <w:p w14:paraId="1B2F53B2" w14:textId="77777777" w:rsidR="002E475C" w:rsidRPr="00CC1CB4" w:rsidRDefault="00000000">
      <w:pPr>
        <w:pStyle w:val="a6"/>
        <w:numPr>
          <w:ilvl w:val="0"/>
          <w:numId w:val="156"/>
        </w:numPr>
        <w:tabs>
          <w:tab w:val="clear" w:pos="360"/>
          <w:tab w:val="num" w:pos="720"/>
        </w:tabs>
        <w:spacing w:after="120" w:line="264" w:lineRule="auto"/>
        <w:ind w:left="720"/>
        <w:contextualSpacing w:val="0"/>
        <w:rPr>
          <w:rFonts w:cs="Times New Roman"/>
          <w:lang w:val="es-ES"/>
        </w:rPr>
      </w:pPr>
      <w:r>
        <w:rPr>
          <w:rFonts w:eastAsia="Times New Roman" w:cs="Times New Roman"/>
          <w:lang w:val="pt-BR"/>
        </w:rPr>
        <w:t>Não tenho feedback adicional para compartilhar neste momento.</w:t>
      </w:r>
    </w:p>
    <w:p w14:paraId="01AA89D7" w14:textId="77777777" w:rsidR="002E475C" w:rsidRPr="00CC1CB4" w:rsidRDefault="00000000">
      <w:pPr>
        <w:pStyle w:val="a6"/>
        <w:numPr>
          <w:ilvl w:val="0"/>
          <w:numId w:val="156"/>
        </w:numPr>
        <w:tabs>
          <w:tab w:val="clear" w:pos="360"/>
          <w:tab w:val="num" w:pos="720"/>
        </w:tabs>
        <w:spacing w:after="120" w:line="264" w:lineRule="auto"/>
        <w:ind w:left="720"/>
        <w:contextualSpacing w:val="0"/>
        <w:rPr>
          <w:rFonts w:cs="Times New Roman"/>
          <w:lang w:val="es-ES"/>
        </w:rPr>
      </w:pPr>
      <w:r>
        <w:rPr>
          <w:rFonts w:eastAsia="Times New Roman" w:cs="Times New Roman"/>
          <w:lang w:val="pt-BR"/>
        </w:rPr>
        <w:t>“É crucial considerar métricas que capacitem os alunos em vez de penalizá-los. Agradeço os esforços e discussões que visam apoiar os alunos da melhor maneira possível.”</w:t>
      </w:r>
    </w:p>
    <w:p w14:paraId="0676BD19" w14:textId="77777777" w:rsidR="002E475C" w:rsidRPr="00CC1CB4" w:rsidRDefault="00000000">
      <w:pPr>
        <w:pStyle w:val="a6"/>
        <w:numPr>
          <w:ilvl w:val="0"/>
          <w:numId w:val="156"/>
        </w:numPr>
        <w:tabs>
          <w:tab w:val="clear" w:pos="360"/>
          <w:tab w:val="num" w:pos="720"/>
        </w:tabs>
        <w:spacing w:after="120" w:line="264" w:lineRule="auto"/>
        <w:ind w:left="720"/>
        <w:contextualSpacing w:val="0"/>
        <w:rPr>
          <w:rFonts w:cs="Times New Roman"/>
          <w:lang w:val="es-ES"/>
        </w:rPr>
      </w:pPr>
      <w:r>
        <w:rPr>
          <w:rFonts w:eastAsia="Times New Roman" w:cs="Times New Roman"/>
          <w:lang w:val="pt-BR"/>
        </w:rPr>
        <w:t>Os indicadores adicionais visam reconhecer o trabalho árduo das escolas onde pode faltar orientação federal.</w:t>
      </w:r>
    </w:p>
    <w:p w14:paraId="14412035" w14:textId="77777777" w:rsidR="0005568B" w:rsidRPr="00CC1CB4" w:rsidRDefault="00000000" w:rsidP="00203EBD">
      <w:pPr>
        <w:pStyle w:val="a6"/>
        <w:numPr>
          <w:ilvl w:val="0"/>
          <w:numId w:val="156"/>
        </w:numPr>
        <w:tabs>
          <w:tab w:val="clear" w:pos="360"/>
          <w:tab w:val="num" w:pos="720"/>
        </w:tabs>
        <w:spacing w:after="120" w:line="264" w:lineRule="auto"/>
        <w:ind w:left="720"/>
        <w:rPr>
          <w:rFonts w:cs="Times New Roman"/>
          <w:lang w:val="es-ES"/>
        </w:rPr>
      </w:pPr>
      <w:r>
        <w:rPr>
          <w:rFonts w:eastAsia="Times New Roman" w:cs="Times New Roman"/>
          <w:lang w:val="pt-BR"/>
        </w:rPr>
        <w:t>“Acredito que o exemplo de ajuste ponderado nº. 2 é a opção mais eficaz”.</w:t>
      </w:r>
      <w:bookmarkStart w:id="326" w:name="_Feedback_on_the_6"/>
      <w:bookmarkStart w:id="327" w:name="_Feedback_on_the_11"/>
      <w:bookmarkStart w:id="328" w:name="_Toc171333351"/>
      <w:bookmarkEnd w:id="326"/>
      <w:bookmarkEnd w:id="327"/>
      <w:r>
        <w:rPr>
          <w:rFonts w:eastAsia="Times New Roman" w:cs="Times New Roman"/>
          <w:lang w:val="pt-BR"/>
        </w:rPr>
        <w:br w:type="page"/>
      </w:r>
    </w:p>
    <w:p w14:paraId="217D5D99" w14:textId="77777777" w:rsidR="002E475C" w:rsidRPr="00CC1CB4" w:rsidRDefault="00000000" w:rsidP="00856537">
      <w:pPr>
        <w:pStyle w:val="A30"/>
        <w:spacing w:after="220"/>
        <w:rPr>
          <w:lang w:val="es-ES"/>
        </w:rPr>
      </w:pPr>
      <w:bookmarkStart w:id="329" w:name="_Feedback_on_the_17"/>
      <w:bookmarkStart w:id="330" w:name="_Toc199403854"/>
      <w:bookmarkEnd w:id="329"/>
      <w:r>
        <w:lastRenderedPageBreak/>
        <w:t>Feedback sobre a Proposta do Sistema de Suporte em Camadas de Nova Jersey (NJTSS)</w:t>
      </w:r>
      <w:bookmarkEnd w:id="328"/>
      <w:r>
        <w:br/>
        <w:t>Sessão nº. 4–5 (12 e 19 de março)</w:t>
      </w:r>
      <w:bookmarkEnd w:id="330"/>
    </w:p>
    <w:p w14:paraId="617C84B1" w14:textId="77777777" w:rsidR="006415C4" w:rsidRPr="00CC1CB4" w:rsidRDefault="00000000" w:rsidP="003E7510">
      <w:pPr>
        <w:pStyle w:val="paragraph"/>
        <w:spacing w:before="0" w:beforeAutospacing="0" w:after="240" w:afterAutospacing="0"/>
        <w:textAlignment w:val="baseline"/>
        <w:rPr>
          <w:rFonts w:eastAsiaTheme="majorEastAsia"/>
          <w:lang w:val="es-ES"/>
        </w:rPr>
      </w:pPr>
      <w:r>
        <w:rPr>
          <w:szCs w:val="22"/>
          <w:lang w:val="pt-BR"/>
        </w:rPr>
        <w:t>Os participantes forneceram reações iniciais à proposta do Sistema de Suporte em Camadas de Nova Jersey (NJTSS).</w:t>
      </w:r>
    </w:p>
    <w:p w14:paraId="00FB7526" w14:textId="77777777" w:rsidR="002E475C" w:rsidRPr="00CC1CB4" w:rsidRDefault="00000000" w:rsidP="00840DD5">
      <w:pPr>
        <w:pStyle w:val="4"/>
        <w:rPr>
          <w:lang w:val="es-ES"/>
        </w:rPr>
      </w:pPr>
      <w:bookmarkStart w:id="331" w:name="_Toc199403855"/>
      <w:r>
        <w:rPr>
          <w:rFonts w:ascii="Cambria" w:eastAsia="Cambria" w:hAnsi="Cambria" w:cs="Arial"/>
          <w:szCs w:val="24"/>
          <w:lang w:val="pt-BR"/>
        </w:rPr>
        <w:t>Feedback das partes interessadas</w:t>
      </w:r>
      <w:bookmarkEnd w:id="331"/>
      <w:r>
        <w:rPr>
          <w:rFonts w:ascii="Cambria" w:eastAsia="Cambria" w:hAnsi="Cambria" w:cs="Arial"/>
          <w:szCs w:val="24"/>
          <w:lang w:val="pt-BR"/>
        </w:rPr>
        <w:t xml:space="preserve"> </w:t>
      </w:r>
    </w:p>
    <w:p w14:paraId="49C9F1BF" w14:textId="77777777" w:rsidR="00840DD5" w:rsidRPr="00CC1CB4" w:rsidRDefault="00000000" w:rsidP="00840DD5">
      <w:pPr>
        <w:pStyle w:val="5"/>
        <w:rPr>
          <w:lang w:val="es-ES"/>
        </w:rPr>
      </w:pPr>
      <w:r>
        <w:rPr>
          <w:rFonts w:ascii="Cambria" w:eastAsia="Cambria" w:hAnsi="Cambria" w:cs="Times New Roman"/>
          <w:bCs/>
          <w:lang w:val="pt-BR"/>
        </w:rPr>
        <w:t>Pergunta 1: Experiência com o NJTSS</w:t>
      </w:r>
    </w:p>
    <w:p w14:paraId="634BF60A" w14:textId="77777777" w:rsidR="002E475C" w:rsidRPr="00B724EC" w:rsidRDefault="00000000" w:rsidP="00840DD5">
      <w:pPr>
        <w:rPr>
          <w:b/>
          <w:bCs/>
          <w:color w:val="074F6A"/>
        </w:rPr>
      </w:pPr>
      <w:r>
        <w:rPr>
          <w:rFonts w:eastAsia="Times New Roman" w:cs="Arial"/>
          <w:b/>
          <w:bCs/>
          <w:color w:val="074F6A"/>
          <w:lang w:val="pt-BR"/>
        </w:rPr>
        <w:t xml:space="preserve">Que experiência você tem com o Sistema de Suporte em Camadas de Nova Jersey (NJTSS)? O que isso significa para você? </w:t>
      </w:r>
    </w:p>
    <w:p w14:paraId="742AD823" w14:textId="77777777" w:rsidR="002E475C" w:rsidRPr="00840DD5" w:rsidRDefault="00000000" w:rsidP="00840DD5">
      <w:pPr>
        <w:pStyle w:val="6"/>
      </w:pPr>
      <w:r>
        <w:rPr>
          <w:rFonts w:ascii="Cambria" w:eastAsia="Cambria" w:hAnsi="Cambria" w:cs="Arial"/>
          <w:lang w:val="pt-BR"/>
        </w:rPr>
        <w:t>Respostas</w:t>
      </w:r>
    </w:p>
    <w:p w14:paraId="2AB2B63F" w14:textId="77777777" w:rsidR="002E475C" w:rsidRPr="00CC1CB4" w:rsidRDefault="00000000">
      <w:pPr>
        <w:pStyle w:val="a6"/>
        <w:numPr>
          <w:ilvl w:val="0"/>
          <w:numId w:val="153"/>
        </w:numPr>
        <w:spacing w:after="120" w:line="264" w:lineRule="auto"/>
        <w:contextualSpacing w:val="0"/>
        <w:rPr>
          <w:rFonts w:cs="Times New Roman"/>
          <w:lang w:val="es-ES"/>
        </w:rPr>
      </w:pPr>
      <w:r>
        <w:rPr>
          <w:rFonts w:eastAsia="Times New Roman" w:cs="Times New Roman"/>
          <w:lang w:val="pt-BR"/>
        </w:rPr>
        <w:t xml:space="preserve">As respostas das partes interessadas ao NJTSS foram extremamente positivas, com um acordo unânime sobre a recepção das atualizações. </w:t>
      </w:r>
    </w:p>
    <w:p w14:paraId="2506485C" w14:textId="77777777" w:rsidR="002E475C" w:rsidRPr="00CC1CB4" w:rsidRDefault="00000000">
      <w:pPr>
        <w:pStyle w:val="a6"/>
        <w:numPr>
          <w:ilvl w:val="0"/>
          <w:numId w:val="153"/>
        </w:numPr>
        <w:spacing w:after="120" w:line="264" w:lineRule="auto"/>
        <w:rPr>
          <w:rFonts w:cs="Times New Roman"/>
          <w:lang w:val="es-ES"/>
        </w:rPr>
      </w:pPr>
      <w:r>
        <w:rPr>
          <w:rFonts w:eastAsia="Times New Roman" w:cs="Times New Roman"/>
          <w:lang w:val="pt-BR"/>
        </w:rPr>
        <w:t>Uma pergunta-chave para discussão futura é identificar as informações específicas do progresso e crescimento no NJTSS que podem ser incluídas como reforço positivo nos relatórios de desempenho escolar.</w:t>
      </w:r>
    </w:p>
    <w:p w14:paraId="7D12B11C" w14:textId="77777777" w:rsidR="00022C1D" w:rsidRPr="00CC1CB4" w:rsidRDefault="00000000" w:rsidP="00022C1D">
      <w:pPr>
        <w:pStyle w:val="5"/>
        <w:rPr>
          <w:lang w:val="es-ES"/>
        </w:rPr>
      </w:pPr>
      <w:r>
        <w:rPr>
          <w:rFonts w:ascii="Cambria" w:eastAsia="Cambria" w:hAnsi="Cambria" w:cs="Times New Roman"/>
          <w:bCs/>
          <w:lang w:val="pt-BR"/>
        </w:rPr>
        <w:t>Pergunta 2: Comunicação</w:t>
      </w:r>
    </w:p>
    <w:p w14:paraId="51216825" w14:textId="77777777" w:rsidR="002E475C" w:rsidRPr="00CC1CB4" w:rsidRDefault="00000000" w:rsidP="00022C1D">
      <w:pPr>
        <w:rPr>
          <w:b/>
          <w:bCs/>
          <w:color w:val="074F6A"/>
          <w:lang w:val="es-ES"/>
        </w:rPr>
      </w:pPr>
      <w:r>
        <w:rPr>
          <w:rFonts w:eastAsia="Times New Roman" w:cs="Arial"/>
          <w:b/>
          <w:bCs/>
          <w:color w:val="074F6A"/>
          <w:lang w:val="pt-BR"/>
        </w:rPr>
        <w:t xml:space="preserve">Como podemos melhorar a comunicação sobre a Iniciativa NJTSS e garantir que ela alcance suas organizações? </w:t>
      </w:r>
    </w:p>
    <w:p w14:paraId="09A53FB7" w14:textId="77777777" w:rsidR="002E475C" w:rsidRPr="00022C1D" w:rsidRDefault="00000000" w:rsidP="00022C1D">
      <w:pPr>
        <w:pStyle w:val="6"/>
      </w:pPr>
      <w:r>
        <w:rPr>
          <w:rFonts w:ascii="Cambria" w:eastAsia="Cambria" w:hAnsi="Cambria" w:cs="Arial"/>
          <w:lang w:val="pt-BR"/>
        </w:rPr>
        <w:t>Respostas</w:t>
      </w:r>
    </w:p>
    <w:p w14:paraId="238A1504"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O NJTSS fornece links valiosos para os recursos de alfabetização inicial, tornando-o um tesouro. Ele deve ser destacado no site do NJDOE e tornado mais fácil de usar com perguntas orientadoras como “Aqui está onde...”</w:t>
      </w:r>
    </w:p>
    <w:p w14:paraId="03550383"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A colaboração com organizações para o desenvolvimento profissional é crucial.</w:t>
      </w:r>
    </w:p>
    <w:p w14:paraId="6F746FE2"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Devemos incorporar uma perspectiva parental, pois as informações são atualmente mais acessíveis aos educadores do que aos pais. Os pais desempenham um papel vital para garantir que o apoio em níveis seja efetivamente implementado. É essencial se comunicar com PTAs e famílias em termos leigos para aumentar a compreensão.</w:t>
      </w:r>
    </w:p>
    <w:p w14:paraId="60F53341"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Preocupações surgem sobre alunos multilíngues não receberem apoio adequado por vários motivos, incluindo percepções sobre referências apropriadas.</w:t>
      </w:r>
    </w:p>
    <w:p w14:paraId="39BC22A6"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Há um número crescente de alunos com educação limitada/interrompida em Nova Jersey, exigindo uma abordagem mais prática para sua educação.</w:t>
      </w:r>
    </w:p>
    <w:p w14:paraId="018A1293"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A liderança com conhecimento profissional sobre essa questão é essencial para implementar um esforço estruturado e coordenado.</w:t>
      </w:r>
    </w:p>
    <w:p w14:paraId="28F743D5"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É crucial que este modelo tenha o apoio da liderança de alto nível para uma implementação bem-sucedida.</w:t>
      </w:r>
    </w:p>
    <w:p w14:paraId="30F1FF39"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lastRenderedPageBreak/>
        <w:t>Dúvidas surgem sobre o número de distritos que usam sistemas em níveis, pois não é obrigatório, levando a desafios na coleta de dados. Alguns distritos estão implementando projetos de leitura antecipada com instrumentos de exames universais como o DIBELS.</w:t>
      </w:r>
    </w:p>
    <w:p w14:paraId="4ED8FF91"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Oportunidades de aprendizagem profissional, como suporte de nível 2 e apresentações em conferências e cúpulas, juntamente com recursos online, estão disponíveis.</w:t>
      </w:r>
    </w:p>
    <w:p w14:paraId="75D1354D"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Alguns distritos estão usando a Resposta à Intervenção (RTI), mas há conscientização limitada sobre outros distritos que a utilizam.</w:t>
      </w:r>
    </w:p>
    <w:p w14:paraId="75F6C866"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A ênfase é dada à necessidade de desenvolvimento profissional para disseminar informações de forma eficaz.</w:t>
      </w:r>
    </w:p>
    <w:p w14:paraId="1772F3F5"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Criar adesão é crucial para impulsionar a agenda, e fóruns comunitários podem ajudar a reunir escolas e pais.</w:t>
      </w:r>
    </w:p>
    <w:p w14:paraId="3005BE12"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Sessões regulares de aprendizagem dos pais são essenciais. Estão sendo feitos esforços para envolver o sistema das organizações matrizes na defesa da iniciativa nos distritos locais, apesar da complexidade do sistema exigir confiança dos pais.</w:t>
      </w:r>
    </w:p>
    <w:p w14:paraId="675977A0"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É crucial esclarecer aos distritos que o NJTSS é utilizado em ambientes de educação geral e especial e demonstrar como ele pode ser aplicado a ambos. Explicar a interseção com os Serviços de Intervenção e Indicação (Intervention and Referral Services, IRS) e fornecer exemplos de quando diferentes níveis são aplicáveis seria benéfico.</w:t>
      </w:r>
    </w:p>
    <w:p w14:paraId="6E4F3314"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Embora o NJDOE tenha definido metas ambiciosas, há uma necessidade de garantir o alinhamento com as metas dos alunos. A colaboração com grupos como o Conselho de NJ sobre Deficiências de Desenvolvimento pode ajudar a fornecer o apoio necessário para impulsionar os alunos para a melhoria.</w:t>
      </w:r>
    </w:p>
    <w:p w14:paraId="6F676D11"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As escolas desempenham um papel significativo na abordagem do absenteísmo crônico nas comunidades, considerando os vários determinantes sociais envolvidos.</w:t>
      </w:r>
    </w:p>
    <w:p w14:paraId="6DD0071B"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O PRISE deve abranger o NJTSS e o envolvimento das partes interessadas é crucial para obter adesão.</w:t>
      </w:r>
    </w:p>
    <w:p w14:paraId="60AD803B" w14:textId="77777777" w:rsidR="002E475C" w:rsidRPr="00C04CDD" w:rsidRDefault="00000000">
      <w:pPr>
        <w:pStyle w:val="a6"/>
        <w:numPr>
          <w:ilvl w:val="0"/>
          <w:numId w:val="139"/>
        </w:numPr>
        <w:spacing w:after="120" w:line="264" w:lineRule="auto"/>
        <w:contextualSpacing w:val="0"/>
        <w:rPr>
          <w:rFonts w:cs="Times New Roman"/>
          <w:lang w:val="fr-FR"/>
        </w:rPr>
      </w:pPr>
      <w:r>
        <w:rPr>
          <w:rFonts w:eastAsia="Times New Roman" w:cs="Times New Roman"/>
          <w:lang w:val="pt-BR"/>
        </w:rPr>
        <w:t>É essencial identificar quais membros da equipe estão envolvidos na implementação do NJTSS. Esclarecer as funções dos professores de educação geral versus assistentes sociais é importante.</w:t>
      </w:r>
    </w:p>
    <w:p w14:paraId="7B1D4726"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Explorar as melhores práticas para incentivar a participação dos alunos, como vincular requisitos acadêmicos para atividades como esportes, pode ser benéfico.</w:t>
      </w:r>
    </w:p>
    <w:p w14:paraId="2D3F7657"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O site compartilhado durante o webinar virtual é abrangente, mas não tem a marca específica de Nova Jersey. Devem ser feitos esforços para envolver os superintendentes do condado executivo (Executive County Superintendents, ECS) para entender a importância, o valor e a funcionalidade do site. A transição de atualizações passivas para envolvimento ativo com ECSs pode alavancar sua liderança de forma eficaz.</w:t>
      </w:r>
    </w:p>
    <w:p w14:paraId="76ABB30E"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 xml:space="preserve">O acesso dos pais ao NJTSS e aos Serviços de Intervenção e Indicação (I&amp;RS) precisa ser esclarecido, especialmente nos casos em que as LEAs têm informações incorretas sobre as responsabilidades de implementação. </w:t>
      </w:r>
    </w:p>
    <w:p w14:paraId="34011CEB"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Identificar os apoios comunitários disponíveis como parte do quadro de apoio é essencial.</w:t>
      </w:r>
    </w:p>
    <w:p w14:paraId="29BF2E87"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lastRenderedPageBreak/>
        <w:t>Devem ser exploradas estratégias de comunicação para pais sobre o NJTSS, incluindo a possibilidade de uma campanha pública e alavancagem de mídias sociais.</w:t>
      </w:r>
    </w:p>
    <w:p w14:paraId="2668ABA4"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Preocupações com relação aos 5 a 7 anos de implementação devem ser abordadas, incluindo anedotas dos anos iniciais, em que as LEAs podem ter enfrentado desafios como obter coaches alfabetizados. Definir expectativas e cronogramas realistas para a implementação do NJTSS é crucial.</w:t>
      </w:r>
    </w:p>
    <w:p w14:paraId="188D67B4"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Explorar oportunidades de aprendizagem assíncronas para professores, pais e famílias é essencial para garantir um envolvimento abrangente com a iniciativa.</w:t>
      </w:r>
    </w:p>
    <w:p w14:paraId="03D035EB"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Fazendo uma comparação com a “Economia triturada”, é importante compartilhar histórias de sucesso de distritos escolares exemplares como uma valiosa oportunidade de aprendizado.</w:t>
      </w:r>
    </w:p>
    <w:p w14:paraId="65B11D75"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Desenvolver capacidade e alocar financiamento para apoiar o NJTSS é essencial para sua implementação bem-sucedida.</w:t>
      </w:r>
    </w:p>
    <w:p w14:paraId="56C40E55"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Garantir a adesão dos líderes distritais e escolares é crucial para adotar efetivamente o NJTSS.</w:t>
      </w:r>
    </w:p>
    <w:p w14:paraId="3A66C43F"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Preencher a lacuna entre o SEA e os professores em sala de aula é vital para uma comunicação e implementação eficazes.</w:t>
      </w:r>
    </w:p>
    <w:p w14:paraId="138377E9"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É importante abordar as preocupações dos educadores que questionam a viabilidade do NJTSS devido aos recursos limitados e à redução dos especialistas em leitura.</w:t>
      </w:r>
    </w:p>
    <w:p w14:paraId="359BE303"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É necessário esclarecer as diferenças entre NJTSS e I&amp;RS e abordar desafios como papelada extra e autorrelato.</w:t>
      </w:r>
    </w:p>
    <w:p w14:paraId="3860BADD"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É crucial desenvolver uma campanha para promover o NJTSS, começando com professores em sala de aula e subindo, e criando ferramentas e recursos para disseminação.</w:t>
      </w:r>
    </w:p>
    <w:p w14:paraId="71ED82C7"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A parceria com faculdades e programas de preparação de educadores (EPPs) para o desenvolvimento de professores e a criação de embaixadores pode melhorar a implementação do NJTSS.</w:t>
      </w:r>
    </w:p>
    <w:p w14:paraId="3FBF0BF9"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Comentário geral: A dificuldade em navegar pelo plano da ESSA devido à falta de um índice destaca a necessidade de uma melhor organização e acessibilidade das informações.</w:t>
      </w:r>
    </w:p>
    <w:p w14:paraId="1F3B16B7"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Foram levantadas preocupações sobre a distribuição de informações, incluindo recursos de apoio comportamental positivo e saúde mental, e a disponibilidade do manual para os distritos.</w:t>
      </w:r>
    </w:p>
    <w:p w14:paraId="38E33A5B"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Foram observados desafios com a navegação do site estadual e a descoberta de informações específicas, sugerindo a necessidade de melhor design do site e organização de conteúdo.</w:t>
      </w:r>
    </w:p>
    <w:p w14:paraId="004280AA"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Foi destacada a importância da comunicação clara e a garantia de que as informações cheguem a todas as partes interessadas de forma eficaz.</w:t>
      </w:r>
    </w:p>
    <w:p w14:paraId="124EB7CD"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A natureza interconectada de iniciativas como NJTSS e I &amp;RS foi destacada, enfatizando a necessidade de sistemas aprimorados para apoiar o sucesso dos alunos.</w:t>
      </w:r>
    </w:p>
    <w:p w14:paraId="70EDF63C"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Os esforços de comunicação devem utilizar linguagem diária para garantir a compreensão entre pais e partes interessadas.</w:t>
      </w:r>
    </w:p>
    <w:p w14:paraId="740C3DEE"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t>Destaca a necessidade de pessoal dedicado para a saúde mental e suportes comportamentais positivos, bem como fonoaudiólogos, para uma implementação eficaz.</w:t>
      </w:r>
    </w:p>
    <w:p w14:paraId="14B0D9A9" w14:textId="77777777" w:rsidR="002E475C" w:rsidRPr="00CB0C0E" w:rsidRDefault="00000000">
      <w:pPr>
        <w:pStyle w:val="a6"/>
        <w:numPr>
          <w:ilvl w:val="0"/>
          <w:numId w:val="139"/>
        </w:numPr>
        <w:spacing w:after="120" w:line="264" w:lineRule="auto"/>
        <w:contextualSpacing w:val="0"/>
        <w:rPr>
          <w:rFonts w:cs="Times New Roman"/>
          <w:lang w:val="es-ES"/>
        </w:rPr>
      </w:pPr>
      <w:r>
        <w:rPr>
          <w:rFonts w:eastAsia="Times New Roman" w:cs="Times New Roman"/>
          <w:lang w:val="pt-BR"/>
        </w:rPr>
        <w:lastRenderedPageBreak/>
        <w:t>Sugestões para promover informações por meio de vários canais, incluindo conferências e publicações, e em vários idiomas, como espanhol e crioulo, para alcançar diversos públicos.</w:t>
      </w:r>
    </w:p>
    <w:p w14:paraId="5F9AE828" w14:textId="77777777" w:rsidR="002E475C" w:rsidRPr="00CB0C0E" w:rsidRDefault="00000000">
      <w:pPr>
        <w:pStyle w:val="a6"/>
        <w:numPr>
          <w:ilvl w:val="0"/>
          <w:numId w:val="139"/>
        </w:numPr>
        <w:spacing w:after="120" w:line="264" w:lineRule="auto"/>
        <w:rPr>
          <w:rFonts w:cs="Times New Roman"/>
          <w:lang w:val="es-ES"/>
        </w:rPr>
      </w:pPr>
      <w:r>
        <w:rPr>
          <w:rFonts w:eastAsia="Times New Roman" w:cs="Times New Roman"/>
          <w:lang w:val="pt-BR"/>
        </w:rPr>
        <w:t>A colaboração com outros grupos e organizações para a promoção e disseminação de informações foi recomendada para melhorar os esforços de divulgação.</w:t>
      </w:r>
    </w:p>
    <w:p w14:paraId="54C93679" w14:textId="77777777" w:rsidR="002E475C" w:rsidRPr="00CB0C0E" w:rsidRDefault="00000000" w:rsidP="00F2490A">
      <w:pPr>
        <w:pStyle w:val="4"/>
        <w:rPr>
          <w:lang w:val="es-ES"/>
        </w:rPr>
      </w:pPr>
      <w:bookmarkStart w:id="332" w:name="_Toc199403856"/>
      <w:r>
        <w:rPr>
          <w:rFonts w:ascii="Cambria" w:eastAsia="Cambria" w:hAnsi="Cambria" w:cs="Arial"/>
          <w:szCs w:val="24"/>
          <w:lang w:val="pt-BR"/>
        </w:rPr>
        <w:t>Principais pontos de feedback sobre a explicação do sistema de suportes em camadas de Nova Jersey</w:t>
      </w:r>
      <w:bookmarkEnd w:id="332"/>
      <w:r>
        <w:rPr>
          <w:rFonts w:ascii="Cambria" w:eastAsia="Cambria" w:hAnsi="Cambria" w:cs="Arial"/>
          <w:szCs w:val="24"/>
          <w:lang w:val="pt-BR"/>
        </w:rPr>
        <w:t xml:space="preserve"> </w:t>
      </w:r>
    </w:p>
    <w:p w14:paraId="463BA808" w14:textId="77777777" w:rsidR="002E475C" w:rsidRPr="00F2490A" w:rsidRDefault="00000000" w:rsidP="00F2490A">
      <w:pPr>
        <w:pStyle w:val="5"/>
      </w:pPr>
      <w:r>
        <w:rPr>
          <w:rFonts w:ascii="Cambria" w:eastAsia="Cambria" w:hAnsi="Cambria" w:cs="Times New Roman"/>
          <w:bCs/>
          <w:lang w:val="pt-BR"/>
        </w:rPr>
        <w:t>Respostas</w:t>
      </w:r>
    </w:p>
    <w:p w14:paraId="79AA2035" w14:textId="77777777" w:rsidR="002E475C" w:rsidRPr="00364862" w:rsidRDefault="00000000">
      <w:pPr>
        <w:pStyle w:val="a6"/>
        <w:numPr>
          <w:ilvl w:val="0"/>
          <w:numId w:val="157"/>
        </w:numPr>
        <w:spacing w:after="120" w:line="264" w:lineRule="auto"/>
        <w:contextualSpacing w:val="0"/>
        <w:rPr>
          <w:rFonts w:cs="Times New Roman"/>
        </w:rPr>
      </w:pPr>
      <w:r>
        <w:rPr>
          <w:rFonts w:eastAsia="Times New Roman" w:cs="Times New Roman"/>
          <w:lang w:val="pt-BR"/>
        </w:rPr>
        <w:t>Resposta entusiasmada: “Adorei!”</w:t>
      </w:r>
    </w:p>
    <w:p w14:paraId="0EA28146" w14:textId="77777777" w:rsidR="002E475C" w:rsidRPr="00C04CDD" w:rsidRDefault="00000000">
      <w:pPr>
        <w:pStyle w:val="a6"/>
        <w:numPr>
          <w:ilvl w:val="0"/>
          <w:numId w:val="157"/>
        </w:numPr>
        <w:spacing w:after="120" w:line="264" w:lineRule="auto"/>
        <w:contextualSpacing w:val="0"/>
        <w:rPr>
          <w:rFonts w:cs="Times New Roman"/>
          <w:lang w:val="it-CH"/>
        </w:rPr>
      </w:pPr>
      <w:r>
        <w:rPr>
          <w:rFonts w:eastAsia="Times New Roman" w:cs="Times New Roman"/>
          <w:lang w:val="pt-BR"/>
        </w:rPr>
        <w:t>Consulta sobre terminologia: chamá-lo de NJTSS em vez de MTSS é necessário? Somos realmente tão diferentes?</w:t>
      </w:r>
    </w:p>
    <w:p w14:paraId="0B462330" w14:textId="77777777" w:rsidR="002E475C" w:rsidRPr="00CB0C0E" w:rsidRDefault="00000000">
      <w:pPr>
        <w:pStyle w:val="a6"/>
        <w:numPr>
          <w:ilvl w:val="0"/>
          <w:numId w:val="157"/>
        </w:numPr>
        <w:spacing w:after="120" w:line="264" w:lineRule="auto"/>
        <w:contextualSpacing w:val="0"/>
        <w:rPr>
          <w:rFonts w:cs="Times New Roman"/>
          <w:lang w:val="es-ES"/>
        </w:rPr>
      </w:pPr>
      <w:r>
        <w:rPr>
          <w:rFonts w:eastAsia="Times New Roman" w:cs="Times New Roman"/>
          <w:lang w:val="pt-BR"/>
        </w:rPr>
        <w:t>Interesse em saber mais sobre o NJTSS, destacando sua importância.</w:t>
      </w:r>
    </w:p>
    <w:p w14:paraId="1CC0AA3A" w14:textId="77777777" w:rsidR="002E475C" w:rsidRPr="00CB0C0E" w:rsidRDefault="00000000">
      <w:pPr>
        <w:pStyle w:val="a6"/>
        <w:numPr>
          <w:ilvl w:val="0"/>
          <w:numId w:val="157"/>
        </w:numPr>
        <w:spacing w:after="120" w:line="264" w:lineRule="auto"/>
        <w:contextualSpacing w:val="0"/>
        <w:rPr>
          <w:rFonts w:cs="Times New Roman"/>
          <w:lang w:val="es-ES"/>
        </w:rPr>
      </w:pPr>
      <w:r>
        <w:rPr>
          <w:rFonts w:eastAsia="Times New Roman" w:cs="Times New Roman"/>
          <w:lang w:val="pt-BR"/>
        </w:rPr>
        <w:t>Sugestão para incluir tempo fora da escola e recursos comunitários em apoio a uma experiência holística do aluno.</w:t>
      </w:r>
    </w:p>
    <w:p w14:paraId="264F38FB" w14:textId="77777777" w:rsidR="002E475C" w:rsidRPr="00CB0C0E" w:rsidRDefault="00000000">
      <w:pPr>
        <w:pStyle w:val="a6"/>
        <w:numPr>
          <w:ilvl w:val="0"/>
          <w:numId w:val="157"/>
        </w:numPr>
        <w:spacing w:after="120" w:line="264" w:lineRule="auto"/>
        <w:contextualSpacing w:val="0"/>
        <w:rPr>
          <w:rFonts w:cs="Times New Roman"/>
          <w:lang w:val="es-ES"/>
        </w:rPr>
      </w:pPr>
      <w:r>
        <w:rPr>
          <w:rFonts w:eastAsia="Times New Roman" w:cs="Times New Roman"/>
          <w:lang w:val="pt-BR"/>
        </w:rPr>
        <w:t>Consulte sobre o monitoramento de distritos pelo NJDOE para garantir o fornecimento de sistemas em níveis de apoio aos alunos.</w:t>
      </w:r>
    </w:p>
    <w:p w14:paraId="4849BAB8" w14:textId="77777777" w:rsidR="002E475C" w:rsidRPr="00CB0C0E" w:rsidRDefault="00000000">
      <w:pPr>
        <w:pStyle w:val="a6"/>
        <w:numPr>
          <w:ilvl w:val="0"/>
          <w:numId w:val="157"/>
        </w:numPr>
        <w:spacing w:after="120" w:line="259" w:lineRule="auto"/>
        <w:contextualSpacing w:val="0"/>
        <w:rPr>
          <w:rFonts w:cs="Times New Roman"/>
          <w:lang w:val="es-ES"/>
        </w:rPr>
      </w:pPr>
      <w:r>
        <w:rPr>
          <w:rFonts w:eastAsia="Times New Roman" w:cs="Times New Roman"/>
          <w:lang w:val="pt-BR"/>
        </w:rPr>
        <w:t>O NJTSS deve ser destacado no site do NJDOE para fornecer acesso fácil a valiosos recursos de alfabetização inicial.</w:t>
      </w:r>
    </w:p>
    <w:p w14:paraId="4F8CEDE6" w14:textId="77777777" w:rsidR="002E475C" w:rsidRPr="00CB0C0E" w:rsidRDefault="00000000">
      <w:pPr>
        <w:pStyle w:val="a6"/>
        <w:numPr>
          <w:ilvl w:val="0"/>
          <w:numId w:val="157"/>
        </w:numPr>
        <w:spacing w:after="120" w:line="259" w:lineRule="auto"/>
        <w:contextualSpacing w:val="0"/>
        <w:rPr>
          <w:rFonts w:cs="Times New Roman"/>
          <w:lang w:val="es-ES"/>
        </w:rPr>
      </w:pPr>
      <w:r>
        <w:rPr>
          <w:rFonts w:eastAsia="Times New Roman" w:cs="Times New Roman"/>
          <w:lang w:val="pt-BR"/>
        </w:rPr>
        <w:t>A colaboração com organizações como o NJASCD para desenvolvimento profissional é crucial para melhorar a eficácia da implementação do NJTSS.</w:t>
      </w:r>
    </w:p>
    <w:p w14:paraId="6C8F6E36" w14:textId="77777777" w:rsidR="002E475C" w:rsidRPr="00CB0C0E" w:rsidRDefault="00000000">
      <w:pPr>
        <w:pStyle w:val="a6"/>
        <w:numPr>
          <w:ilvl w:val="0"/>
          <w:numId w:val="157"/>
        </w:numPr>
        <w:spacing w:after="120" w:line="259" w:lineRule="auto"/>
        <w:contextualSpacing w:val="0"/>
        <w:rPr>
          <w:rFonts w:cs="Times New Roman"/>
          <w:lang w:val="es-ES"/>
        </w:rPr>
      </w:pPr>
      <w:r>
        <w:rPr>
          <w:rFonts w:eastAsia="Times New Roman" w:cs="Times New Roman"/>
          <w:lang w:val="pt-BR"/>
        </w:rPr>
        <w:t>Incorporar uma perspectiva parental é essencial para garantir que o apoio em níveis seja efetivamente implementado, reconhecendo o papel vital dos pais no processo.</w:t>
      </w:r>
    </w:p>
    <w:p w14:paraId="55840FC4" w14:textId="77777777" w:rsidR="002E475C" w:rsidRPr="00CB0C0E" w:rsidRDefault="00000000">
      <w:pPr>
        <w:pStyle w:val="a6"/>
        <w:numPr>
          <w:ilvl w:val="0"/>
          <w:numId w:val="157"/>
        </w:numPr>
        <w:spacing w:after="120" w:line="259" w:lineRule="auto"/>
        <w:contextualSpacing w:val="0"/>
        <w:rPr>
          <w:rFonts w:cs="Times New Roman"/>
          <w:lang w:val="es-ES"/>
        </w:rPr>
      </w:pPr>
      <w:r>
        <w:rPr>
          <w:rFonts w:eastAsia="Times New Roman" w:cs="Times New Roman"/>
          <w:lang w:val="pt-BR"/>
        </w:rPr>
        <w:t>Abordar preocupações sobre alunos multilíngues que não recebem apoio adequado dentro da estrutura do NJTSS é importante para oportunidades educacionais equitativas.</w:t>
      </w:r>
    </w:p>
    <w:p w14:paraId="465DBFAC" w14:textId="77777777" w:rsidR="002E475C" w:rsidRPr="00CB0C0E" w:rsidRDefault="00000000">
      <w:pPr>
        <w:pStyle w:val="a6"/>
        <w:numPr>
          <w:ilvl w:val="0"/>
          <w:numId w:val="157"/>
        </w:numPr>
        <w:spacing w:after="120" w:line="259" w:lineRule="auto"/>
        <w:contextualSpacing w:val="0"/>
        <w:rPr>
          <w:rFonts w:cs="Times New Roman"/>
          <w:lang w:val="es-ES"/>
        </w:rPr>
      </w:pPr>
      <w:r>
        <w:rPr>
          <w:rFonts w:eastAsia="Times New Roman" w:cs="Times New Roman"/>
          <w:lang w:val="pt-BR"/>
        </w:rPr>
        <w:t>A liderança com conhecimento profissional das diversas necessidades dos alunos é necessária para um esforço estruturado e coordenado na implementação do NJTSS.</w:t>
      </w:r>
    </w:p>
    <w:p w14:paraId="158F11CA" w14:textId="77777777" w:rsidR="002E475C" w:rsidRPr="00CB0C0E" w:rsidRDefault="00000000">
      <w:pPr>
        <w:pStyle w:val="a6"/>
        <w:numPr>
          <w:ilvl w:val="0"/>
          <w:numId w:val="157"/>
        </w:numPr>
        <w:spacing w:after="120" w:line="259" w:lineRule="auto"/>
        <w:contextualSpacing w:val="0"/>
        <w:rPr>
          <w:rFonts w:cs="Times New Roman"/>
          <w:lang w:val="es-ES"/>
        </w:rPr>
      </w:pPr>
      <w:r>
        <w:rPr>
          <w:rFonts w:eastAsia="Times New Roman" w:cs="Times New Roman"/>
          <w:lang w:val="pt-BR"/>
        </w:rPr>
        <w:t>O apoio de liderança de “nível superior” é fundamental para a implementação bem-sucedida do NJTSS em todos os distritos para impulsionar a mudança sistêmica.</w:t>
      </w:r>
    </w:p>
    <w:p w14:paraId="2CAA1FDE" w14:textId="77777777" w:rsidR="002E475C" w:rsidRPr="00CB0C0E" w:rsidRDefault="00000000">
      <w:pPr>
        <w:pStyle w:val="a6"/>
        <w:numPr>
          <w:ilvl w:val="0"/>
          <w:numId w:val="157"/>
        </w:numPr>
        <w:spacing w:after="120" w:line="259" w:lineRule="auto"/>
        <w:contextualSpacing w:val="0"/>
        <w:rPr>
          <w:rFonts w:cs="Times New Roman"/>
          <w:lang w:val="es-ES"/>
        </w:rPr>
      </w:pPr>
      <w:r>
        <w:rPr>
          <w:rFonts w:eastAsia="Times New Roman" w:cs="Times New Roman"/>
          <w:lang w:val="pt-BR"/>
        </w:rPr>
        <w:t>É necessário esclarecimento sobre como o NJTSS pode ser aplicado em ambientes de educação geral e especial, incluindo sua interseção com os Serviços de Intervenção e Indicação (Intervention and Referral Services, IR&amp;S), para uma implementação eficaz.</w:t>
      </w:r>
    </w:p>
    <w:p w14:paraId="159544F1" w14:textId="77777777" w:rsidR="002E475C" w:rsidRPr="00CB0C0E" w:rsidRDefault="00000000">
      <w:pPr>
        <w:pStyle w:val="a6"/>
        <w:numPr>
          <w:ilvl w:val="0"/>
          <w:numId w:val="157"/>
        </w:numPr>
        <w:spacing w:after="120" w:line="259" w:lineRule="auto"/>
        <w:contextualSpacing w:val="0"/>
        <w:rPr>
          <w:rFonts w:cs="Times New Roman"/>
          <w:lang w:val="es-ES"/>
        </w:rPr>
      </w:pPr>
      <w:r>
        <w:rPr>
          <w:rFonts w:eastAsia="Times New Roman" w:cs="Times New Roman"/>
          <w:lang w:val="pt-BR"/>
        </w:rPr>
        <w:t>Oferecer oportunidades de desenvolvimento profissional é essencial para divulgar informações de forma eficaz e construir adesão dentro da comunidade educacional para o NJTSS.</w:t>
      </w:r>
    </w:p>
    <w:p w14:paraId="1A829B5C" w14:textId="77777777" w:rsidR="002E475C" w:rsidRPr="00CB0C0E" w:rsidRDefault="00000000">
      <w:pPr>
        <w:pStyle w:val="a6"/>
        <w:numPr>
          <w:ilvl w:val="0"/>
          <w:numId w:val="157"/>
        </w:numPr>
        <w:spacing w:after="120" w:line="259" w:lineRule="auto"/>
        <w:contextualSpacing w:val="0"/>
        <w:rPr>
          <w:rFonts w:cs="Times New Roman"/>
          <w:lang w:val="es-ES"/>
        </w:rPr>
      </w:pPr>
      <w:r>
        <w:rPr>
          <w:rFonts w:eastAsia="Times New Roman" w:cs="Times New Roman"/>
          <w:lang w:val="pt-BR"/>
        </w:rPr>
        <w:t>A colaboração com grupos como o Conselho de NJ sobre Deficiências de Desenvolvimento pode ajudar a alinhar as metas dos alunos com os objetivos ambiciosos definidos pelo NJTSS.</w:t>
      </w:r>
    </w:p>
    <w:p w14:paraId="1F8EC8AE" w14:textId="51D9E645" w:rsidR="002E475C" w:rsidRPr="00CB0C0E" w:rsidRDefault="00000000" w:rsidP="00E85EE6">
      <w:pPr>
        <w:pStyle w:val="a6"/>
        <w:numPr>
          <w:ilvl w:val="0"/>
          <w:numId w:val="157"/>
        </w:numPr>
        <w:spacing w:after="160" w:line="259" w:lineRule="auto"/>
        <w:rPr>
          <w:rFonts w:cs="Times New Roman"/>
          <w:lang w:val="es-ES"/>
        </w:rPr>
      </w:pPr>
      <w:r>
        <w:rPr>
          <w:rFonts w:eastAsia="Times New Roman" w:cs="Times New Roman"/>
          <w:lang w:val="pt-BR"/>
        </w:rPr>
        <w:t>Desenvolver uma campanha para promover o NJTSS, começando com professores em sala de aula e subindo na hierarquia, e criar ferramentas e recursos para disseminação é crucial para aumentar a conscientização e o apoio ao NJTSS.</w:t>
      </w:r>
    </w:p>
    <w:p w14:paraId="43B56DCA" w14:textId="77777777" w:rsidR="002E475C" w:rsidRPr="00CB0C0E" w:rsidRDefault="00000000" w:rsidP="00F2490A">
      <w:pPr>
        <w:pStyle w:val="4"/>
        <w:rPr>
          <w:lang w:val="es-ES"/>
        </w:rPr>
      </w:pPr>
      <w:bookmarkStart w:id="333" w:name="_Toc199403857"/>
      <w:r>
        <w:rPr>
          <w:rFonts w:ascii="Cambria" w:eastAsia="Cambria" w:hAnsi="Cambria" w:cs="Arial"/>
          <w:szCs w:val="24"/>
          <w:lang w:val="pt-BR"/>
        </w:rPr>
        <w:lastRenderedPageBreak/>
        <w:t>Principais temas e conclusões da sessão</w:t>
      </w:r>
      <w:bookmarkEnd w:id="333"/>
    </w:p>
    <w:p w14:paraId="2241A92A" w14:textId="77777777" w:rsidR="002E475C" w:rsidRPr="00CB0C0E" w:rsidRDefault="00000000" w:rsidP="002E475C">
      <w:pPr>
        <w:rPr>
          <w:rFonts w:cs="Times New Roman"/>
          <w:lang w:val="es-ES"/>
        </w:rPr>
      </w:pPr>
      <w:r>
        <w:rPr>
          <w:rFonts w:eastAsia="Times New Roman" w:cs="Times New Roman"/>
          <w:lang w:val="pt-BR"/>
        </w:rPr>
        <w:t xml:space="preserve">Durante a discussão sobre o progresso do NJTSS e a proposta de qualidade escolar/sucesso do aluno (persistência do aluno), surgiram vários temas e conclusões importantes: </w:t>
      </w:r>
    </w:p>
    <w:p w14:paraId="4C036E5F" w14:textId="77777777" w:rsidR="002E475C" w:rsidRPr="00CB0C0E" w:rsidRDefault="00000000">
      <w:pPr>
        <w:pStyle w:val="a6"/>
        <w:numPr>
          <w:ilvl w:val="0"/>
          <w:numId w:val="154"/>
        </w:numPr>
        <w:spacing w:after="120" w:line="264" w:lineRule="auto"/>
        <w:contextualSpacing w:val="0"/>
        <w:rPr>
          <w:rFonts w:cs="Times New Roman"/>
          <w:lang w:val="es-ES"/>
        </w:rPr>
      </w:pPr>
      <w:r>
        <w:rPr>
          <w:rFonts w:eastAsia="Times New Roman" w:cs="Times New Roman"/>
          <w:lang w:val="pt-BR"/>
        </w:rPr>
        <w:t>Reconhecimento do trabalho árduo das escolas.</w:t>
      </w:r>
    </w:p>
    <w:p w14:paraId="3AAE229B" w14:textId="77777777" w:rsidR="002E475C" w:rsidRPr="00CB0C0E" w:rsidRDefault="00000000">
      <w:pPr>
        <w:pStyle w:val="a6"/>
        <w:numPr>
          <w:ilvl w:val="0"/>
          <w:numId w:val="154"/>
        </w:numPr>
        <w:spacing w:after="120" w:line="264" w:lineRule="auto"/>
        <w:contextualSpacing w:val="0"/>
        <w:rPr>
          <w:rFonts w:cs="Times New Roman"/>
          <w:lang w:val="es-ES"/>
        </w:rPr>
      </w:pPr>
      <w:r>
        <w:rPr>
          <w:rFonts w:eastAsia="Times New Roman" w:cs="Times New Roman"/>
          <w:lang w:val="pt-BR"/>
        </w:rPr>
        <w:t>Importância de considerar a formação e a persistência juntos.</w:t>
      </w:r>
    </w:p>
    <w:p w14:paraId="457263F5" w14:textId="77777777" w:rsidR="002E475C" w:rsidRPr="00CB0C0E" w:rsidRDefault="00000000">
      <w:pPr>
        <w:pStyle w:val="a6"/>
        <w:numPr>
          <w:ilvl w:val="0"/>
          <w:numId w:val="154"/>
        </w:numPr>
        <w:spacing w:after="120" w:line="264" w:lineRule="auto"/>
        <w:contextualSpacing w:val="0"/>
        <w:rPr>
          <w:rFonts w:cs="Times New Roman"/>
          <w:lang w:val="es-ES"/>
        </w:rPr>
      </w:pPr>
      <w:r>
        <w:rPr>
          <w:rFonts w:eastAsia="Times New Roman" w:cs="Times New Roman"/>
          <w:lang w:val="pt-BR"/>
        </w:rPr>
        <w:t>Reconhecimento da necessidade de abordar pesos de absenteísmo crônico.</w:t>
      </w:r>
    </w:p>
    <w:p w14:paraId="50718B10" w14:textId="77777777" w:rsidR="002E475C" w:rsidRPr="00CB0C0E" w:rsidRDefault="00000000">
      <w:pPr>
        <w:pStyle w:val="a6"/>
        <w:numPr>
          <w:ilvl w:val="0"/>
          <w:numId w:val="154"/>
        </w:numPr>
        <w:spacing w:after="120" w:line="264" w:lineRule="auto"/>
        <w:contextualSpacing w:val="0"/>
        <w:rPr>
          <w:rFonts w:cs="Times New Roman"/>
          <w:lang w:val="es-ES"/>
        </w:rPr>
      </w:pPr>
      <w:r>
        <w:rPr>
          <w:rFonts w:eastAsia="Times New Roman" w:cs="Times New Roman"/>
          <w:lang w:val="pt-BR"/>
        </w:rPr>
        <w:t>Concordância sobre a direção e aceitabilidade de itens essenciais com pequenas diferenças.</w:t>
      </w:r>
    </w:p>
    <w:p w14:paraId="2EF0D595" w14:textId="77777777" w:rsidR="002E475C" w:rsidRPr="00CB0C0E" w:rsidRDefault="00000000">
      <w:pPr>
        <w:pStyle w:val="a6"/>
        <w:numPr>
          <w:ilvl w:val="0"/>
          <w:numId w:val="154"/>
        </w:numPr>
        <w:spacing w:after="120" w:line="264" w:lineRule="auto"/>
        <w:contextualSpacing w:val="0"/>
        <w:rPr>
          <w:rFonts w:cs="Times New Roman"/>
          <w:lang w:val="es-ES"/>
        </w:rPr>
      </w:pPr>
      <w:r>
        <w:rPr>
          <w:rFonts w:eastAsia="Times New Roman" w:cs="Times New Roman"/>
          <w:lang w:val="pt-BR"/>
        </w:rPr>
        <w:t>Aprovação da apresentação do NJDOE.</w:t>
      </w:r>
    </w:p>
    <w:p w14:paraId="683E76C4" w14:textId="77777777" w:rsidR="002E475C" w:rsidRPr="00CB0C0E" w:rsidRDefault="00000000">
      <w:pPr>
        <w:pStyle w:val="a6"/>
        <w:numPr>
          <w:ilvl w:val="0"/>
          <w:numId w:val="154"/>
        </w:numPr>
        <w:spacing w:after="120" w:line="264" w:lineRule="auto"/>
        <w:contextualSpacing w:val="0"/>
        <w:rPr>
          <w:rFonts w:cs="Times New Roman"/>
          <w:lang w:val="es-ES"/>
        </w:rPr>
      </w:pPr>
      <w:r>
        <w:rPr>
          <w:rFonts w:eastAsia="Times New Roman" w:cs="Times New Roman"/>
          <w:lang w:val="pt-BR"/>
        </w:rPr>
        <w:t>Foco na definição de absenteísmo crônico e métrica de persistência do ensino médio.</w:t>
      </w:r>
    </w:p>
    <w:p w14:paraId="3F5F1B8A" w14:textId="77777777" w:rsidR="002E475C" w:rsidRPr="00CB0C0E" w:rsidRDefault="00000000">
      <w:pPr>
        <w:pStyle w:val="a6"/>
        <w:numPr>
          <w:ilvl w:val="0"/>
          <w:numId w:val="154"/>
        </w:numPr>
        <w:spacing w:after="120" w:line="264" w:lineRule="auto"/>
        <w:contextualSpacing w:val="0"/>
        <w:rPr>
          <w:rFonts w:cs="Times New Roman"/>
          <w:lang w:val="es-ES"/>
        </w:rPr>
      </w:pPr>
      <w:r>
        <w:rPr>
          <w:rFonts w:eastAsia="Times New Roman" w:cs="Times New Roman"/>
          <w:lang w:val="pt-BR"/>
        </w:rPr>
        <w:t>Ênfase na correlação entre absenteísmo crônico e sucesso dos alunos.</w:t>
      </w:r>
    </w:p>
    <w:p w14:paraId="3EB04AE9" w14:textId="77777777" w:rsidR="002E475C" w:rsidRPr="00CB0C0E" w:rsidRDefault="00000000">
      <w:pPr>
        <w:pStyle w:val="a6"/>
        <w:numPr>
          <w:ilvl w:val="0"/>
          <w:numId w:val="154"/>
        </w:numPr>
        <w:spacing w:after="120" w:line="264" w:lineRule="auto"/>
        <w:contextualSpacing w:val="0"/>
        <w:rPr>
          <w:rFonts w:cs="Times New Roman"/>
          <w:lang w:val="es-ES"/>
        </w:rPr>
      </w:pPr>
      <w:r>
        <w:rPr>
          <w:rFonts w:eastAsia="Times New Roman" w:cs="Times New Roman"/>
          <w:lang w:val="pt-BR"/>
        </w:rPr>
        <w:t>Reconhecimento da complexidade dos fatores de absenteísmo crônico.</w:t>
      </w:r>
    </w:p>
    <w:p w14:paraId="0C3694F4" w14:textId="77777777" w:rsidR="002E475C" w:rsidRPr="00CB0C0E" w:rsidRDefault="00000000">
      <w:pPr>
        <w:pStyle w:val="a6"/>
        <w:numPr>
          <w:ilvl w:val="0"/>
          <w:numId w:val="154"/>
        </w:numPr>
        <w:spacing w:after="120" w:line="264" w:lineRule="auto"/>
        <w:contextualSpacing w:val="0"/>
        <w:rPr>
          <w:rFonts w:cs="Times New Roman"/>
          <w:lang w:val="es-ES"/>
        </w:rPr>
      </w:pPr>
      <w:r>
        <w:rPr>
          <w:rFonts w:eastAsia="Times New Roman" w:cs="Times New Roman"/>
          <w:lang w:val="pt-BR"/>
        </w:rPr>
        <w:t>Interesse em usar a persistência dos alunos como um indicador de sucesso.</w:t>
      </w:r>
    </w:p>
    <w:p w14:paraId="24FD12FC" w14:textId="77777777" w:rsidR="002E475C" w:rsidRPr="00CB0C0E" w:rsidRDefault="00000000">
      <w:pPr>
        <w:pStyle w:val="a6"/>
        <w:numPr>
          <w:ilvl w:val="0"/>
          <w:numId w:val="154"/>
        </w:numPr>
        <w:spacing w:after="120" w:line="264" w:lineRule="auto"/>
        <w:rPr>
          <w:rFonts w:cs="Times New Roman"/>
          <w:lang w:val="es-ES"/>
        </w:rPr>
      </w:pPr>
      <w:r>
        <w:rPr>
          <w:rFonts w:eastAsia="Times New Roman" w:cs="Times New Roman"/>
          <w:lang w:val="pt-BR"/>
        </w:rPr>
        <w:t>Reconhecimento da importância separada da taxa de formação e taxa de persistência.</w:t>
      </w:r>
      <w:bookmarkStart w:id="334" w:name="_Feedback_on_the_7"/>
      <w:bookmarkEnd w:id="334"/>
      <w:r>
        <w:rPr>
          <w:rFonts w:eastAsia="Times New Roman" w:cs="Times New Roman"/>
          <w:lang w:val="pt-BR"/>
        </w:rPr>
        <w:br w:type="page"/>
      </w:r>
    </w:p>
    <w:p w14:paraId="1BCE05D2" w14:textId="77777777" w:rsidR="002E475C" w:rsidRPr="00CB0C0E" w:rsidRDefault="00000000" w:rsidP="00856537">
      <w:pPr>
        <w:pStyle w:val="A30"/>
        <w:spacing w:after="220"/>
        <w:rPr>
          <w:lang w:val="es-ES"/>
        </w:rPr>
      </w:pPr>
      <w:bookmarkStart w:id="335" w:name="_Feedback_on_the_12"/>
      <w:bookmarkStart w:id="336" w:name="_Toc171333352"/>
      <w:bookmarkStart w:id="337" w:name="_Toc199403858"/>
      <w:bookmarkEnd w:id="335"/>
      <w:r>
        <w:lastRenderedPageBreak/>
        <w:t>Feedback sobre a proposta de avaliações</w:t>
      </w:r>
      <w:bookmarkEnd w:id="336"/>
      <w:r>
        <w:br/>
        <w:t xml:space="preserve">Sessão nº. 5 (19 de </w:t>
      </w:r>
      <w:r w:rsidRPr="00856537">
        <w:rPr>
          <w:rStyle w:val="normaltextrun"/>
        </w:rPr>
        <w:t>março</w:t>
      </w:r>
      <w:r>
        <w:t>)</w:t>
      </w:r>
      <w:bookmarkEnd w:id="337"/>
    </w:p>
    <w:p w14:paraId="49C20C93" w14:textId="77777777" w:rsidR="002E475C" w:rsidRPr="00CB0C0E" w:rsidRDefault="00000000" w:rsidP="002E475C">
      <w:pPr>
        <w:rPr>
          <w:rFonts w:cs="Times New Roman"/>
          <w:lang w:val="es-ES"/>
        </w:rPr>
      </w:pPr>
      <w:r>
        <w:rPr>
          <w:rFonts w:eastAsia="Times New Roman" w:cs="Times New Roman"/>
          <w:lang w:val="pt-BR"/>
        </w:rPr>
        <w:t>Os participantes forneceram reações iniciais à proposta de avaliação, que visa remover os critérios de nível de município para determinar idiomas diferentes do inglês para oferecer as avaliações e estabelecer um grupo de trabalho para revisar e propor novas métricas.</w:t>
      </w:r>
    </w:p>
    <w:p w14:paraId="34694197" w14:textId="77777777" w:rsidR="002E475C" w:rsidRPr="00CB0C0E" w:rsidRDefault="00000000" w:rsidP="004A0F6A">
      <w:pPr>
        <w:pStyle w:val="4"/>
        <w:rPr>
          <w:lang w:val="es-ES"/>
        </w:rPr>
      </w:pPr>
      <w:bookmarkStart w:id="338" w:name="_Toc199403859"/>
      <w:r>
        <w:rPr>
          <w:rFonts w:ascii="Cambria" w:eastAsia="Cambria" w:hAnsi="Cambria" w:cs="Arial"/>
          <w:szCs w:val="24"/>
          <w:lang w:val="pt-BR"/>
        </w:rPr>
        <w:t>Feedback das partes interessadas</w:t>
      </w:r>
      <w:bookmarkEnd w:id="338"/>
    </w:p>
    <w:p w14:paraId="4505FDB2" w14:textId="77777777" w:rsidR="004A0F6A" w:rsidRPr="00CB0C0E" w:rsidRDefault="00000000" w:rsidP="004A0F6A">
      <w:pPr>
        <w:pStyle w:val="5"/>
        <w:rPr>
          <w:lang w:val="es-ES"/>
        </w:rPr>
      </w:pPr>
      <w:r>
        <w:rPr>
          <w:rFonts w:ascii="Cambria" w:eastAsia="Cambria" w:hAnsi="Cambria" w:cs="Times New Roman"/>
          <w:bCs/>
          <w:lang w:val="pt-BR"/>
        </w:rPr>
        <w:t xml:space="preserve">Pergunta 1: Critérios </w:t>
      </w:r>
    </w:p>
    <w:p w14:paraId="11E26637" w14:textId="77777777" w:rsidR="002E475C" w:rsidRPr="00CB0C0E" w:rsidRDefault="00000000" w:rsidP="004A0F6A">
      <w:pPr>
        <w:rPr>
          <w:b/>
          <w:bCs/>
          <w:color w:val="074F6A"/>
          <w:lang w:val="es-ES"/>
        </w:rPr>
      </w:pPr>
      <w:r>
        <w:rPr>
          <w:rFonts w:eastAsia="Times New Roman" w:cs="Arial"/>
          <w:b/>
          <w:bCs/>
          <w:color w:val="074F6A"/>
          <w:lang w:val="pt-BR"/>
        </w:rPr>
        <w:t xml:space="preserve">Os critérios que Nova Jersey está usando para identificar quais idiomas traduzir as avaliações para a melhor métrica? </w:t>
      </w:r>
    </w:p>
    <w:p w14:paraId="35780993" w14:textId="77777777" w:rsidR="002E475C" w:rsidRPr="004A0F6A" w:rsidRDefault="00000000" w:rsidP="004A0F6A">
      <w:pPr>
        <w:pStyle w:val="6"/>
      </w:pPr>
      <w:r>
        <w:rPr>
          <w:rFonts w:ascii="Cambria" w:eastAsia="Cambria" w:hAnsi="Cambria" w:cs="Arial"/>
          <w:lang w:val="pt-BR"/>
        </w:rPr>
        <w:t>Respostas</w:t>
      </w:r>
    </w:p>
    <w:p w14:paraId="59140BB7" w14:textId="77777777" w:rsidR="002E475C" w:rsidRPr="00CB0C0E" w:rsidRDefault="00000000">
      <w:pPr>
        <w:pStyle w:val="a6"/>
        <w:numPr>
          <w:ilvl w:val="0"/>
          <w:numId w:val="160"/>
        </w:numPr>
        <w:spacing w:after="120" w:line="259" w:lineRule="auto"/>
        <w:contextualSpacing w:val="0"/>
        <w:rPr>
          <w:rFonts w:cs="Times New Roman"/>
          <w:lang w:val="es-ES"/>
        </w:rPr>
      </w:pPr>
      <w:r>
        <w:rPr>
          <w:rFonts w:eastAsia="Times New Roman" w:cs="Times New Roman"/>
          <w:lang w:val="pt-BR"/>
        </w:rPr>
        <w:t>Pergunta sobre o processo e o custo de traduzir os testes, defendendo traduções em todos os idiomas disponíveis.</w:t>
      </w:r>
    </w:p>
    <w:p w14:paraId="711257F9" w14:textId="77777777" w:rsidR="002E475C" w:rsidRPr="00CB0C0E" w:rsidRDefault="00000000">
      <w:pPr>
        <w:pStyle w:val="a6"/>
        <w:numPr>
          <w:ilvl w:val="0"/>
          <w:numId w:val="160"/>
        </w:numPr>
        <w:spacing w:after="120" w:line="259" w:lineRule="auto"/>
        <w:contextualSpacing w:val="0"/>
        <w:rPr>
          <w:rFonts w:cs="Times New Roman"/>
          <w:lang w:val="es-ES"/>
        </w:rPr>
      </w:pPr>
      <w:r>
        <w:rPr>
          <w:rFonts w:eastAsia="Times New Roman" w:cs="Times New Roman"/>
          <w:lang w:val="pt-BR"/>
        </w:rPr>
        <w:t>Critica o baixo limite de 5% para tradução como fiscalmente irresponsável para uma população tão pequena.</w:t>
      </w:r>
    </w:p>
    <w:p w14:paraId="67C5EC42" w14:textId="77777777" w:rsidR="002E475C" w:rsidRPr="00CB0C0E" w:rsidRDefault="00000000">
      <w:pPr>
        <w:pStyle w:val="a6"/>
        <w:numPr>
          <w:ilvl w:val="0"/>
          <w:numId w:val="160"/>
        </w:numPr>
        <w:spacing w:after="120" w:line="259" w:lineRule="auto"/>
        <w:contextualSpacing w:val="0"/>
        <w:rPr>
          <w:rFonts w:cs="Times New Roman"/>
          <w:lang w:val="es-ES"/>
        </w:rPr>
      </w:pPr>
      <w:r>
        <w:rPr>
          <w:rFonts w:eastAsia="Times New Roman" w:cs="Times New Roman"/>
          <w:lang w:val="pt-BR"/>
        </w:rPr>
        <w:t>Aponta desafios com os pais não divulgando outros idiomas falados em casa nos formulários distritais, levando a possíveis barreiras linguísticas durante as avaliações.</w:t>
      </w:r>
    </w:p>
    <w:p w14:paraId="2F05831C" w14:textId="77777777" w:rsidR="002E475C" w:rsidRPr="00CB0C0E" w:rsidRDefault="00000000">
      <w:pPr>
        <w:pStyle w:val="a6"/>
        <w:numPr>
          <w:ilvl w:val="0"/>
          <w:numId w:val="160"/>
        </w:numPr>
        <w:spacing w:after="120" w:line="259" w:lineRule="auto"/>
        <w:contextualSpacing w:val="0"/>
        <w:rPr>
          <w:rFonts w:cs="Times New Roman"/>
          <w:lang w:val="es-ES"/>
        </w:rPr>
      </w:pPr>
      <w:r>
        <w:rPr>
          <w:rFonts w:eastAsia="Times New Roman" w:cs="Times New Roman"/>
          <w:lang w:val="pt-BR"/>
        </w:rPr>
        <w:t>Levanta preocupações sobre palavras específicas de conteúdo em avaliações não existentes nos idiomas falados pelos alunos, afetando a compreensão.</w:t>
      </w:r>
    </w:p>
    <w:p w14:paraId="01838891" w14:textId="77777777" w:rsidR="002E475C" w:rsidRPr="00CB0C0E" w:rsidRDefault="00000000">
      <w:pPr>
        <w:pStyle w:val="a6"/>
        <w:numPr>
          <w:ilvl w:val="0"/>
          <w:numId w:val="160"/>
        </w:numPr>
        <w:spacing w:after="120" w:line="259" w:lineRule="auto"/>
        <w:contextualSpacing w:val="0"/>
        <w:rPr>
          <w:rFonts w:cs="Times New Roman"/>
          <w:lang w:val="es-ES"/>
        </w:rPr>
      </w:pPr>
      <w:r>
        <w:rPr>
          <w:rFonts w:eastAsia="Times New Roman" w:cs="Times New Roman"/>
          <w:lang w:val="pt-BR"/>
        </w:rPr>
        <w:t>Defende o ensino de estudantes em inglês enquanto oferece recursos de transição em todos os idiomas falados no distrito, como dicionários em urdu/inglês e materiais traduzidos.</w:t>
      </w:r>
    </w:p>
    <w:p w14:paraId="2E1AC96A" w14:textId="77777777" w:rsidR="002E475C" w:rsidRPr="00CB0C0E" w:rsidRDefault="00000000">
      <w:pPr>
        <w:pStyle w:val="a6"/>
        <w:numPr>
          <w:ilvl w:val="0"/>
          <w:numId w:val="160"/>
        </w:numPr>
        <w:spacing w:after="120" w:line="259" w:lineRule="auto"/>
        <w:contextualSpacing w:val="0"/>
        <w:rPr>
          <w:rFonts w:cs="Times New Roman"/>
          <w:lang w:val="es-ES"/>
        </w:rPr>
      </w:pPr>
      <w:r>
        <w:rPr>
          <w:rFonts w:eastAsia="Times New Roman" w:cs="Times New Roman"/>
          <w:lang w:val="pt-BR"/>
        </w:rPr>
        <w:t>Defende mais traduções, mesmo para alguns alunos; sugeriu alavancar a tecnologia para reduzir custos.</w:t>
      </w:r>
    </w:p>
    <w:p w14:paraId="54ADBDD3" w14:textId="77777777" w:rsidR="002E475C" w:rsidRPr="00CB0C0E" w:rsidRDefault="00000000">
      <w:pPr>
        <w:pStyle w:val="a6"/>
        <w:numPr>
          <w:ilvl w:val="0"/>
          <w:numId w:val="160"/>
        </w:numPr>
        <w:spacing w:after="120" w:line="259" w:lineRule="auto"/>
        <w:contextualSpacing w:val="0"/>
        <w:rPr>
          <w:rFonts w:cs="Times New Roman"/>
          <w:lang w:val="es-ES"/>
        </w:rPr>
      </w:pPr>
      <w:r>
        <w:rPr>
          <w:rFonts w:eastAsia="Times New Roman" w:cs="Times New Roman"/>
          <w:lang w:val="pt-BR"/>
        </w:rPr>
        <w:t>Levanta preocupações sobre a adequação dos critérios para alunos de ML no primeiro ano e o impacto da exclusão na autoconfiança e no engajamento durante as avaliações.</w:t>
      </w:r>
    </w:p>
    <w:p w14:paraId="28583696" w14:textId="77777777" w:rsidR="002E475C" w:rsidRPr="00CB0C0E" w:rsidRDefault="00000000">
      <w:pPr>
        <w:pStyle w:val="a6"/>
        <w:numPr>
          <w:ilvl w:val="0"/>
          <w:numId w:val="160"/>
        </w:numPr>
        <w:spacing w:after="120" w:line="259" w:lineRule="auto"/>
        <w:contextualSpacing w:val="0"/>
        <w:rPr>
          <w:rFonts w:cs="Times New Roman"/>
          <w:lang w:val="es-ES"/>
        </w:rPr>
      </w:pPr>
      <w:r>
        <w:rPr>
          <w:rFonts w:eastAsia="Times New Roman" w:cs="Times New Roman"/>
          <w:lang w:val="pt-BR"/>
        </w:rPr>
        <w:t>Compartilha uma história de janela de teste destacando os desafios dos alunos em fazer avaliações em idiomas desconhecidos.</w:t>
      </w:r>
    </w:p>
    <w:p w14:paraId="5B32DC14" w14:textId="77777777" w:rsidR="002E475C" w:rsidRPr="00CB0C0E" w:rsidRDefault="00000000">
      <w:pPr>
        <w:pStyle w:val="a6"/>
        <w:numPr>
          <w:ilvl w:val="0"/>
          <w:numId w:val="160"/>
        </w:numPr>
        <w:spacing w:after="120" w:line="259" w:lineRule="auto"/>
        <w:contextualSpacing w:val="0"/>
        <w:rPr>
          <w:rFonts w:cs="Times New Roman"/>
          <w:lang w:val="es-ES"/>
        </w:rPr>
      </w:pPr>
      <w:r>
        <w:rPr>
          <w:rFonts w:eastAsia="Times New Roman" w:cs="Times New Roman"/>
          <w:lang w:val="pt-BR"/>
        </w:rPr>
        <w:t>Enfatiza a importância de os alunos serem capazes de fazer testes em idiomas que entendem para avaliar seus conhecimentos com precisão.</w:t>
      </w:r>
    </w:p>
    <w:p w14:paraId="4931BEF6" w14:textId="77777777" w:rsidR="002E475C" w:rsidRPr="00CB0C0E" w:rsidRDefault="00000000">
      <w:pPr>
        <w:pStyle w:val="a6"/>
        <w:numPr>
          <w:ilvl w:val="0"/>
          <w:numId w:val="160"/>
        </w:numPr>
        <w:spacing w:after="120" w:line="259" w:lineRule="auto"/>
        <w:contextualSpacing w:val="0"/>
        <w:rPr>
          <w:rFonts w:cs="Times New Roman"/>
          <w:lang w:val="es-ES"/>
        </w:rPr>
      </w:pPr>
      <w:r>
        <w:rPr>
          <w:rFonts w:eastAsia="Times New Roman" w:cs="Times New Roman"/>
          <w:lang w:val="pt-BR"/>
        </w:rPr>
        <w:t>Recomenda traduzir avaliações em todo o estado se muitos alunos puderem se beneficiar.</w:t>
      </w:r>
    </w:p>
    <w:p w14:paraId="1477B917" w14:textId="77777777" w:rsidR="002E475C" w:rsidRPr="00CB0C0E" w:rsidRDefault="00000000">
      <w:pPr>
        <w:pStyle w:val="a6"/>
        <w:numPr>
          <w:ilvl w:val="0"/>
          <w:numId w:val="160"/>
        </w:numPr>
        <w:spacing w:after="120" w:line="259" w:lineRule="auto"/>
        <w:contextualSpacing w:val="0"/>
        <w:rPr>
          <w:rFonts w:cs="Times New Roman"/>
          <w:lang w:val="es-ES"/>
        </w:rPr>
      </w:pPr>
      <w:r>
        <w:rPr>
          <w:rFonts w:eastAsia="Times New Roman" w:cs="Times New Roman"/>
          <w:lang w:val="pt-BR"/>
        </w:rPr>
        <w:t>Questiona o custo percebido da tradução eletrônica e expressa apreço pelo trabalho do NJDOE.</w:t>
      </w:r>
    </w:p>
    <w:p w14:paraId="5004530A" w14:textId="77777777" w:rsidR="002E475C" w:rsidRPr="00CB0C0E" w:rsidRDefault="00000000">
      <w:pPr>
        <w:pStyle w:val="a6"/>
        <w:numPr>
          <w:ilvl w:val="0"/>
          <w:numId w:val="158"/>
        </w:numPr>
        <w:spacing w:after="120" w:line="264" w:lineRule="auto"/>
        <w:contextualSpacing w:val="0"/>
        <w:rPr>
          <w:rFonts w:eastAsia="Times New Roman" w:cs="Times New Roman"/>
          <w:lang w:val="es-ES"/>
        </w:rPr>
      </w:pPr>
      <w:r>
        <w:rPr>
          <w:rFonts w:eastAsia="Times New Roman" w:cs="Times New Roman"/>
          <w:lang w:val="pt-BR"/>
        </w:rPr>
        <w:t>Reter o primeiro item conforme ele se alinha com a perspectiva do grupo.</w:t>
      </w:r>
    </w:p>
    <w:p w14:paraId="50F27C80" w14:textId="77777777" w:rsidR="002E475C" w:rsidRPr="00CB0C0E" w:rsidRDefault="00000000">
      <w:pPr>
        <w:pStyle w:val="a6"/>
        <w:numPr>
          <w:ilvl w:val="0"/>
          <w:numId w:val="158"/>
        </w:numPr>
        <w:spacing w:after="120" w:line="264" w:lineRule="auto"/>
        <w:contextualSpacing w:val="0"/>
        <w:rPr>
          <w:rFonts w:eastAsia="Times New Roman" w:cs="Times New Roman"/>
          <w:lang w:val="es-ES"/>
        </w:rPr>
      </w:pPr>
      <w:r>
        <w:rPr>
          <w:rFonts w:eastAsia="Times New Roman" w:cs="Times New Roman"/>
          <w:lang w:val="pt-BR"/>
        </w:rPr>
        <w:t>Expandir o segundo item para abranger a necessidade de uma gama mais ampla de critérios para contabilizar a população diversificada de estudantes.</w:t>
      </w:r>
    </w:p>
    <w:p w14:paraId="019F1A7D" w14:textId="77777777" w:rsidR="002E475C" w:rsidRPr="00CB0C0E" w:rsidRDefault="00000000">
      <w:pPr>
        <w:pStyle w:val="a6"/>
        <w:numPr>
          <w:ilvl w:val="0"/>
          <w:numId w:val="158"/>
        </w:numPr>
        <w:spacing w:after="120" w:line="264" w:lineRule="auto"/>
        <w:contextualSpacing w:val="0"/>
        <w:rPr>
          <w:rFonts w:eastAsia="Times New Roman" w:cs="Times New Roman"/>
          <w:lang w:val="es-ES"/>
        </w:rPr>
      </w:pPr>
      <w:r>
        <w:rPr>
          <w:rFonts w:eastAsia="Times New Roman" w:cs="Times New Roman"/>
          <w:lang w:val="pt-BR"/>
        </w:rPr>
        <w:t>Considerar a contribuição de diretores e supervisores, membros da organização que possam ter recomendações valiosas.</w:t>
      </w:r>
    </w:p>
    <w:p w14:paraId="4FC7D4AC" w14:textId="77777777" w:rsidR="002E475C" w:rsidRPr="00CB0C0E" w:rsidRDefault="00000000">
      <w:pPr>
        <w:pStyle w:val="a6"/>
        <w:numPr>
          <w:ilvl w:val="0"/>
          <w:numId w:val="158"/>
        </w:numPr>
        <w:spacing w:after="120" w:line="264" w:lineRule="auto"/>
        <w:contextualSpacing w:val="0"/>
        <w:rPr>
          <w:rFonts w:eastAsia="Times New Roman" w:cs="Times New Roman"/>
          <w:lang w:val="es-ES"/>
        </w:rPr>
      </w:pPr>
      <w:r>
        <w:rPr>
          <w:rFonts w:eastAsia="Times New Roman" w:cs="Times New Roman"/>
          <w:lang w:val="pt-BR"/>
        </w:rPr>
        <w:lastRenderedPageBreak/>
        <w:t>Sugere explorar a possibilidade de usar regiões em vez de municípios para melhor representação.</w:t>
      </w:r>
    </w:p>
    <w:p w14:paraId="4036AB38" w14:textId="77777777" w:rsidR="002E475C" w:rsidRPr="00CB0C0E" w:rsidRDefault="00000000">
      <w:pPr>
        <w:pStyle w:val="a6"/>
        <w:numPr>
          <w:ilvl w:val="0"/>
          <w:numId w:val="158"/>
        </w:numPr>
        <w:spacing w:after="120" w:line="264" w:lineRule="auto"/>
        <w:contextualSpacing w:val="0"/>
        <w:rPr>
          <w:rFonts w:eastAsia="Times New Roman" w:cs="Times New Roman"/>
          <w:lang w:val="es-ES"/>
        </w:rPr>
      </w:pPr>
      <w:r>
        <w:rPr>
          <w:rFonts w:eastAsia="Times New Roman" w:cs="Times New Roman"/>
          <w:lang w:val="pt-BR"/>
        </w:rPr>
        <w:t>Propõe a preparação de testes nos 5 principais idiomas em todo o estado para alinhamento com os dados demográficos do estado.</w:t>
      </w:r>
    </w:p>
    <w:p w14:paraId="0C535565" w14:textId="77777777" w:rsidR="002E475C" w:rsidRPr="00CB0C0E" w:rsidRDefault="00000000">
      <w:pPr>
        <w:pStyle w:val="a6"/>
        <w:numPr>
          <w:ilvl w:val="0"/>
          <w:numId w:val="158"/>
        </w:numPr>
        <w:spacing w:after="120" w:line="264" w:lineRule="auto"/>
        <w:contextualSpacing w:val="0"/>
        <w:rPr>
          <w:rFonts w:eastAsia="Times New Roman" w:cs="Times New Roman"/>
          <w:lang w:val="es-ES"/>
        </w:rPr>
      </w:pPr>
      <w:r>
        <w:rPr>
          <w:rFonts w:eastAsia="Times New Roman" w:cs="Times New Roman"/>
          <w:lang w:val="pt-BR"/>
        </w:rPr>
        <w:t>Defende o estado para cobrir o custo de fornecer avaliações nos principais idiomas, com os distritos sendo capazes de fazer solicitações específicas.</w:t>
      </w:r>
    </w:p>
    <w:p w14:paraId="73FFB331" w14:textId="77777777" w:rsidR="002E475C" w:rsidRPr="00CB0C0E" w:rsidRDefault="00000000">
      <w:pPr>
        <w:pStyle w:val="a6"/>
        <w:numPr>
          <w:ilvl w:val="0"/>
          <w:numId w:val="158"/>
        </w:numPr>
        <w:spacing w:after="120" w:line="264" w:lineRule="auto"/>
        <w:contextualSpacing w:val="0"/>
        <w:rPr>
          <w:rFonts w:eastAsia="Times New Roman" w:cs="Times New Roman"/>
          <w:lang w:val="es-ES"/>
        </w:rPr>
      </w:pPr>
      <w:r>
        <w:rPr>
          <w:rFonts w:eastAsia="Times New Roman" w:cs="Times New Roman"/>
          <w:lang w:val="pt-BR"/>
        </w:rPr>
        <w:t>Questiona os mecanismos de rastreamento de dados para populações de alunos multilíngues durante um período de três anos.</w:t>
      </w:r>
    </w:p>
    <w:p w14:paraId="338A6526" w14:textId="77777777" w:rsidR="002E475C" w:rsidRPr="00CB0C0E" w:rsidRDefault="00000000">
      <w:pPr>
        <w:pStyle w:val="a6"/>
        <w:numPr>
          <w:ilvl w:val="0"/>
          <w:numId w:val="158"/>
        </w:numPr>
        <w:spacing w:after="120" w:line="264" w:lineRule="auto"/>
        <w:contextualSpacing w:val="0"/>
        <w:rPr>
          <w:rFonts w:eastAsia="Times New Roman" w:cs="Times New Roman"/>
          <w:lang w:val="es-ES"/>
        </w:rPr>
      </w:pPr>
      <w:r>
        <w:rPr>
          <w:rFonts w:eastAsia="Times New Roman" w:cs="Times New Roman"/>
          <w:lang w:val="pt-BR"/>
        </w:rPr>
        <w:t>Discordância sobre os critérios atuais, sugerindo foco na população total por condado.</w:t>
      </w:r>
    </w:p>
    <w:p w14:paraId="5F573081" w14:textId="77777777" w:rsidR="002E475C" w:rsidRPr="00CB0C0E" w:rsidRDefault="00000000">
      <w:pPr>
        <w:pStyle w:val="a6"/>
        <w:numPr>
          <w:ilvl w:val="0"/>
          <w:numId w:val="158"/>
        </w:numPr>
        <w:spacing w:after="120" w:line="264" w:lineRule="auto"/>
        <w:contextualSpacing w:val="0"/>
        <w:rPr>
          <w:rFonts w:eastAsia="Times New Roman" w:cs="Times New Roman"/>
          <w:lang w:val="es-ES"/>
        </w:rPr>
      </w:pPr>
      <w:r>
        <w:rPr>
          <w:rFonts w:eastAsia="Times New Roman" w:cs="Times New Roman"/>
          <w:lang w:val="pt-BR"/>
        </w:rPr>
        <w:t>Perguntar por que os principais idiomas não podem ser traduzidos para avaliações.</w:t>
      </w:r>
    </w:p>
    <w:p w14:paraId="2EECAC91" w14:textId="77777777" w:rsidR="002E475C" w:rsidRPr="00CB0C0E" w:rsidRDefault="00000000">
      <w:pPr>
        <w:pStyle w:val="a6"/>
        <w:numPr>
          <w:ilvl w:val="0"/>
          <w:numId w:val="158"/>
        </w:numPr>
        <w:spacing w:after="120" w:line="264" w:lineRule="auto"/>
        <w:contextualSpacing w:val="0"/>
        <w:rPr>
          <w:rFonts w:eastAsia="Times New Roman" w:cs="Times New Roman"/>
          <w:lang w:val="es-ES"/>
        </w:rPr>
      </w:pPr>
      <w:r>
        <w:rPr>
          <w:rFonts w:eastAsia="Times New Roman" w:cs="Times New Roman"/>
          <w:lang w:val="pt-BR"/>
        </w:rPr>
        <w:t>Acreditar que as empresas de avaliação devem ser capazes de lidar com traduções de idiomas a um custo razoável.</w:t>
      </w:r>
    </w:p>
    <w:p w14:paraId="48A4F923" w14:textId="77777777" w:rsidR="002E475C" w:rsidRPr="00CB0C0E" w:rsidRDefault="00000000">
      <w:pPr>
        <w:pStyle w:val="a6"/>
        <w:numPr>
          <w:ilvl w:val="0"/>
          <w:numId w:val="158"/>
        </w:numPr>
        <w:spacing w:after="120" w:line="264" w:lineRule="auto"/>
        <w:contextualSpacing w:val="0"/>
        <w:rPr>
          <w:rFonts w:eastAsia="Times New Roman" w:cs="Times New Roman"/>
          <w:lang w:val="es-ES"/>
        </w:rPr>
      </w:pPr>
      <w:r>
        <w:rPr>
          <w:rFonts w:eastAsia="Times New Roman" w:cs="Times New Roman"/>
          <w:lang w:val="pt-BR"/>
        </w:rPr>
        <w:t>Os alunos estão frustrados, pois as instruções podem ser lidas em seu idioma, mas a avaliação não está disponível nesse idioma.</w:t>
      </w:r>
    </w:p>
    <w:p w14:paraId="7BF691F9" w14:textId="77777777" w:rsidR="002E475C" w:rsidRPr="00CB0C0E" w:rsidRDefault="00000000">
      <w:pPr>
        <w:pStyle w:val="a6"/>
        <w:numPr>
          <w:ilvl w:val="0"/>
          <w:numId w:val="158"/>
        </w:numPr>
        <w:spacing w:after="120" w:line="264" w:lineRule="auto"/>
        <w:contextualSpacing w:val="0"/>
        <w:rPr>
          <w:rFonts w:eastAsia="Times New Roman" w:cs="Times New Roman"/>
          <w:lang w:val="es-ES"/>
        </w:rPr>
      </w:pPr>
      <w:r>
        <w:rPr>
          <w:rFonts w:eastAsia="Times New Roman" w:cs="Times New Roman"/>
          <w:lang w:val="pt-BR"/>
        </w:rPr>
        <w:t>Preocupações com justiça e penalização para os alunos.</w:t>
      </w:r>
    </w:p>
    <w:p w14:paraId="3D4AEAA1" w14:textId="77777777" w:rsidR="002E475C" w:rsidRPr="00CB0C0E" w:rsidRDefault="00000000">
      <w:pPr>
        <w:pStyle w:val="a6"/>
        <w:numPr>
          <w:ilvl w:val="0"/>
          <w:numId w:val="158"/>
        </w:numPr>
        <w:spacing w:after="120" w:line="264" w:lineRule="auto"/>
        <w:contextualSpacing w:val="0"/>
        <w:rPr>
          <w:rFonts w:eastAsia="Times New Roman" w:cs="Times New Roman"/>
          <w:lang w:val="es-ES"/>
        </w:rPr>
      </w:pPr>
      <w:r>
        <w:rPr>
          <w:rFonts w:eastAsia="Times New Roman" w:cs="Times New Roman"/>
          <w:lang w:val="pt-BR"/>
        </w:rPr>
        <w:t>Destacar o crescimento dos falantes de português e crioulo como idiomas a serem considerados para avaliações.</w:t>
      </w:r>
    </w:p>
    <w:p w14:paraId="7E17EEFD" w14:textId="77777777" w:rsidR="002E475C" w:rsidRPr="00CB0C0E" w:rsidRDefault="00000000">
      <w:pPr>
        <w:pStyle w:val="a6"/>
        <w:numPr>
          <w:ilvl w:val="0"/>
          <w:numId w:val="158"/>
        </w:numPr>
        <w:spacing w:after="120" w:line="264" w:lineRule="auto"/>
        <w:contextualSpacing w:val="0"/>
        <w:rPr>
          <w:rFonts w:eastAsia="Times New Roman" w:cs="Times New Roman"/>
          <w:lang w:val="es-ES"/>
        </w:rPr>
      </w:pPr>
      <w:r>
        <w:rPr>
          <w:rFonts w:eastAsia="Times New Roman" w:cs="Times New Roman"/>
          <w:lang w:val="pt-BR"/>
        </w:rPr>
        <w:t>Preocupações sobre prejudicar a compreensão dos alunos devido a avaliações não estarem em sua língua.</w:t>
      </w:r>
    </w:p>
    <w:p w14:paraId="77384B34" w14:textId="77777777" w:rsidR="002E475C" w:rsidRPr="00CB0C0E" w:rsidRDefault="00000000">
      <w:pPr>
        <w:pStyle w:val="a6"/>
        <w:numPr>
          <w:ilvl w:val="0"/>
          <w:numId w:val="158"/>
        </w:numPr>
        <w:spacing w:after="120" w:line="264" w:lineRule="auto"/>
        <w:contextualSpacing w:val="0"/>
        <w:rPr>
          <w:rFonts w:eastAsia="Times New Roman" w:cs="Times New Roman"/>
          <w:lang w:val="es-ES"/>
        </w:rPr>
      </w:pPr>
      <w:r>
        <w:rPr>
          <w:rFonts w:eastAsia="Times New Roman" w:cs="Times New Roman"/>
          <w:lang w:val="pt-BR"/>
        </w:rPr>
        <w:t>Questionar o processo original de definição de critérios e o objetivo das avaliações de ELA.</w:t>
      </w:r>
    </w:p>
    <w:p w14:paraId="45AA0E4A" w14:textId="77777777" w:rsidR="002E475C" w:rsidRPr="00CB0C0E" w:rsidRDefault="00000000">
      <w:pPr>
        <w:pStyle w:val="a6"/>
        <w:numPr>
          <w:ilvl w:val="0"/>
          <w:numId w:val="159"/>
        </w:numPr>
        <w:spacing w:after="120" w:line="264" w:lineRule="auto"/>
        <w:contextualSpacing w:val="0"/>
        <w:rPr>
          <w:rFonts w:eastAsia="Times New Roman" w:cs="Times New Roman"/>
          <w:lang w:val="es-ES"/>
        </w:rPr>
      </w:pPr>
      <w:r>
        <w:rPr>
          <w:rFonts w:eastAsia="Times New Roman" w:cs="Times New Roman"/>
          <w:lang w:val="pt-BR"/>
        </w:rPr>
        <w:t>Compreensão pouco clara dos pontos de discussão.</w:t>
      </w:r>
    </w:p>
    <w:p w14:paraId="27F3053A" w14:textId="77777777" w:rsidR="002E475C" w:rsidRPr="00CB0C0E" w:rsidRDefault="00000000">
      <w:pPr>
        <w:pStyle w:val="a6"/>
        <w:numPr>
          <w:ilvl w:val="0"/>
          <w:numId w:val="159"/>
        </w:numPr>
        <w:spacing w:after="120" w:line="264" w:lineRule="auto"/>
        <w:contextualSpacing w:val="0"/>
        <w:rPr>
          <w:rFonts w:eastAsia="Times New Roman" w:cs="Times New Roman"/>
          <w:lang w:val="es-ES"/>
        </w:rPr>
      </w:pPr>
      <w:r>
        <w:rPr>
          <w:rFonts w:eastAsia="Times New Roman" w:cs="Times New Roman"/>
          <w:lang w:val="pt-BR"/>
        </w:rPr>
        <w:t>Recomendação para reduzir os critérios de 20% para 10%.</w:t>
      </w:r>
    </w:p>
    <w:p w14:paraId="311C3B77" w14:textId="77777777" w:rsidR="002E475C" w:rsidRPr="00CB0C0E" w:rsidRDefault="00000000">
      <w:pPr>
        <w:pStyle w:val="a6"/>
        <w:numPr>
          <w:ilvl w:val="0"/>
          <w:numId w:val="159"/>
        </w:numPr>
        <w:spacing w:after="120" w:line="264" w:lineRule="auto"/>
        <w:contextualSpacing w:val="0"/>
        <w:rPr>
          <w:rFonts w:eastAsia="Times New Roman" w:cs="Times New Roman"/>
          <w:lang w:val="es-ES"/>
        </w:rPr>
      </w:pPr>
      <w:r>
        <w:rPr>
          <w:rFonts w:eastAsia="Times New Roman" w:cs="Times New Roman"/>
          <w:lang w:val="pt-BR"/>
        </w:rPr>
        <w:t>Questionar o problema que está sendo abordado.</w:t>
      </w:r>
    </w:p>
    <w:p w14:paraId="23222351" w14:textId="77777777" w:rsidR="002E475C" w:rsidRPr="00CB0C0E" w:rsidRDefault="00000000">
      <w:pPr>
        <w:pStyle w:val="a6"/>
        <w:numPr>
          <w:ilvl w:val="0"/>
          <w:numId w:val="159"/>
        </w:numPr>
        <w:spacing w:after="120" w:line="264" w:lineRule="auto"/>
        <w:contextualSpacing w:val="0"/>
        <w:rPr>
          <w:rFonts w:eastAsia="Times New Roman" w:cs="Times New Roman"/>
          <w:lang w:val="es-ES"/>
        </w:rPr>
      </w:pPr>
      <w:r>
        <w:rPr>
          <w:rFonts w:eastAsia="Times New Roman" w:cs="Times New Roman"/>
          <w:lang w:val="pt-BR"/>
        </w:rPr>
        <w:t>Sugestão para fazer critérios específicos para o nível da cidade e não para o condado.</w:t>
      </w:r>
    </w:p>
    <w:p w14:paraId="6FB1A128" w14:textId="77777777" w:rsidR="002E475C" w:rsidRPr="00CB0C0E" w:rsidRDefault="00000000">
      <w:pPr>
        <w:pStyle w:val="a6"/>
        <w:numPr>
          <w:ilvl w:val="0"/>
          <w:numId w:val="159"/>
        </w:numPr>
        <w:spacing w:after="120" w:line="264" w:lineRule="auto"/>
        <w:contextualSpacing w:val="0"/>
        <w:rPr>
          <w:rFonts w:eastAsia="Times New Roman" w:cs="Times New Roman"/>
          <w:lang w:val="es-ES"/>
        </w:rPr>
      </w:pPr>
      <w:r>
        <w:rPr>
          <w:rFonts w:eastAsia="Times New Roman" w:cs="Times New Roman"/>
          <w:lang w:val="pt-BR"/>
        </w:rPr>
        <w:t>Discordância com a eficácia da métrica atual.</w:t>
      </w:r>
    </w:p>
    <w:p w14:paraId="0C80675B" w14:textId="77777777" w:rsidR="002E475C" w:rsidRPr="00CB0C0E" w:rsidRDefault="00000000">
      <w:pPr>
        <w:pStyle w:val="a6"/>
        <w:numPr>
          <w:ilvl w:val="0"/>
          <w:numId w:val="159"/>
        </w:numPr>
        <w:spacing w:after="120" w:line="264" w:lineRule="auto"/>
        <w:contextualSpacing w:val="0"/>
        <w:rPr>
          <w:rFonts w:eastAsia="Times New Roman" w:cs="Times New Roman"/>
          <w:lang w:val="es-ES"/>
        </w:rPr>
      </w:pPr>
      <w:r>
        <w:rPr>
          <w:rFonts w:eastAsia="Times New Roman" w:cs="Times New Roman"/>
          <w:lang w:val="pt-BR"/>
        </w:rPr>
        <w:t>Desejo de explorar o futuro das avaliações, incluindo serviços de IA e tradução.</w:t>
      </w:r>
    </w:p>
    <w:p w14:paraId="3509D039" w14:textId="77777777" w:rsidR="002E475C" w:rsidRPr="00CB0C0E" w:rsidRDefault="00000000">
      <w:pPr>
        <w:pStyle w:val="a6"/>
        <w:numPr>
          <w:ilvl w:val="0"/>
          <w:numId w:val="159"/>
        </w:numPr>
        <w:spacing w:after="120" w:line="264" w:lineRule="auto"/>
        <w:contextualSpacing w:val="0"/>
        <w:rPr>
          <w:rFonts w:eastAsia="Times New Roman" w:cs="Times New Roman"/>
          <w:lang w:val="es-ES"/>
        </w:rPr>
      </w:pPr>
      <w:r>
        <w:rPr>
          <w:rFonts w:eastAsia="Times New Roman" w:cs="Times New Roman"/>
          <w:lang w:val="pt-BR"/>
        </w:rPr>
        <w:t>Questionar a necessidade de uma porcentagem definida para os critérios.</w:t>
      </w:r>
    </w:p>
    <w:p w14:paraId="5485DD18" w14:textId="77777777" w:rsidR="002E475C" w:rsidRPr="00CB0C0E" w:rsidRDefault="00000000">
      <w:pPr>
        <w:pStyle w:val="a6"/>
        <w:numPr>
          <w:ilvl w:val="0"/>
          <w:numId w:val="159"/>
        </w:numPr>
        <w:spacing w:after="120" w:line="264" w:lineRule="auto"/>
        <w:contextualSpacing w:val="0"/>
        <w:rPr>
          <w:rFonts w:eastAsia="Times New Roman" w:cs="Times New Roman"/>
          <w:lang w:val="es-ES"/>
        </w:rPr>
      </w:pPr>
      <w:r>
        <w:rPr>
          <w:rFonts w:eastAsia="Times New Roman" w:cs="Times New Roman"/>
          <w:lang w:val="pt-BR"/>
        </w:rPr>
        <w:t>Enfatizar a necessidade de comunicação entre SEAs e provedores de avaliação para necessidades de idioma.</w:t>
      </w:r>
    </w:p>
    <w:p w14:paraId="2E7FB903" w14:textId="2F63CF04" w:rsidR="002E475C" w:rsidRPr="00CB0C0E" w:rsidRDefault="00000000" w:rsidP="00743386">
      <w:pPr>
        <w:pStyle w:val="a6"/>
        <w:numPr>
          <w:ilvl w:val="0"/>
          <w:numId w:val="159"/>
        </w:numPr>
        <w:spacing w:after="120" w:line="264" w:lineRule="auto"/>
        <w:rPr>
          <w:rFonts w:eastAsia="Times New Roman" w:cs="Times New Roman"/>
          <w:lang w:val="es-ES"/>
        </w:rPr>
      </w:pPr>
      <w:r>
        <w:rPr>
          <w:rFonts w:eastAsia="Times New Roman" w:cs="Times New Roman"/>
          <w:lang w:val="pt-BR"/>
        </w:rPr>
        <w:t>Discussão sobre o impacto da capacidade do SEA na tomada de decisões.</w:t>
      </w:r>
    </w:p>
    <w:p w14:paraId="74E97304" w14:textId="77777777" w:rsidR="002E475C" w:rsidRPr="00CB0C0E" w:rsidRDefault="00000000" w:rsidP="004A0F6A">
      <w:pPr>
        <w:pStyle w:val="4"/>
        <w:rPr>
          <w:lang w:val="es-ES"/>
        </w:rPr>
      </w:pPr>
      <w:bookmarkStart w:id="339" w:name="_Toc199403860"/>
      <w:r>
        <w:rPr>
          <w:rFonts w:ascii="Cambria" w:eastAsia="Cambria" w:hAnsi="Cambria" w:cs="Arial"/>
          <w:szCs w:val="24"/>
          <w:lang w:val="pt-BR"/>
        </w:rPr>
        <w:t>Principais pontos de feedback sobre a proposta de avaliação</w:t>
      </w:r>
      <w:bookmarkEnd w:id="339"/>
    </w:p>
    <w:p w14:paraId="3AEE52DF" w14:textId="77777777" w:rsidR="002E475C" w:rsidRPr="00364862" w:rsidRDefault="00000000" w:rsidP="004A0F6A">
      <w:pPr>
        <w:pStyle w:val="5"/>
      </w:pPr>
      <w:r>
        <w:rPr>
          <w:rFonts w:ascii="Cambria" w:eastAsia="Cambria" w:hAnsi="Cambria" w:cs="Times New Roman"/>
          <w:bCs/>
          <w:lang w:val="pt-BR"/>
        </w:rPr>
        <w:t>Respostas</w:t>
      </w:r>
    </w:p>
    <w:p w14:paraId="63EDF692" w14:textId="77777777" w:rsidR="002E475C" w:rsidRPr="00CB0C0E" w:rsidRDefault="00000000">
      <w:pPr>
        <w:pStyle w:val="a6"/>
        <w:numPr>
          <w:ilvl w:val="0"/>
          <w:numId w:val="161"/>
        </w:numPr>
        <w:spacing w:after="120" w:line="264" w:lineRule="auto"/>
        <w:contextualSpacing w:val="0"/>
        <w:rPr>
          <w:rFonts w:eastAsia="Times New Roman" w:cs="Times New Roman"/>
          <w:lang w:val="es-ES"/>
        </w:rPr>
      </w:pPr>
      <w:r>
        <w:rPr>
          <w:rFonts w:eastAsia="Times New Roman" w:cs="Times New Roman"/>
          <w:lang w:val="pt-BR"/>
        </w:rPr>
        <w:t>Defesa para traduzir avaliações em vários idiomas para acomodar diversas populações de alunos e garantir uma avaliação de conhecimento precisa.</w:t>
      </w:r>
    </w:p>
    <w:p w14:paraId="3B193CC5" w14:textId="77777777" w:rsidR="002E475C" w:rsidRPr="00CB0C0E" w:rsidRDefault="00000000">
      <w:pPr>
        <w:pStyle w:val="a6"/>
        <w:numPr>
          <w:ilvl w:val="0"/>
          <w:numId w:val="161"/>
        </w:numPr>
        <w:spacing w:after="120" w:line="264" w:lineRule="auto"/>
        <w:contextualSpacing w:val="0"/>
        <w:rPr>
          <w:rFonts w:eastAsia="Times New Roman" w:cs="Times New Roman"/>
          <w:lang w:val="es-ES"/>
        </w:rPr>
      </w:pPr>
      <w:r>
        <w:rPr>
          <w:rFonts w:eastAsia="Times New Roman" w:cs="Times New Roman"/>
          <w:lang w:val="pt-BR"/>
        </w:rPr>
        <w:lastRenderedPageBreak/>
        <w:t>Preocupações sobre a adequação dos critérios atuais para determinar as necessidades de tradução de idiomas, particularmente para alunos multilíngues do primeiro ano.</w:t>
      </w:r>
    </w:p>
    <w:p w14:paraId="523D2376" w14:textId="77777777" w:rsidR="002E475C" w:rsidRPr="00CB0C0E" w:rsidRDefault="00000000">
      <w:pPr>
        <w:pStyle w:val="a6"/>
        <w:numPr>
          <w:ilvl w:val="0"/>
          <w:numId w:val="161"/>
        </w:numPr>
        <w:spacing w:after="120" w:line="264" w:lineRule="auto"/>
        <w:contextualSpacing w:val="0"/>
        <w:rPr>
          <w:rFonts w:eastAsia="Times New Roman" w:cs="Times New Roman"/>
          <w:lang w:val="es-ES"/>
        </w:rPr>
      </w:pPr>
      <w:r>
        <w:rPr>
          <w:rFonts w:eastAsia="Times New Roman" w:cs="Times New Roman"/>
          <w:lang w:val="pt-BR"/>
        </w:rPr>
        <w:t>Crítica de limites baixos de tradução, com as partes interessadas defendendo traduções em todos os idiomas disponíveis para apoiar os alunos de forma eficaz.</w:t>
      </w:r>
    </w:p>
    <w:p w14:paraId="0E86542A" w14:textId="77777777" w:rsidR="002E475C" w:rsidRPr="00CB0C0E" w:rsidRDefault="00000000">
      <w:pPr>
        <w:pStyle w:val="a6"/>
        <w:numPr>
          <w:ilvl w:val="0"/>
          <w:numId w:val="161"/>
        </w:numPr>
        <w:spacing w:after="120" w:line="264" w:lineRule="auto"/>
        <w:contextualSpacing w:val="0"/>
        <w:rPr>
          <w:rFonts w:eastAsia="Times New Roman" w:cs="Times New Roman"/>
          <w:lang w:val="es-ES"/>
        </w:rPr>
      </w:pPr>
      <w:r>
        <w:rPr>
          <w:rFonts w:eastAsia="Times New Roman" w:cs="Times New Roman"/>
          <w:lang w:val="pt-BR"/>
        </w:rPr>
        <w:t>Desafios relacionados a barreiras linguísticas, incluindo pais que não divulgam idiomas falados em casa e possíveis disparidades de palavras específicas do conteúdo que afetam a compreensão da avaliação.</w:t>
      </w:r>
    </w:p>
    <w:p w14:paraId="5257911E" w14:textId="77777777" w:rsidR="002E475C" w:rsidRPr="00CB0C0E" w:rsidRDefault="00000000">
      <w:pPr>
        <w:pStyle w:val="a6"/>
        <w:numPr>
          <w:ilvl w:val="0"/>
          <w:numId w:val="161"/>
        </w:numPr>
        <w:spacing w:after="120" w:line="264" w:lineRule="auto"/>
        <w:contextualSpacing w:val="0"/>
        <w:rPr>
          <w:rFonts w:eastAsia="Times New Roman" w:cs="Times New Roman"/>
          <w:lang w:val="es-ES"/>
        </w:rPr>
      </w:pPr>
      <w:r>
        <w:rPr>
          <w:rFonts w:eastAsia="Times New Roman" w:cs="Times New Roman"/>
          <w:lang w:val="pt-BR"/>
        </w:rPr>
        <w:t>Enfatizar a importância do envolvimento dos alunos e da autoconfiança durante as avaliações, destacando o impacto negativo das barreiras de exclusão e linguagem.</w:t>
      </w:r>
    </w:p>
    <w:p w14:paraId="04671F24" w14:textId="77777777" w:rsidR="002E475C" w:rsidRPr="00CB0C0E" w:rsidRDefault="00000000">
      <w:pPr>
        <w:pStyle w:val="a6"/>
        <w:numPr>
          <w:ilvl w:val="0"/>
          <w:numId w:val="161"/>
        </w:numPr>
        <w:spacing w:after="120" w:line="264" w:lineRule="auto"/>
        <w:contextualSpacing w:val="0"/>
        <w:rPr>
          <w:rFonts w:eastAsia="Times New Roman" w:cs="Times New Roman"/>
          <w:lang w:val="es-ES"/>
        </w:rPr>
      </w:pPr>
      <w:r>
        <w:rPr>
          <w:rFonts w:eastAsia="Times New Roman" w:cs="Times New Roman"/>
          <w:lang w:val="pt-BR"/>
        </w:rPr>
        <w:t>Sugerir aproveitar a tecnologia para soluções de tradução econômicas e garantir que os alunos possam fazer testes em idiomas que entendem.</w:t>
      </w:r>
    </w:p>
    <w:p w14:paraId="0322697F" w14:textId="77777777" w:rsidR="002E475C" w:rsidRPr="00CB0C0E" w:rsidRDefault="00000000">
      <w:pPr>
        <w:pStyle w:val="a6"/>
        <w:numPr>
          <w:ilvl w:val="0"/>
          <w:numId w:val="161"/>
        </w:numPr>
        <w:spacing w:after="120" w:line="264" w:lineRule="auto"/>
        <w:rPr>
          <w:rFonts w:eastAsia="Times New Roman" w:cs="Times New Roman"/>
          <w:lang w:val="es-ES"/>
        </w:rPr>
      </w:pPr>
      <w:r>
        <w:rPr>
          <w:rFonts w:eastAsia="Times New Roman" w:cs="Times New Roman"/>
          <w:lang w:val="pt-BR"/>
        </w:rPr>
        <w:t>Apreciação pelos esforços do NJDOE em abordar desafios de avaliação relacionados ao idioma, ao mesmo tempo em que defende recursos adicionais para apoiar os alunos multilíngues de forma eficaz.</w:t>
      </w:r>
    </w:p>
    <w:p w14:paraId="5A35D034" w14:textId="77777777" w:rsidR="002E475C" w:rsidRPr="00CB0C0E" w:rsidRDefault="00000000" w:rsidP="004A0F6A">
      <w:pPr>
        <w:pStyle w:val="4"/>
        <w:rPr>
          <w:lang w:val="es-ES"/>
        </w:rPr>
      </w:pPr>
      <w:bookmarkStart w:id="340" w:name="_Toc199403861"/>
      <w:r>
        <w:rPr>
          <w:rFonts w:ascii="Cambria" w:eastAsia="Cambria" w:hAnsi="Cambria" w:cs="Arial"/>
          <w:szCs w:val="24"/>
          <w:lang w:val="pt-BR"/>
        </w:rPr>
        <w:t>Principais temas e conclusões da sessão</w:t>
      </w:r>
      <w:bookmarkEnd w:id="340"/>
      <w:r>
        <w:rPr>
          <w:rFonts w:ascii="Cambria" w:eastAsia="Cambria" w:hAnsi="Cambria" w:cs="Arial"/>
          <w:szCs w:val="24"/>
          <w:lang w:val="pt-BR"/>
        </w:rPr>
        <w:t xml:space="preserve"> </w:t>
      </w:r>
    </w:p>
    <w:p w14:paraId="5D813508" w14:textId="77777777" w:rsidR="002E475C" w:rsidRPr="00CB0C0E" w:rsidRDefault="00000000">
      <w:pPr>
        <w:pStyle w:val="a6"/>
        <w:numPr>
          <w:ilvl w:val="0"/>
          <w:numId w:val="162"/>
        </w:numPr>
        <w:spacing w:after="120" w:line="264" w:lineRule="auto"/>
        <w:contextualSpacing w:val="0"/>
        <w:rPr>
          <w:rFonts w:eastAsia="Times New Roman" w:cs="Times New Roman"/>
          <w:lang w:val="es-ES"/>
        </w:rPr>
      </w:pPr>
      <w:r>
        <w:rPr>
          <w:rFonts w:eastAsia="Times New Roman" w:cs="Times New Roman"/>
          <w:b/>
          <w:bCs/>
          <w:lang w:val="pt-BR"/>
        </w:rPr>
        <w:t>Valorização da equipe do NJDOE:</w:t>
      </w:r>
      <w:r>
        <w:rPr>
          <w:rFonts w:eastAsia="Times New Roman" w:cs="Times New Roman"/>
          <w:lang w:val="pt-BR"/>
        </w:rPr>
        <w:t xml:space="preserve"> As notas abundantes tomadas pelo NJDOE são reconhecidas e apreciadas.</w:t>
      </w:r>
    </w:p>
    <w:p w14:paraId="40DC5217" w14:textId="77777777" w:rsidR="002E475C" w:rsidRPr="00CB0C0E" w:rsidRDefault="00000000">
      <w:pPr>
        <w:pStyle w:val="a6"/>
        <w:numPr>
          <w:ilvl w:val="0"/>
          <w:numId w:val="162"/>
        </w:numPr>
        <w:spacing w:after="120" w:line="264" w:lineRule="auto"/>
        <w:contextualSpacing w:val="0"/>
        <w:rPr>
          <w:rFonts w:eastAsia="Times New Roman" w:cs="Times New Roman"/>
          <w:lang w:val="es-ES"/>
        </w:rPr>
      </w:pPr>
      <w:r>
        <w:rPr>
          <w:rFonts w:eastAsia="Times New Roman" w:cs="Times New Roman"/>
          <w:b/>
          <w:bCs/>
          <w:lang w:val="pt-BR"/>
        </w:rPr>
        <w:t>Flexibilidade e capacidade de resposta do NJDOE:</w:t>
      </w:r>
      <w:r>
        <w:rPr>
          <w:rFonts w:eastAsia="Times New Roman" w:cs="Times New Roman"/>
          <w:lang w:val="pt-BR"/>
        </w:rPr>
        <w:t xml:space="preserve"> As partes interessadas observaram a flexibilidade do NJDOE em responder às suas perguntas e preocupações.</w:t>
      </w:r>
    </w:p>
    <w:p w14:paraId="5F46228E" w14:textId="77777777" w:rsidR="002E475C" w:rsidRPr="00CB0C0E" w:rsidRDefault="00000000">
      <w:pPr>
        <w:pStyle w:val="a6"/>
        <w:numPr>
          <w:ilvl w:val="0"/>
          <w:numId w:val="162"/>
        </w:numPr>
        <w:spacing w:after="120" w:line="264" w:lineRule="auto"/>
        <w:contextualSpacing w:val="0"/>
        <w:rPr>
          <w:rFonts w:eastAsia="Times New Roman" w:cs="Times New Roman"/>
          <w:lang w:val="es-ES"/>
        </w:rPr>
      </w:pPr>
      <w:r>
        <w:rPr>
          <w:rFonts w:eastAsia="Times New Roman" w:cs="Times New Roman"/>
          <w:b/>
          <w:bCs/>
          <w:lang w:val="pt-BR"/>
        </w:rPr>
        <w:t>Reconhecimento e gratidão:</w:t>
      </w:r>
      <w:r>
        <w:rPr>
          <w:rFonts w:eastAsia="Times New Roman" w:cs="Times New Roman"/>
          <w:lang w:val="pt-BR"/>
        </w:rPr>
        <w:t xml:space="preserve"> As partes interessadas expressaram gratidão ao NJDOE por dedicar tempo para recapitular as discussões 1 a 3 e por seus esforços na preparação de propostas.</w:t>
      </w:r>
    </w:p>
    <w:p w14:paraId="20A89880" w14:textId="77777777" w:rsidR="002E475C" w:rsidRPr="00CB0C0E" w:rsidRDefault="00000000">
      <w:pPr>
        <w:pStyle w:val="a6"/>
        <w:numPr>
          <w:ilvl w:val="0"/>
          <w:numId w:val="162"/>
        </w:numPr>
        <w:spacing w:after="120" w:line="264" w:lineRule="auto"/>
        <w:contextualSpacing w:val="0"/>
        <w:rPr>
          <w:rFonts w:cs="Times New Roman"/>
          <w:lang w:val="es-ES"/>
        </w:rPr>
      </w:pPr>
      <w:r>
        <w:rPr>
          <w:rFonts w:eastAsia="Times New Roman" w:cs="Times New Roman"/>
          <w:b/>
          <w:bCs/>
          <w:lang w:val="pt-BR"/>
        </w:rPr>
        <w:t>Feedback positivo sobre o trabalho do NJDOE:</w:t>
      </w:r>
      <w:r>
        <w:rPr>
          <w:rFonts w:eastAsia="Times New Roman" w:cs="Times New Roman"/>
          <w:lang w:val="pt-BR"/>
        </w:rPr>
        <w:t xml:space="preserve"> As partes interessadas estão satisfeitas com o trabalho que está sendo feito no NJDOE. Reconhecer os esforços na preparação de propostas e expressar gratidão por serem incluídos no processo.</w:t>
      </w:r>
    </w:p>
    <w:p w14:paraId="7EEF2416" w14:textId="77777777" w:rsidR="002E475C" w:rsidRPr="00CB0C0E" w:rsidRDefault="00000000">
      <w:pPr>
        <w:pStyle w:val="a6"/>
        <w:numPr>
          <w:ilvl w:val="0"/>
          <w:numId w:val="162"/>
        </w:numPr>
        <w:spacing w:after="120" w:line="264" w:lineRule="auto"/>
        <w:contextualSpacing w:val="0"/>
        <w:rPr>
          <w:rFonts w:cs="Times New Roman"/>
          <w:lang w:val="es-ES"/>
        </w:rPr>
      </w:pPr>
      <w:r>
        <w:rPr>
          <w:rFonts w:eastAsia="Times New Roman" w:cs="Times New Roman"/>
          <w:b/>
          <w:bCs/>
          <w:lang w:val="pt-BR"/>
        </w:rPr>
        <w:t>Envolvimento com o NJTSS e novas discussões:</w:t>
      </w:r>
      <w:r>
        <w:rPr>
          <w:rFonts w:eastAsia="Times New Roman" w:cs="Times New Roman"/>
          <w:lang w:val="pt-BR"/>
        </w:rPr>
        <w:t xml:space="preserve"> A discussão sobre o Sistema de Apoios em Níveis de Nova Jersey (NJTSS) é extremamente envolvente e [nós] adquirimos uma nova compreensão dos critérios de avaliação.</w:t>
      </w:r>
    </w:p>
    <w:p w14:paraId="37486C09" w14:textId="77777777" w:rsidR="002E475C" w:rsidRPr="00CB0C0E" w:rsidRDefault="00000000">
      <w:pPr>
        <w:pStyle w:val="a6"/>
        <w:numPr>
          <w:ilvl w:val="0"/>
          <w:numId w:val="162"/>
        </w:numPr>
        <w:spacing w:after="120" w:line="264" w:lineRule="auto"/>
        <w:contextualSpacing w:val="0"/>
        <w:rPr>
          <w:rFonts w:cs="Times New Roman"/>
          <w:lang w:val="es-ES"/>
        </w:rPr>
      </w:pPr>
      <w:r>
        <w:rPr>
          <w:rFonts w:eastAsia="Times New Roman" w:cs="Times New Roman"/>
          <w:b/>
          <w:bCs/>
          <w:lang w:val="pt-BR"/>
        </w:rPr>
        <w:t>Suporte para distribuição do NJTSS:</w:t>
      </w:r>
      <w:r>
        <w:rPr>
          <w:rFonts w:eastAsia="Times New Roman" w:cs="Times New Roman"/>
          <w:lang w:val="pt-BR"/>
        </w:rPr>
        <w:t xml:space="preserve"> Ênfase na importância do NJDOE se apoiar no marketing e encontrar maneiras de distribuir o NJTSS para os distritos de forma eficaz.</w:t>
      </w:r>
    </w:p>
    <w:p w14:paraId="70655B7A" w14:textId="77777777" w:rsidR="00BC5440" w:rsidRPr="00CB0C0E" w:rsidRDefault="00000000" w:rsidP="00186D45">
      <w:pPr>
        <w:pStyle w:val="a6"/>
        <w:numPr>
          <w:ilvl w:val="0"/>
          <w:numId w:val="162"/>
        </w:numPr>
        <w:spacing w:after="120" w:line="264" w:lineRule="auto"/>
        <w:rPr>
          <w:rFonts w:cs="Times New Roman"/>
          <w:lang w:val="es-ES"/>
        </w:rPr>
      </w:pPr>
      <w:r>
        <w:rPr>
          <w:rFonts w:eastAsia="Times New Roman" w:cs="Times New Roman"/>
          <w:b/>
          <w:bCs/>
          <w:lang w:val="pt-BR"/>
        </w:rPr>
        <w:t>Colaboração e suporte:</w:t>
      </w:r>
      <w:r>
        <w:rPr>
          <w:rFonts w:eastAsia="Times New Roman" w:cs="Times New Roman"/>
          <w:lang w:val="pt-BR"/>
        </w:rPr>
        <w:t xml:space="preserve"> As partes interessadas expressaram disposição para que sua organização apoiasse o NJDOE na disseminação de informações para outras partes interessadas e indicaram que o NJDOE está “no caminho certo” com a proposta de avaliação.</w:t>
      </w:r>
      <w:bookmarkStart w:id="341" w:name="_PART_II:_List"/>
      <w:bookmarkStart w:id="342" w:name="_Toc171333353"/>
      <w:bookmarkEnd w:id="341"/>
      <w:r>
        <w:rPr>
          <w:rFonts w:eastAsia="Times New Roman" w:cs="Times New Roman"/>
          <w:lang w:val="pt-BR"/>
        </w:rPr>
        <w:br w:type="page"/>
      </w:r>
    </w:p>
    <w:p w14:paraId="7B7338B9" w14:textId="77777777" w:rsidR="00A11811" w:rsidRPr="00CB0C0E" w:rsidRDefault="00000000" w:rsidP="00856537">
      <w:pPr>
        <w:pStyle w:val="A30"/>
        <w:rPr>
          <w:lang w:val="es-ES"/>
        </w:rPr>
        <w:sectPr w:rsidR="00A11811" w:rsidRPr="00CB0C0E" w:rsidSect="00407061">
          <w:pgSz w:w="12240" w:h="15840"/>
          <w:pgMar w:top="1440" w:right="1440" w:bottom="1440" w:left="1440" w:header="720" w:footer="720" w:gutter="0"/>
          <w:cols w:space="720"/>
          <w:docGrid w:linePitch="360"/>
        </w:sectPr>
      </w:pPr>
      <w:bookmarkStart w:id="343" w:name="_Part_II:_List_1"/>
      <w:bookmarkStart w:id="344" w:name="_Toc199403862"/>
      <w:bookmarkEnd w:id="343"/>
      <w:r>
        <w:lastRenderedPageBreak/>
        <w:t>Lista de membros externos do grupo de trabalho de partes interessadas de 2024</w:t>
      </w:r>
      <w:bookmarkEnd w:id="344"/>
      <w:r>
        <w:t xml:space="preserve"> </w:t>
      </w:r>
      <w:bookmarkEnd w:id="342"/>
    </w:p>
    <w:p w14:paraId="0E541682"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Federação Americana de Professores de Nova Jersey (American Federation of Teachers New Jersey, AFTNJ)</w:t>
      </w:r>
    </w:p>
    <w:p w14:paraId="4AF03219"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Artes Ed NJ</w:t>
      </w:r>
    </w:p>
    <w:p w14:paraId="7BBEBDBF"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Associação de Escolas e Agências para Deficientes (Association of Schools &amp; Agencies for the Handicapped, ASAH)</w:t>
      </w:r>
    </w:p>
    <w:p w14:paraId="5F825254"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Autismo em Nova Jersey</w:t>
      </w:r>
    </w:p>
    <w:p w14:paraId="259D49CB"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Boys &amp; Girls Clubs em Nova Jersey (BGCNJ)</w:t>
      </w:r>
    </w:p>
    <w:p w14:paraId="1E24AC17" w14:textId="77777777" w:rsidR="003A40D4" w:rsidRPr="00CB0C0E" w:rsidRDefault="00000000" w:rsidP="003A40D4">
      <w:pPr>
        <w:pStyle w:val="a6"/>
        <w:numPr>
          <w:ilvl w:val="0"/>
          <w:numId w:val="204"/>
        </w:numPr>
        <w:spacing w:after="120" w:line="240" w:lineRule="auto"/>
        <w:ind w:left="360"/>
        <w:rPr>
          <w:rFonts w:cs="Times New Roman"/>
          <w:lang w:val="es-ES"/>
        </w:rPr>
      </w:pPr>
      <w:r>
        <w:rPr>
          <w:rFonts w:eastAsia="Times New Roman" w:cs="Times New Roman"/>
          <w:lang w:val="pt-BR"/>
        </w:rPr>
        <w:t>Clubes de Meninos e Meninas do Condado de Monmouth</w:t>
      </w:r>
    </w:p>
    <w:p w14:paraId="7FEAC2CC" w14:textId="77777777" w:rsidR="001B4765" w:rsidRPr="00437776" w:rsidRDefault="00000000" w:rsidP="00CE5A60">
      <w:pPr>
        <w:pStyle w:val="a6"/>
        <w:numPr>
          <w:ilvl w:val="0"/>
          <w:numId w:val="204"/>
        </w:numPr>
        <w:spacing w:before="240" w:after="120" w:line="240" w:lineRule="auto"/>
        <w:ind w:left="360"/>
        <w:contextualSpacing w:val="0"/>
        <w:rPr>
          <w:rFonts w:cs="Times New Roman"/>
        </w:rPr>
      </w:pPr>
      <w:r>
        <w:rPr>
          <w:rFonts w:eastAsia="Times New Roman" w:cs="Times New Roman"/>
          <w:lang w:val="pt-BR"/>
        </w:rPr>
        <w:t>Centro para futuros educadores (Center for Future Educators, CFE) no College of New Jersey (TCNJ)</w:t>
      </w:r>
    </w:p>
    <w:p w14:paraId="6C400125" w14:textId="77777777" w:rsidR="001B4765" w:rsidRPr="00CB0C0E" w:rsidRDefault="00000000">
      <w:pPr>
        <w:pStyle w:val="a6"/>
        <w:numPr>
          <w:ilvl w:val="0"/>
          <w:numId w:val="204"/>
        </w:numPr>
        <w:spacing w:after="120" w:line="240" w:lineRule="auto"/>
        <w:ind w:left="360"/>
        <w:contextualSpacing w:val="0"/>
        <w:rPr>
          <w:rFonts w:cs="Times New Roman"/>
          <w:lang w:val="es-ES"/>
        </w:rPr>
      </w:pPr>
      <w:r>
        <w:rPr>
          <w:rFonts w:eastAsia="Times New Roman" w:cs="Times New Roman"/>
          <w:lang w:val="pt-BR"/>
        </w:rPr>
        <w:t>Centro de Direito Educacional (Education Law Center, ELC)</w:t>
      </w:r>
    </w:p>
    <w:p w14:paraId="6E78DE27"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Coalizão Estadual de Escolas de Jardim (Garden State Coalition of Schools, GSCS)</w:t>
      </w:r>
    </w:p>
    <w:p w14:paraId="2DEF65CC"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Igualdade do estado do jardim</w:t>
      </w:r>
    </w:p>
    <w:p w14:paraId="5420FEAD"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JerseyCAN</w:t>
      </w:r>
    </w:p>
    <w:p w14:paraId="10D71C33"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Junior Achievement of New Jersey (JANJ)</w:t>
      </w:r>
    </w:p>
    <w:p w14:paraId="276192D7"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Conferência Estadual da Associação Nacional para o Avanço de Pessoas Coloridas (National Association for the Advancement of Colored People, NAACP) em Nova Jersey</w:t>
      </w:r>
    </w:p>
    <w:p w14:paraId="654B126D" w14:textId="77777777" w:rsidR="001B4765" w:rsidRPr="00CB0C0E" w:rsidRDefault="00000000">
      <w:pPr>
        <w:pStyle w:val="a6"/>
        <w:numPr>
          <w:ilvl w:val="0"/>
          <w:numId w:val="204"/>
        </w:numPr>
        <w:spacing w:after="120" w:line="240" w:lineRule="auto"/>
        <w:ind w:left="360"/>
        <w:contextualSpacing w:val="0"/>
        <w:rPr>
          <w:rFonts w:cs="Times New Roman"/>
          <w:lang w:val="es-ES"/>
        </w:rPr>
      </w:pPr>
      <w:r>
        <w:rPr>
          <w:rFonts w:eastAsia="Times New Roman" w:cs="Times New Roman"/>
          <w:lang w:val="pt-BR"/>
        </w:rPr>
        <w:t>Afiliada da Associação de Supervisão e Desenvolvimento de Currículo de Nova Jersey (Association for Supervision &amp; Curriculum Development, NJASCD)</w:t>
      </w:r>
    </w:p>
    <w:p w14:paraId="0C0ED504"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Associação de Administradores Escolares de Nova Jersey (New Jersey Association of School Administrators, NJASA)</w:t>
      </w:r>
    </w:p>
    <w:p w14:paraId="300E9FC5" w14:textId="77777777" w:rsidR="001B4765" w:rsidRPr="00564542" w:rsidRDefault="00000000" w:rsidP="00564542">
      <w:pPr>
        <w:pStyle w:val="a6"/>
        <w:numPr>
          <w:ilvl w:val="0"/>
          <w:numId w:val="204"/>
        </w:numPr>
        <w:spacing w:after="120" w:line="240" w:lineRule="auto"/>
        <w:ind w:left="360"/>
        <w:contextualSpacing w:val="0"/>
        <w:rPr>
          <w:rFonts w:cs="Times New Roman"/>
        </w:rPr>
      </w:pPr>
      <w:r>
        <w:rPr>
          <w:rFonts w:eastAsia="Times New Roman" w:cs="Times New Roman"/>
          <w:lang w:val="pt-BR"/>
        </w:rPr>
        <w:t>Associação de Funcionários de Negócios da Escola de Nova Jersey (New Jersey Association of School Business Officials, NJASBO)</w:t>
      </w:r>
    </w:p>
    <w:p w14:paraId="3C140D93"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Associação de Bibliotecários Escolares de Nova Jersey (New Jersey Association of School Librarians, NJASL)</w:t>
      </w:r>
    </w:p>
    <w:p w14:paraId="6859A567"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Associação de Psicólogos Escolares de Nova Jersey (New Jersey Association of School Psychologists, NJASP)</w:t>
      </w:r>
    </w:p>
    <w:p w14:paraId="522B5AED"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Fundação Infantil de Nova Jersey (New Jersey Children's Foundation, NJCF)</w:t>
      </w:r>
    </w:p>
    <w:p w14:paraId="644C0F43"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Coalizão de Nova Jersey para Educação Inclusiva (New Jersey Coalition for Inclusive Education, NJCIE)</w:t>
      </w:r>
    </w:p>
    <w:p w14:paraId="54F25D06"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Congresso de pais e professores de Nova Jersey (New Jersey Congress of Parents and Teachers, PTA)</w:t>
      </w:r>
    </w:p>
    <w:p w14:paraId="70E7874B" w14:textId="77777777" w:rsidR="00686583"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Conselho de Nova Jersey para Crianças Excepcionais (New Jersey Council for Exceptional Children, NJCEC) Ramapo College</w:t>
      </w:r>
    </w:p>
    <w:p w14:paraId="7D3E3976"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Conselho de Estudos Sociais de Nova Jersey (New Jersey Council for the Social Studies, NJCSS)</w:t>
      </w:r>
    </w:p>
    <w:p w14:paraId="572F4F63"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Conselho de Escolas Vocacionais-Técnicas do Condado de Nova Jersey (New Jersey Council of County Vocational-Technical Schools, NJCCVTS)</w:t>
      </w:r>
    </w:p>
    <w:p w14:paraId="4D057BFB"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Conselho de Deficiências de Desenvolvimento de Nova Jersey (New Jersey Council on Developmental Disabilities, NJCDD)</w:t>
      </w:r>
    </w:p>
    <w:p w14:paraId="66721F0D" w14:textId="77777777" w:rsidR="001B4765"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Associação de Educação de Nova Jersey (New Jersey Education Association, NJEA)</w:t>
      </w:r>
    </w:p>
    <w:p w14:paraId="431E31E1"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Associação Head Start de Nova Jersey (NJHSA)</w:t>
      </w:r>
    </w:p>
    <w:p w14:paraId="786C5DC0"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Associação de Diretores e Supervisores de Nova Jersey (New Jersey Principals and Supervisors Association, NJPSA)</w:t>
      </w:r>
    </w:p>
    <w:p w14:paraId="705586DC"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Associação de Escolas Públicas de Estatuto de Nova Jersey (New Jersey Public Charter Schools Association, NJPCSA)</w:t>
      </w:r>
    </w:p>
    <w:p w14:paraId="1C23865B"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lastRenderedPageBreak/>
        <w:t>Associação de Conselhos Escolares de Nova Jersey (New Jersey School Boards Association, NJSBA)</w:t>
      </w:r>
    </w:p>
    <w:p w14:paraId="19E62235"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New Jersey Senate Majority Office</w:t>
      </w:r>
    </w:p>
    <w:p w14:paraId="2CBB1A3B"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Associação de Enfermeiros Escolares do Estado de Nova Jersey (New Jersey State School Nurses Association, NJSSNA)</w:t>
      </w:r>
    </w:p>
    <w:p w14:paraId="20EA0E25"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Professores de inglês de Nova Jersey para palestrantes de outros idiomas/educadores bilíngues de NJ (New Jersey Teachers of English to Speakers of Other Languages/NJ Bilingual Educators, NJTESOL/NJBE)</w:t>
      </w:r>
    </w:p>
    <w:p w14:paraId="4E2D6A92" w14:textId="77777777" w:rsidR="001B4765" w:rsidRPr="00564542" w:rsidRDefault="00000000" w:rsidP="00564542">
      <w:pPr>
        <w:pStyle w:val="a6"/>
        <w:numPr>
          <w:ilvl w:val="0"/>
          <w:numId w:val="204"/>
        </w:numPr>
        <w:spacing w:after="120" w:line="240" w:lineRule="auto"/>
        <w:ind w:left="360"/>
        <w:contextualSpacing w:val="0"/>
        <w:rPr>
          <w:rFonts w:cs="Times New Roman"/>
        </w:rPr>
      </w:pPr>
      <w:r>
        <w:rPr>
          <w:rFonts w:eastAsia="Times New Roman" w:cs="Times New Roman"/>
          <w:lang w:val="pt-BR"/>
        </w:rPr>
        <w:t>New Jersey Tutoring Corps (NJTC)</w:t>
      </w:r>
    </w:p>
    <w:p w14:paraId="3F5E47AB"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Organização profissional de tempo extracurricular e extracurricular de Nova Jersey (New Jersey's Afterschool and Out-</w:t>
      </w:r>
      <w:r>
        <w:rPr>
          <w:rFonts w:eastAsia="Times New Roman" w:cs="Times New Roman"/>
          <w:lang w:val="pt-BR"/>
        </w:rPr>
        <w:t>of-School Time Professional Organization, NJSACC)</w:t>
      </w:r>
    </w:p>
    <w:p w14:paraId="1EF042CA"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Fundo Educacional Paterson (Paterson Education Fund, PEF)</w:t>
      </w:r>
    </w:p>
    <w:p w14:paraId="023F06CB"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Salvar nossas escolas em NJ (Save Our Schools NJ, SOSNJ)</w:t>
      </w:r>
    </w:p>
    <w:p w14:paraId="46F45131" w14:textId="77777777" w:rsidR="001B4765" w:rsidRPr="00437776" w:rsidRDefault="00000000" w:rsidP="0C4D963D">
      <w:pPr>
        <w:pStyle w:val="a6"/>
        <w:numPr>
          <w:ilvl w:val="0"/>
          <w:numId w:val="204"/>
        </w:numPr>
        <w:spacing w:after="120" w:line="240" w:lineRule="auto"/>
        <w:ind w:left="360"/>
        <w:rPr>
          <w:rFonts w:cs="Times New Roman"/>
        </w:rPr>
      </w:pPr>
      <w:r>
        <w:rPr>
          <w:rFonts w:eastAsia="Times New Roman" w:cs="Times New Roman"/>
          <w:lang w:val="pt-BR"/>
        </w:rPr>
        <w:t>Olimpíadas Especiais de Nova Jersey (Special Olympics New Jersey, SONJ)</w:t>
      </w:r>
    </w:p>
    <w:p w14:paraId="25DBAE87" w14:textId="77777777" w:rsidR="001B4765" w:rsidRPr="00CB0C0E" w:rsidRDefault="00000000">
      <w:pPr>
        <w:pStyle w:val="a6"/>
        <w:numPr>
          <w:ilvl w:val="0"/>
          <w:numId w:val="204"/>
        </w:numPr>
        <w:spacing w:after="120" w:line="240" w:lineRule="auto"/>
        <w:ind w:left="360"/>
        <w:contextualSpacing w:val="0"/>
        <w:rPr>
          <w:rFonts w:cs="Times New Roman"/>
          <w:lang w:val="es-ES"/>
        </w:rPr>
      </w:pPr>
      <w:r>
        <w:rPr>
          <w:rFonts w:eastAsia="Times New Roman" w:cs="Times New Roman"/>
          <w:lang w:val="pt-BR"/>
        </w:rPr>
        <w:t>Rede de defesa de pais em todo o estado (Statewide Parent Advocacy Network, SPAN)</w:t>
      </w:r>
    </w:p>
    <w:p w14:paraId="77C346D5"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Teach For America (TFA) de Nova Jersey</w:t>
      </w:r>
    </w:p>
    <w:p w14:paraId="198158C2" w14:textId="77777777" w:rsidR="001B4765" w:rsidRPr="00437776" w:rsidRDefault="00000000">
      <w:pPr>
        <w:pStyle w:val="a6"/>
        <w:numPr>
          <w:ilvl w:val="0"/>
          <w:numId w:val="204"/>
        </w:numPr>
        <w:spacing w:after="120" w:line="240" w:lineRule="auto"/>
        <w:ind w:left="360"/>
        <w:contextualSpacing w:val="0"/>
        <w:rPr>
          <w:rFonts w:cs="Times New Roman"/>
        </w:rPr>
      </w:pPr>
      <w:r>
        <w:rPr>
          <w:rFonts w:eastAsia="Times New Roman" w:cs="Times New Roman"/>
          <w:lang w:val="pt-BR"/>
        </w:rPr>
        <w:t>Teacher Apprenticeship Network</w:t>
      </w:r>
    </w:p>
    <w:p w14:paraId="1236DC3A" w14:textId="77777777" w:rsidR="001B4765" w:rsidRDefault="00000000" w:rsidP="002560E7">
      <w:pPr>
        <w:pStyle w:val="a6"/>
        <w:numPr>
          <w:ilvl w:val="0"/>
          <w:numId w:val="204"/>
        </w:numPr>
        <w:spacing w:after="120" w:line="240" w:lineRule="auto"/>
        <w:ind w:left="360"/>
        <w:contextualSpacing w:val="0"/>
        <w:rPr>
          <w:rFonts w:cs="Times New Roman"/>
        </w:rPr>
      </w:pPr>
      <w:r>
        <w:rPr>
          <w:rFonts w:eastAsia="Times New Roman" w:cs="Times New Roman"/>
          <w:lang w:val="pt-BR"/>
        </w:rPr>
        <w:t>The Arc of New Jersey</w:t>
      </w:r>
    </w:p>
    <w:p w14:paraId="5DAB5710" w14:textId="77777777" w:rsidR="00A15182" w:rsidRPr="00BC5440" w:rsidRDefault="00A15182" w:rsidP="00BC5440">
      <w:pPr>
        <w:rPr>
          <w:rFonts w:cs="Times New Roman"/>
        </w:rPr>
        <w:sectPr w:rsidR="00A15182" w:rsidRPr="00BC5440" w:rsidSect="00A11811">
          <w:type w:val="continuous"/>
          <w:pgSz w:w="12240" w:h="15840"/>
          <w:pgMar w:top="1440" w:right="1440" w:bottom="1440" w:left="1440" w:header="720" w:footer="720" w:gutter="0"/>
          <w:cols w:num="2" w:space="720"/>
          <w:docGrid w:linePitch="360"/>
        </w:sectPr>
      </w:pPr>
    </w:p>
    <w:p w14:paraId="1137F148" w14:textId="77777777" w:rsidR="00E4131B" w:rsidRPr="00856537" w:rsidRDefault="00E4131B" w:rsidP="00856537">
      <w:pPr>
        <w:sectPr w:rsidR="00E4131B" w:rsidRPr="00856537" w:rsidSect="00A15182">
          <w:type w:val="continuous"/>
          <w:pgSz w:w="12240" w:h="15840"/>
          <w:pgMar w:top="1440" w:right="1440" w:bottom="1440" w:left="1440" w:header="720" w:footer="720" w:gutter="0"/>
          <w:cols w:space="720"/>
          <w:docGrid w:linePitch="360"/>
        </w:sectPr>
      </w:pPr>
    </w:p>
    <w:p w14:paraId="2A302349" w14:textId="77777777" w:rsidR="356DDE02" w:rsidRDefault="00000000" w:rsidP="00856537">
      <w:pPr>
        <w:pStyle w:val="A20"/>
      </w:pPr>
      <w:bookmarkStart w:id="345" w:name="_Toc199403863"/>
      <w:r>
        <w:lastRenderedPageBreak/>
        <w:t>Parte II</w:t>
      </w:r>
      <w:bookmarkEnd w:id="345"/>
      <w:r>
        <w:t xml:space="preserve"> </w:t>
      </w:r>
    </w:p>
    <w:p w14:paraId="13C66FFA" w14:textId="77777777" w:rsidR="64A3D192" w:rsidRPr="00CB0C0E" w:rsidRDefault="00000000" w:rsidP="00E4131B">
      <w:pPr>
        <w:spacing w:after="180"/>
        <w:rPr>
          <w:lang w:val="es-ES"/>
        </w:rPr>
      </w:pPr>
      <w:r>
        <w:rPr>
          <w:rFonts w:eastAsia="Times New Roman" w:cs="Arial"/>
          <w:lang w:val="pt-BR"/>
        </w:rPr>
        <w:t xml:space="preserve">Seguindo o processo de análise colaborativa descrito na seção anterior, de 24 de julho de 2024 a 28 de agosto de 2024, o NJDOE publicou a minuta do Plano estadual da ESSA de 2024 para análise pública. De acordo com a seção 8304 da ESEA, antes de enviar qualquer emenda ao USED, um estado deve “acessar uma oportunidade razoável para comentários públicos sobre a emenda e considerar tais comentários”. Este cronograma de publicação de comentários públicos foi projetado para refletir o prazo para comentários públicos em 2017, que ocorreu de 15 de fevereiro de 2017 a 20 de março de 2017. </w:t>
      </w:r>
    </w:p>
    <w:p w14:paraId="3EC29619" w14:textId="77777777" w:rsidR="356DDE02" w:rsidRPr="00CB0C0E" w:rsidRDefault="00000000" w:rsidP="00E4131B">
      <w:pPr>
        <w:spacing w:after="180" w:line="259" w:lineRule="auto"/>
        <w:rPr>
          <w:rFonts w:eastAsia="Aptos" w:cs="Times New Roman"/>
          <w:color w:val="000000" w:themeColor="text1"/>
          <w:lang w:val="es-ES"/>
        </w:rPr>
      </w:pPr>
      <w:r>
        <w:rPr>
          <w:rFonts w:eastAsia="Times New Roman" w:cs="Times New Roman"/>
          <w:lang w:val="pt-BR"/>
        </w:rPr>
        <w:t xml:space="preserve">As notificações iniciadas em </w:t>
      </w:r>
      <w:hyperlink r:id="rId54" w:history="1">
        <w:r w:rsidR="356DDE02">
          <w:rPr>
            <w:rFonts w:eastAsia="Times New Roman" w:cs="Times New Roman"/>
            <w:lang w:val="pt-BR"/>
          </w:rPr>
          <w:t>julho de 2023,</w:t>
        </w:r>
      </w:hyperlink>
      <w:r>
        <w:rPr>
          <w:rFonts w:eastAsia="Times New Roman" w:cs="Times New Roman"/>
          <w:lang w:val="pt-BR"/>
        </w:rPr>
        <w:t xml:space="preserve"> dezembro de 2023 e culminando em julho de 2024, forneceram aos administradores da escola principal da LEA e ao público em geral atualizações contínuas sobre a revisão do Plano estadual da ESSA e as oportunidades de fornecer feedback ao NJDOE. </w:t>
      </w:r>
      <w:r>
        <w:rPr>
          <w:rFonts w:eastAsia="Times New Roman" w:cs="Times New Roman"/>
          <w:color w:val="000000"/>
          <w:lang w:val="pt-BR"/>
        </w:rPr>
        <w:t>Para buscar comentários das LEAs e escolas do estado, o NJDOE consultou grupos de partes interessadas que incluíam representantes da LEA. As notificações foram enviadas aos listservs, incluindo mais de 1.000 administradores da LEA, e compartilhadas por meio de publicações de organizações de educadores parceiros, incluindo conselhos escolares, diretores e educadores.</w:t>
      </w:r>
    </w:p>
    <w:p w14:paraId="4A051379" w14:textId="77777777" w:rsidR="4B6A5C98" w:rsidRPr="00CB0C0E" w:rsidRDefault="00000000" w:rsidP="00E4131B">
      <w:pPr>
        <w:rPr>
          <w:rFonts w:cs="Times New Roman"/>
          <w:lang w:val="es-ES"/>
        </w:rPr>
      </w:pPr>
      <w:r>
        <w:rPr>
          <w:rFonts w:eastAsia="Times New Roman" w:cs="Times New Roman"/>
          <w:lang w:val="pt-BR"/>
        </w:rPr>
        <w:t xml:space="preserve">O NJDOE recebeu gratamente comentários de partes interessadas e organizações individuais, conforme observado abaixo. Os comentários foram cuidadosamente analisados pela equipe do NJDOE e resumidos aqui para concisão. O resumo não foi elaborado para ser uma captura exaustiva do feedback. Se os comentaristas recomendaram alterações nos sistemas regidos fora do Plano estadual da ESSA, eles não foram incluídos abaixo, mas compartilhados com as equipes relevantes do NJDOE para sua consideração. Para obter informações adicionais, as partes interessadas podem entrar em contato com </w:t>
      </w:r>
      <w:hyperlink r:id="rId55" w:history="1">
        <w:r w:rsidR="4B6A5C98">
          <w:rPr>
            <w:rFonts w:eastAsia="Times New Roman" w:cs="Times New Roman"/>
            <w:color w:val="0000FF"/>
            <w:u w:val="single"/>
            <w:lang w:val="pt-BR"/>
          </w:rPr>
          <w:t>essa@doe.nj.gov</w:t>
        </w:r>
      </w:hyperlink>
      <w:r>
        <w:rPr>
          <w:rFonts w:eastAsia="Times New Roman" w:cs="Times New Roman"/>
          <w:lang w:val="pt-BR"/>
        </w:rPr>
        <w:t>.</w:t>
      </w:r>
    </w:p>
    <w:p w14:paraId="3FC8F35B" w14:textId="77777777" w:rsidR="008B41B5" w:rsidRPr="00CB0C0E" w:rsidRDefault="00000000" w:rsidP="00856537">
      <w:pPr>
        <w:pStyle w:val="A30"/>
      </w:pPr>
      <w:bookmarkStart w:id="346" w:name="_Toc199403864"/>
      <w:r>
        <w:t>1. The Arc of New Jersey</w:t>
      </w:r>
      <w:bookmarkEnd w:id="346"/>
    </w:p>
    <w:p w14:paraId="1B2CC134" w14:textId="77777777" w:rsidR="008B41B5" w:rsidRPr="00CB0C0E" w:rsidRDefault="00000000" w:rsidP="00E4131B">
      <w:pPr>
        <w:spacing w:after="0"/>
        <w:rPr>
          <w:rFonts w:ascii="Aptos" w:eastAsia="Aptos" w:hAnsi="Aptos" w:cs="Aptos"/>
          <w:color w:val="0C64C0"/>
          <w:lang w:val="es-ES"/>
        </w:rPr>
      </w:pPr>
      <w:r>
        <w:rPr>
          <w:rFonts w:eastAsia="Times New Roman" w:cs="Times New Roman"/>
          <w:lang w:val="pt-BR"/>
        </w:rPr>
        <w:t>The Arc of New Jersey, o maior grupo de defesa do estado para pessoas com deficiências intelectuais e de desenvolvimento (DDI) e suas famílias, agradece ao NJDOE pela oportunidade de comentar sobre o projeto do Plano estadual da ESSA de 2024. Ele elogia o compromisso do NJDOE com o feedback das partes interessadas e destaca seu trabalho apoiando mais de 1.000 famílias anualmente em questões de educação especial. O Arc levanta preocupações sobre como o requisito do indicador de proficiência em inglês pode afetar os alunos de inglês com IDD e solicita uma revisão completa das ferramentas de medição quanto à precisão e justiça. Ele enfatiza a necessidade de abordar o absenteísmo crônico, particularmente entre alunos com IDD, que são mais propensos a experimentar o absenteísmo devido a desafios mentais e físicos complexos. O Arc pede colaboração proativa entre escolas e famílias para melhorar a frequência e o sucesso dos alunos, apreciando a oportunidade de se envolver nos grupos de trabalho das partes interessadas e o apoio contínuo do NJDOE para alunos com deficiências. Esses comentários foram enviados por Thomas Baffuto, diretor executivo.</w:t>
      </w:r>
    </w:p>
    <w:p w14:paraId="1EFCA4E2" w14:textId="77777777" w:rsidR="008B41B5" w:rsidRPr="00CB0C0E" w:rsidRDefault="00000000" w:rsidP="00E4131B">
      <w:pPr>
        <w:pStyle w:val="4"/>
        <w:rPr>
          <w:lang w:val="es-ES"/>
        </w:rPr>
      </w:pPr>
      <w:bookmarkStart w:id="347" w:name="_Toc199403865"/>
      <w:r>
        <w:rPr>
          <w:rFonts w:ascii="Cambria" w:eastAsia="Cambria" w:hAnsi="Cambria" w:cs="Arial"/>
          <w:szCs w:val="24"/>
          <w:lang w:val="pt-BR"/>
        </w:rPr>
        <w:t>Resposta do NJDOE</w:t>
      </w:r>
      <w:bookmarkEnd w:id="347"/>
    </w:p>
    <w:p w14:paraId="5D4E4665" w14:textId="77777777" w:rsidR="008B41B5" w:rsidRPr="00CB0C0E" w:rsidRDefault="00000000" w:rsidP="00E4131B">
      <w:pPr>
        <w:spacing w:after="0"/>
        <w:rPr>
          <w:rFonts w:eastAsia="Times New Roman" w:cs="Times New Roman"/>
          <w:lang w:val="es-ES"/>
        </w:rPr>
      </w:pPr>
      <w:r>
        <w:rPr>
          <w:rFonts w:eastAsia="Times New Roman" w:cs="Times New Roman"/>
          <w:lang w:val="pt-BR"/>
        </w:rPr>
        <w:t xml:space="preserve">O NJDOE agradeceu o envolvimento da Arc New Jersey nesse processo, o apoio a mudanças incrementais no Plano estadual da ESSA de 2024 e o feedback sobre elementos críticos do plano. Para avaliar e melhorar continuamente a proficiência em inglês, o NJDOE se comprometeu a envolver as partes interessadas focadas nessa questão específica ao longo do ano. Membros interessados neste tópico e em outros tópicos relacionados a alunos multilíngues e responsabilidade escolar podem entrar em contato com </w:t>
      </w:r>
      <w:r>
        <w:rPr>
          <w:rFonts w:eastAsia="Times New Roman" w:cs="Arial"/>
          <w:lang w:val="pt-BR"/>
        </w:rPr>
        <w:t>essa@doe.nj.gov</w:t>
      </w:r>
      <w:r>
        <w:rPr>
          <w:rFonts w:eastAsia="Times New Roman" w:cs="Times New Roman"/>
          <w:lang w:val="pt-BR"/>
        </w:rPr>
        <w:t xml:space="preserve">. O NJDOE concorda que é importante trabalhar com as comunidades para abordar o absenteísmo, e o absenteísmo crônico continua sendo um foco e continuará sendo um foco em nosso Plano </w:t>
      </w:r>
      <w:r>
        <w:rPr>
          <w:rFonts w:eastAsia="Times New Roman" w:cs="Times New Roman"/>
          <w:lang w:val="pt-BR"/>
        </w:rPr>
        <w:lastRenderedPageBreak/>
        <w:t xml:space="preserve">estadual de ESSA de NJ. O absenteísmo afeta negativamente o desempenho acadêmico, aumentando o risco de menor desempenho acadêmico e de desistência, e capacitando as escolas a reconhecer o possível impacto desproporcional entre alunos com IDD é importante. Para destacar a importante ligação entre a frequência escolar regular e o sucesso educacional, o NJDOE planejou atividades para o ano letivo de 2024-25 para incentivar a frequência escolar consistente e reduzir o absenteísmo dos alunos para todos os alunos. O NJDOE tem o compromisso de apoiar as escolas na implementação de intervenções proativas e orientadas por dados e promover fortes parcerias com famílias/responsáveis para melhorar a participação dos alunos e abordar o impacto entre aqueles em nossas populações de alunos mais vulneráveis. Para este fim, o NJDOE concorda que é importante considerar as necessidades dos alunos com deficiências intelectuais e de desenvolvimento ao identificar as causas raiz do absenteísmo dos alunos. Consulte nosso </w:t>
      </w:r>
      <w:hyperlink r:id="rId56" w:history="1">
        <w:r w:rsidR="008B41B5">
          <w:rPr>
            <w:rFonts w:eastAsia="Times New Roman" w:cs="Times New Roman"/>
            <w:color w:val="0000FF"/>
            <w:u w:val="single"/>
            <w:lang w:val="pt-BR"/>
          </w:rPr>
          <w:t>documento de Tomada de decisão baseada em dados para abordar o absenteísmo crônico</w:t>
        </w:r>
      </w:hyperlink>
      <w:r>
        <w:rPr>
          <w:rFonts w:eastAsia="Times New Roman" w:cs="Times New Roman"/>
          <w:lang w:val="pt-BR"/>
        </w:rPr>
        <w:t xml:space="preserve"> como parte de sua orientação sobre abordagens eficazes, incluindo maneiras de colaborar com famílias/responsáveis e abordar as barreiras subjacentes à frequência regular. O NJDOE se dedica a trabalhar em colaboração para melhorar a experiência educacional e os resultados para todos os alunos, especialmente aqueles com deficiências.</w:t>
      </w:r>
    </w:p>
    <w:p w14:paraId="1EEF77CC" w14:textId="77777777" w:rsidR="003209D4" w:rsidRPr="00CB0C0E" w:rsidRDefault="00000000" w:rsidP="00856537">
      <w:pPr>
        <w:pStyle w:val="A30"/>
      </w:pPr>
      <w:bookmarkStart w:id="348" w:name="_Toc199403866"/>
      <w:r>
        <w:t>2. Samuel Chiang</w:t>
      </w:r>
      <w:bookmarkEnd w:id="348"/>
      <w:r>
        <w:t xml:space="preserve"> </w:t>
      </w:r>
    </w:p>
    <w:p w14:paraId="63D37E30" w14:textId="77777777" w:rsidR="008B41B5" w:rsidRPr="00CB0C0E" w:rsidRDefault="00000000" w:rsidP="00E4131B">
      <w:pPr>
        <w:spacing w:after="160" w:line="259" w:lineRule="auto"/>
        <w:rPr>
          <w:rFonts w:cs="Times New Roman"/>
          <w:lang w:val="es-ES"/>
        </w:rPr>
      </w:pPr>
      <w:r>
        <w:rPr>
          <w:rFonts w:eastAsia="Times New Roman" w:cs="Times New Roman"/>
          <w:lang w:val="pt-BR"/>
        </w:rPr>
        <w:t xml:space="preserve">Samuel Chiang pediu ao NJDOE que considerasse adotar taxas de formação de 6 a 7 anos para alunos com deficiências significativas que precisam de apoio adicional além do 12º ano. Atualmente, os distritos são penalizados no indicador de taxa de formatura por apoiarem os alunos em programas de 18 a 21 anos de idade, apesar dos claros benefícios de prepará-los para futuros planos acadêmicos ou de carreira. Esse desânimo pode desencorajar os distritos a oferecerem esses programas essenciais, pois isso afeta negativamente suas taxas de formação. Como resultado, muitos alunos com deficiências que se beneficiariam do apoio estendido podem não o receber devido à estrutura atual do indicador de taxa de formação. Samuel Chiang é diretor de pesquisa, planejamento, avaliação e teste no distrito escolar de Bogotá. </w:t>
      </w:r>
    </w:p>
    <w:p w14:paraId="439CD04D" w14:textId="77777777" w:rsidR="003209D4" w:rsidRPr="00CB0C0E" w:rsidRDefault="00000000" w:rsidP="00E4131B">
      <w:pPr>
        <w:pStyle w:val="4"/>
        <w:rPr>
          <w:lang w:val="es-ES"/>
        </w:rPr>
      </w:pPr>
      <w:bookmarkStart w:id="349" w:name="_Toc199403867"/>
      <w:r>
        <w:rPr>
          <w:rFonts w:ascii="Cambria" w:eastAsia="Cambria" w:hAnsi="Cambria" w:cs="Arial"/>
          <w:szCs w:val="24"/>
          <w:lang w:val="pt-BR"/>
        </w:rPr>
        <w:t>Resposta do NJDOE</w:t>
      </w:r>
      <w:bookmarkEnd w:id="349"/>
    </w:p>
    <w:p w14:paraId="71F00425" w14:textId="77777777" w:rsidR="000517BC" w:rsidRPr="00CB0C0E" w:rsidRDefault="00000000" w:rsidP="00E4131B">
      <w:pPr>
        <w:spacing w:after="220"/>
        <w:rPr>
          <w:rFonts w:cs="Times New Roman"/>
          <w:lang w:val="es-ES"/>
        </w:rPr>
      </w:pPr>
      <w:r>
        <w:rPr>
          <w:rFonts w:eastAsia="Times New Roman" w:cs="Times New Roman"/>
          <w:lang w:val="pt-BR"/>
        </w:rPr>
        <w:t>O NJDOE agradece o apoio do comentarista para incluir taxas de formação de 6 anos em seu indicador de taxa de formação. Seguindo em frente, se disponível, o NJDOE também pode considerar a colaboração com as partes interessadas, incluindo taxas de formação de 7 anos. O NJDOE concorda que o sistema de responsabilidade da ESSA deve se alinhar melhor com os requisitos da Lei de Educação para Indivíduos com Deficiências (Individuals with Disabilities Education Act, IDEA). Notavelmente, no entanto, os alunos têm o direito legal de receber uma Educação Pública Gratuita e Apropriada (Free, Appropriate Public Education, FAPE) adaptada às suas necessidades até os 21 anos de idade, independentemente da estrutura de responsabilidade da ESSA e das leis federais. Isso inclui serviços de educação especial, serviços relacionados e acomodações para apoiar seu progresso acadêmico e funcional. Esses serviços são fornecidos no ambiente menos restritivo e incluem um Programa de Educação Individualizada (Individualized Education Program, IEP) para atender aos seus requisitos educacionais exclusivos. Portanto, independentemente dos incentivos de responsabilidade, devemos fornecer aos alunos os serviços aos quais eles têm direito.</w:t>
      </w:r>
    </w:p>
    <w:p w14:paraId="1FDBE80B" w14:textId="77777777" w:rsidR="003209D4" w:rsidRPr="00CB0C0E" w:rsidRDefault="00000000" w:rsidP="00856537">
      <w:pPr>
        <w:pStyle w:val="A30"/>
      </w:pPr>
      <w:bookmarkStart w:id="350" w:name="_Toc199403868"/>
      <w:r>
        <w:t>3. Elizabeth J. Franks</w:t>
      </w:r>
      <w:bookmarkEnd w:id="350"/>
    </w:p>
    <w:p w14:paraId="5261B75A" w14:textId="77777777" w:rsidR="008B41B5" w:rsidRPr="00CB0C0E" w:rsidRDefault="00000000" w:rsidP="00E4131B">
      <w:pPr>
        <w:spacing w:after="220"/>
        <w:rPr>
          <w:rFonts w:cs="Times New Roman"/>
          <w:lang w:val="es-ES"/>
        </w:rPr>
      </w:pPr>
      <w:r>
        <w:rPr>
          <w:rFonts w:eastAsia="Times New Roman" w:cs="Times New Roman"/>
          <w:lang w:val="pt-BR"/>
        </w:rPr>
        <w:t>Elizabeth J. Franks é uma educadora vitalícia em educação bilíngue e ESL,</w:t>
      </w:r>
      <w:r>
        <w:rPr>
          <w:rFonts w:eastAsia="Times New Roman" w:cs="Times New Roman"/>
          <w:b/>
          <w:bCs/>
          <w:lang w:val="pt-BR"/>
        </w:rPr>
        <w:t xml:space="preserve"> </w:t>
      </w:r>
      <w:r>
        <w:rPr>
          <w:rFonts w:eastAsia="Times New Roman" w:cs="Times New Roman"/>
          <w:lang w:val="pt-BR"/>
        </w:rPr>
        <w:t xml:space="preserve">e apoia as revisões do Plano estadual da ESSA e o espírito da ESSA, que visa responsabilizar os distritos pelo sucesso dos alunos multilíngues. No presente sistema, diversas medidas são adequadas para essa população especializada, </w:t>
      </w:r>
      <w:r>
        <w:rPr>
          <w:rFonts w:eastAsia="Times New Roman" w:cs="Times New Roman"/>
          <w:lang w:val="pt-BR"/>
        </w:rPr>
        <w:lastRenderedPageBreak/>
        <w:t xml:space="preserve">enquanto outras não captam a natureza dinâmica desses estudantes. Por exemplo, a medida atual de participação e progresso em testes padronizados são medições válidas de realização e acesso a padrões de conteúdo. Incluir alunos de ML que anteriormente recebiam serviços LIEP dentro de quatro anos no cálculo de proficiência também é uma maneira equitativa de medir o sucesso de escolas/distritos e alunos. Esses ex-alunos são geralmente equivalentes ou próximos de comparáveis aos falantes nativos de inglês. No entanto, a Sra. Franks incentiva ao NJDOE a considerar mudanças nas métricas usadas no sistema de responsabilidade. Embora a participação e o progresso em testes padronizados sejam úteis, os MLs em níveis de proficiência em inglês mais baixos (ELP 1–3) muitas vezes não podem atender a referências de proficiência projetadas para falantes nativos. </w:t>
      </w:r>
    </w:p>
    <w:p w14:paraId="09C3CADF" w14:textId="77777777" w:rsidR="003209D4" w:rsidRPr="00CB0C0E" w:rsidRDefault="00000000" w:rsidP="00E4131B">
      <w:pPr>
        <w:pStyle w:val="4"/>
        <w:rPr>
          <w:lang w:val="es-ES"/>
        </w:rPr>
      </w:pPr>
      <w:bookmarkStart w:id="351" w:name="_Toc199403869"/>
      <w:r>
        <w:rPr>
          <w:rFonts w:ascii="Cambria" w:eastAsia="Cambria" w:hAnsi="Cambria" w:cs="Arial"/>
          <w:szCs w:val="24"/>
          <w:lang w:val="pt-BR"/>
        </w:rPr>
        <w:t>Resposta do NJDOE</w:t>
      </w:r>
      <w:bookmarkEnd w:id="351"/>
    </w:p>
    <w:p w14:paraId="374A71F4" w14:textId="77777777" w:rsidR="008B41B5" w:rsidRPr="00CB0C0E" w:rsidRDefault="00000000" w:rsidP="00E4131B">
      <w:pPr>
        <w:rPr>
          <w:rFonts w:cs="Times New Roman"/>
          <w:lang w:val="es-ES"/>
        </w:rPr>
      </w:pPr>
      <w:r>
        <w:rPr>
          <w:rFonts w:eastAsia="Times New Roman" w:cs="Times New Roman"/>
          <w:lang w:val="pt-BR"/>
        </w:rPr>
        <w:t>O NJDOE agradece o envolvimento contínuo da Sra. Franks como educadora, membro do conselho e, muitas vezes, como representante de suas várias funções de defesa, seu apoio a esse processo e algumas das mudanças incrementais no Plano estadual da ESSA de 2024. O NJDOE concorda em manter um sistema de responsabilidade justo e equitativo que visa garantir a melhoria contínua do NJDOE, particularmente no que se refere às métricas de sucesso acadêmico e progresso em direção aos indicadores de proficiência em inglês. O NJDOE continua comprometida em identificar métricas confiáveis e baseadas em pesquisa que, quando tomadas em conjunto, fornecem a visão mais abrangente e justa do desempenho dos alunos. Trabalhando dentro dos parâmetros das leis federais e estaduais, o NJDOE espera continuar a análise de dados, pesquisa e discussões com as partes interessadas para melhorar como as métricas relacionadas aos alunos multilíngues ajudam o NJDOE a diferenciar o desempenho escolar significativamente. Como mencionado no Comentário 1, para avaliar e melhorar continuamente a proficiência em inglês, o NJDOE se comprometeu a envolver as partes interessadas focadas nesta questão específica ao longo do ano. Entre muitas funções educacionais, a Sra. Frank é presidente do Conselho de Educação de Bradley Beach.</w:t>
      </w:r>
    </w:p>
    <w:p w14:paraId="3E02662C" w14:textId="77777777" w:rsidR="003209D4" w:rsidRPr="003209D4" w:rsidRDefault="00000000" w:rsidP="00856537">
      <w:pPr>
        <w:pStyle w:val="A30"/>
      </w:pPr>
      <w:bookmarkStart w:id="352" w:name="_Toc199403870"/>
      <w:r>
        <w:t>4. New Jersey Educator Association (NJEA)</w:t>
      </w:r>
      <w:bookmarkEnd w:id="352"/>
    </w:p>
    <w:p w14:paraId="7D16793A" w14:textId="77777777" w:rsidR="008B41B5" w:rsidRPr="00CB0C0E" w:rsidRDefault="00000000" w:rsidP="00E4131B">
      <w:pPr>
        <w:rPr>
          <w:rFonts w:cs="Times New Roman"/>
          <w:lang w:val="es-ES"/>
        </w:rPr>
      </w:pPr>
      <w:r>
        <w:rPr>
          <w:rFonts w:eastAsia="Times New Roman" w:cs="Times New Roman"/>
          <w:lang w:val="pt-BR"/>
        </w:rPr>
        <w:t>A New Jersey Educator Association (NJEA) elogia o NJDOE por sua abordagem colaborativa no desenvolvimento do plano proposto, enfatizando o crescimento sobre métricas baseadas em proficiência e considerando métodos de medição inovadores. Ela também aprecia os esforços do NJDOE para refinar os cálculos de absenteísmo crônico para melhor precisão na identificação de escolas que precisam de apoio. A NJEA espera observar a implementação dessas alterações e analisar os dados resultantes. A NJEA continua a recomendar a redução de testes padronizados em todo o estado. O Índice de Sucesso do Aluno da NJEA, proposto em 2017, poderia ser um ponto de partida para discussão adicional das partes interessadas ao buscar expandir o menu de Métricas de Qualidade da Escola e Sucesso do Aluno. A NJEA acredita que o envolvimento significativo das partes interessadas é fundamental para garantir o sucesso da ESSA. Infelizmente, o envolvimento das partes interessadas locais, se acontecer, não está cumprindo sua promessa. O NJDOE deve retificar esta deficiência comprometendo-se explicitamente com o Plano estadual da ESSA para garantir que todos os distritos deem aos grupos de partes interessadas a voz que merecem. Esses comentários foram enviados por Michael Flynn, diretor associado de Relações Governamentais da NJEA, Sean Hadley, diretor associado de Relações Governamentais da NJEA e Elisabeth Yucis, diretora associada de Desenvolvimento Profissional e Questões Instrucionais da NJEA.</w:t>
      </w:r>
    </w:p>
    <w:p w14:paraId="62359EB4" w14:textId="77777777" w:rsidR="003209D4" w:rsidRPr="00CB0C0E" w:rsidRDefault="00000000" w:rsidP="00E4131B">
      <w:pPr>
        <w:pStyle w:val="4"/>
        <w:rPr>
          <w:lang w:val="es-ES"/>
        </w:rPr>
      </w:pPr>
      <w:bookmarkStart w:id="353" w:name="_Toc199403871"/>
      <w:r>
        <w:rPr>
          <w:rFonts w:ascii="Cambria" w:eastAsia="Cambria" w:hAnsi="Cambria" w:cs="Arial"/>
          <w:szCs w:val="24"/>
          <w:lang w:val="pt-BR"/>
        </w:rPr>
        <w:t>Resposta do NJDOE</w:t>
      </w:r>
      <w:bookmarkEnd w:id="353"/>
    </w:p>
    <w:p w14:paraId="3E164A50" w14:textId="77777777" w:rsidR="008B41B5" w:rsidRPr="00CB0C0E" w:rsidRDefault="00000000" w:rsidP="00E4131B">
      <w:pPr>
        <w:spacing w:after="220"/>
        <w:rPr>
          <w:rFonts w:cs="Times New Roman"/>
          <w:lang w:val="es-ES"/>
        </w:rPr>
      </w:pPr>
      <w:r>
        <w:rPr>
          <w:rFonts w:eastAsia="Times New Roman" w:cs="Times New Roman"/>
          <w:lang w:val="pt-BR"/>
        </w:rPr>
        <w:lastRenderedPageBreak/>
        <w:t xml:space="preserve">O NJDOE aprecia o envolvimento contínuo da NJEA nesse processo e o apoio a mudanças incrementais no Plano estadual da ESSA de 2024. Sobre a definição de “professor inexperiente”, cada estado deve definir esse termo preciso sob a ESSA. Como a definição de Nova Jersey se alinha com “novos” e o NJDOE concorda que é o termo preferido, ela manterá a definição para garantir que a conformidade seja compreendida. O NJDOE concorda que o envolvimento significativo das partes interessadas é fundamental para o sucesso da ESSA em nível estadual e local. Para ajudar as LEAs a garantir que eles cumpram as leis federais relacionadas ao envolvimento significativo, o NJDOE, em parceria com várias partes interessadas, incluindo parceiros da NJEA, desenvolveu </w:t>
      </w:r>
      <w:hyperlink r:id="rId57" w:history="1">
        <w:r w:rsidR="008B41B5">
          <w:rPr>
            <w:rFonts w:eastAsia="Times New Roman" w:cs="Arial"/>
            <w:color w:val="0000FF"/>
            <w:u w:val="single"/>
            <w:lang w:val="pt-BR"/>
          </w:rPr>
          <w:t>o envolvimento local das partes interessadas sob a lei Every Student Succeeds Act (ESSA): Um guia para líderes distritais e escolares.</w:t>
        </w:r>
      </w:hyperlink>
      <w:r>
        <w:rPr>
          <w:rFonts w:eastAsia="Times New Roman" w:cs="Times New Roman"/>
          <w:lang w:val="pt-BR"/>
        </w:rPr>
        <w:t xml:space="preserve"> Este guia fornece uma lista dos requisitos mínimos de envolvimento das partes interessadas para usar os principais fluxos de financiamento da ESEA e também inclui as melhores práticas e exemplos de envolvimento exemplar. Como resultado desse comentário, o NJDOE adicionou uma frase esclarecedora na introdução ao Plano estadual da ESSA de 2024, para lembrar mais claramente as LEAs que o envolvimento das partes interessadas é um elemento crítico do processo de melhoria contínua e que é exigido federalmente quando as LEAs desenvolvem planos e implementa programas federais descritos neste Plano estadual da ESSA. Por fim, o NJDOE está comprometido em melhorar continuamente seu próprio envolvimento das partes interessadas e colaborar com as partes interessadas em todo o estado para encontrar maneiras de aumentar o envolvimento das partes interessadas locais.</w:t>
      </w:r>
    </w:p>
    <w:p w14:paraId="782DC09E" w14:textId="77777777" w:rsidR="003209D4" w:rsidRPr="003209D4" w:rsidRDefault="00000000" w:rsidP="00856537">
      <w:pPr>
        <w:pStyle w:val="A30"/>
      </w:pPr>
      <w:bookmarkStart w:id="354" w:name="_Toc199403872"/>
      <w:r>
        <w:t>5. Associação de Audição de Idioma e Fala de Nova Jersey (New Jersey Speech-Language Hearing Association, NJSHA)</w:t>
      </w:r>
      <w:bookmarkEnd w:id="354"/>
    </w:p>
    <w:p w14:paraId="0E435A46" w14:textId="77777777" w:rsidR="008B41B5" w:rsidRPr="00CB0C0E" w:rsidRDefault="00000000" w:rsidP="00E4131B">
      <w:pPr>
        <w:spacing w:after="220"/>
        <w:rPr>
          <w:rFonts w:cs="Times New Roman"/>
          <w:lang w:val="es-ES"/>
        </w:rPr>
      </w:pPr>
      <w:r>
        <w:rPr>
          <w:rFonts w:eastAsia="Times New Roman" w:cs="Times New Roman"/>
          <w:lang w:val="pt-BR"/>
        </w:rPr>
        <w:t>O</w:t>
      </w:r>
      <w:r>
        <w:rPr>
          <w:rFonts w:eastAsia="Times New Roman" w:cs="Times New Roman"/>
          <w:b/>
          <w:bCs/>
          <w:lang w:val="pt-BR"/>
        </w:rPr>
        <w:t xml:space="preserve"> </w:t>
      </w:r>
      <w:r>
        <w:rPr>
          <w:rFonts w:eastAsia="Times New Roman" w:cs="Times New Roman"/>
          <w:lang w:val="pt-BR"/>
        </w:rPr>
        <w:t>aprecia a análise do NJDOE do rascunho da ESSA 2024 de NJ e solicita a inclusão em futuros grupos de trabalho de partes interessadas da ESSA. Representando fonoaudiólogos e fonoaudiólogos (SLPs) em Nova Jersey, a NJSHA enfatiza o papel vital dos SLPs no apoio a estudantes de educação especial e geral, particularmente no desenvolvimento e alfabetização de idiomas. A NJSHA expressa preocupações sobre a falta de oportunidades de desenvolvimento profissional especializadas para especialistas em linguagem de fala (speech-language specialists, SLSs) e incentiva o NJDOE a incluir “provedores de serviços educacionais” nas seções preliminares da ESSA que abordam oportunidades de desenvolvimento profissional e financiamento, que atualmente fazem referência apenas a “professores”. Donna Spillman-Kennedy, MS, CCC-SLP, presidente da NJSHA, enviou esses comentários.</w:t>
      </w:r>
    </w:p>
    <w:p w14:paraId="48EAE00F" w14:textId="77777777" w:rsidR="003209D4" w:rsidRPr="00CB0C0E" w:rsidRDefault="00000000" w:rsidP="00E4131B">
      <w:pPr>
        <w:pStyle w:val="4"/>
        <w:rPr>
          <w:lang w:val="es-ES"/>
        </w:rPr>
      </w:pPr>
      <w:bookmarkStart w:id="355" w:name="_Toc199403873"/>
      <w:r>
        <w:rPr>
          <w:rFonts w:ascii="Cambria" w:eastAsia="Cambria" w:hAnsi="Cambria" w:cs="Arial"/>
          <w:szCs w:val="24"/>
          <w:lang w:val="pt-BR"/>
        </w:rPr>
        <w:t>Resposta do NJDOE</w:t>
      </w:r>
      <w:bookmarkEnd w:id="355"/>
    </w:p>
    <w:p w14:paraId="75A274DD" w14:textId="77777777" w:rsidR="008B41B5" w:rsidRPr="00CB0C0E" w:rsidRDefault="00000000" w:rsidP="00E4131B">
      <w:pPr>
        <w:rPr>
          <w:rFonts w:cs="Times New Roman"/>
          <w:lang w:val="es-ES"/>
        </w:rPr>
      </w:pPr>
      <w:r>
        <w:rPr>
          <w:rFonts w:eastAsia="Times New Roman" w:cs="Times New Roman"/>
          <w:lang w:val="pt-BR"/>
        </w:rPr>
        <w:t>O NJDOE agradece o interesse da NJSHA no envolvimento adicional das partes interessadas relacionado ao Plano estadual da ESSA de Nova Jersey e reconhece o papel vital que todos os educadores, incluindo provedores de serviços educacionais e professores, desempenham no sucesso acadêmico dos alunos. Assim, o NJDOE atualizou a seção A.4 (Melhoria das habilidades dos educadores) para adicionar “provedores de serviços educacionais” à lista de profissionais aos quais o NJDOE fornece desenvolvimento profissional. Sempre que possível, o NJDOE teve como objetivo utilizar o termo “educador”. Observe que as referências a professores permanecem, particularmente em algumas perguntas sobre modelos do USED e quando o NJDOE cita a ESSA ou leis estaduais sobre professores. Além disso, em alguns lugares ao longo do plano, o termo “pessoal especializado em suporte instrucional” é usado, e esse termo incluiria patologistas em linguagem de fala e outros prestadores de serviços educacionais.</w:t>
      </w:r>
    </w:p>
    <w:p w14:paraId="746A452F" w14:textId="77777777" w:rsidR="009A317D" w:rsidRPr="00CB0C0E" w:rsidRDefault="00000000" w:rsidP="00856537">
      <w:pPr>
        <w:pStyle w:val="A30"/>
      </w:pPr>
      <w:bookmarkStart w:id="356" w:name="_Toc199403874"/>
      <w:r>
        <w:lastRenderedPageBreak/>
        <w:t>6. New Jersey Tutoring Corps</w:t>
      </w:r>
      <w:bookmarkEnd w:id="356"/>
    </w:p>
    <w:p w14:paraId="2BED0281" w14:textId="77777777" w:rsidR="008B41B5" w:rsidRPr="00CB0C0E" w:rsidRDefault="00000000" w:rsidP="00E4131B">
      <w:pPr>
        <w:rPr>
          <w:rFonts w:cs="Times New Roman"/>
          <w:lang w:val="es-ES"/>
        </w:rPr>
      </w:pPr>
      <w:r>
        <w:rPr>
          <w:rFonts w:eastAsia="Times New Roman" w:cs="Times New Roman"/>
          <w:lang w:val="pt-BR"/>
        </w:rPr>
        <w:t>A New Jersey Tutoring Corps solicitou informações adicionais sobre uma disposição de 2017 para os Centros de Aprendizagem Comunitários do Século XXI (Century Community Learning Centers, CCLCs), permitindo apoio acadêmico durante o dia escolar. Embora isso tenha sido anteriormente restrito a horários fora da escola, não está claro se o programa piloto para oportunidades de aprendizagem expandidas destinadas a testar este modelo produziu resultados ou se tornou uma parte permanente do programa. Considerando os benefícios do enriquecimento acadêmico na escola, como tutoria de alto impacto para abordar lacunas de aprendizagem relacionadas à pandemia, os comentários solicitaram esclarecimentos sobre os resultados do piloto e defendem a inclusão permanente do apoio na escola na estrutura de financiamento do CCLC do sec. XXI. Jessica Kelly, Ed.M., diretora executiva de programas, enviou esses comentários, e Katherine Bassett, diretora executiva, enviou comentários semelhantes separadamente.</w:t>
      </w:r>
    </w:p>
    <w:p w14:paraId="3E85CE07" w14:textId="77777777" w:rsidR="009A317D" w:rsidRPr="00CB0C0E" w:rsidRDefault="00000000" w:rsidP="00E4131B">
      <w:pPr>
        <w:pStyle w:val="4"/>
        <w:rPr>
          <w:lang w:val="es-ES"/>
        </w:rPr>
      </w:pPr>
      <w:bookmarkStart w:id="357" w:name="_Toc199403875"/>
      <w:r>
        <w:rPr>
          <w:rFonts w:ascii="Cambria" w:eastAsia="Cambria" w:hAnsi="Cambria" w:cs="Arial"/>
          <w:szCs w:val="24"/>
          <w:lang w:val="pt-BR"/>
        </w:rPr>
        <w:t>Resposta do NJDOE</w:t>
      </w:r>
      <w:bookmarkEnd w:id="357"/>
    </w:p>
    <w:p w14:paraId="2E3DC11B" w14:textId="77777777" w:rsidR="008B41B5" w:rsidRPr="00C04CDD" w:rsidRDefault="00000000" w:rsidP="00E4131B">
      <w:pPr>
        <w:rPr>
          <w:rFonts w:cs="Times New Roman"/>
          <w:lang w:val="pt-BR"/>
        </w:rPr>
      </w:pPr>
      <w:r>
        <w:rPr>
          <w:rFonts w:eastAsia="Times New Roman" w:cs="Times New Roman"/>
          <w:lang w:val="pt-BR"/>
        </w:rPr>
        <w:t xml:space="preserve">O NJDOE implementou o subsídio do Programa de Atividades de Aprendizagem Estendida (Extended Learning Program Activities, ELPA) por três anos, de 1º de setembro de 2017 a 31 de agosto de 2020. Os candidatos não eram elegíveis para solicitar fundos no programa ELPA e Centros de Aprendizagem Comunitários do século XXI (CCLC do sec. XXI). Um solicitante, East Orange School District, recebeu o subsídio durante esse período. O diretor do programa do NJDOE monitorou a administração do beneficiário quanto à implementação e eficácia do programa, logística do programa, comprometimento e capacidade organizacional e implementação fiscal. O beneficiário estava em conformidade com os componentes de monitoramento. O Aviso de Oportunidades de Subvenção que estabeleceu as </w:t>
      </w:r>
      <w:hyperlink r:id="rId58" w:history="1">
        <w:r w:rsidR="008B41B5">
          <w:rPr>
            <w:rFonts w:eastAsia="Times New Roman" w:cs="Times New Roman"/>
            <w:color w:val="0000FF"/>
            <w:u w:val="single"/>
            <w:lang w:val="pt-BR"/>
          </w:rPr>
          <w:t xml:space="preserve">Atividades do Programa de Aprendizagem Estendida </w:t>
        </w:r>
      </w:hyperlink>
      <w:r>
        <w:rPr>
          <w:rFonts w:eastAsia="Times New Roman" w:cs="Times New Roman"/>
          <w:lang w:val="pt-BR"/>
        </w:rPr>
        <w:t>pode ser encontrado no site do NJDOE. Conforme observado acima, esse programa foi realizado até 31 de agosto de 2020 e sofreu interrupções devido à pandemia da COVID-19. À medida que os recursos fornecidos através do Alívio de Emergência do Ensino Fundamental e Secundário (Elementary and Secondary School Emergency Relief) e do Plano de Resgate Americano (American Rescue Plan) aumentavam os recursos disponíveis para apoiar a tutoria de alto impacto, o programa piloto podia ser descontinuado para evitar ofertas redundantes do NJDOE. Atualmente, o NJDOE oferece o programa CCLC do sec. XXI para beneficiários a fim de servir os alunos antes, depois e durante o verão. Os beneficiários são incentivados a colaborar com a equipe do dia escolar para melhorar a aprendizagem dos alunos e fornecer oportunidades de enriquecimento para complementar o dia escolar. O programa de tutoria de alto impacto do NJDOE é estendido até 30 de junho de 2025. Nesse ponto, o NJDOE revisitará os recursos disponíveis e considerará expandir as ofertas fornecidas através do programa CCLC do sec. XXI.</w:t>
      </w:r>
    </w:p>
    <w:p w14:paraId="1225E521" w14:textId="77777777" w:rsidR="00053F53" w:rsidRDefault="00000000" w:rsidP="00856537">
      <w:pPr>
        <w:pStyle w:val="A30"/>
      </w:pPr>
      <w:bookmarkStart w:id="358" w:name="_Toc199403876"/>
      <w:r>
        <w:t>7. Associação de Bibliotecários Escolares de Nova Jersey (New Jersey Association of School Librarians, NJASL)</w:t>
      </w:r>
      <w:bookmarkEnd w:id="358"/>
    </w:p>
    <w:p w14:paraId="52D3DEEE" w14:textId="77777777" w:rsidR="008B41B5" w:rsidRPr="00CB0C0E" w:rsidRDefault="00000000" w:rsidP="00E4131B">
      <w:pPr>
        <w:rPr>
          <w:lang w:val="es-ES"/>
        </w:rPr>
      </w:pPr>
      <w:r>
        <w:rPr>
          <w:rFonts w:eastAsia="Times New Roman" w:cs="Arial"/>
          <w:lang w:val="pt-BR"/>
        </w:rPr>
        <w:t xml:space="preserve">A Associação de Bibliotecários Escolares de Nova Jersey (New Jersey Association of School Librarians, NJASL) enfatiza que programas sólidos de bibliotecas escolares estão ligados a melhores realizações dos alunos, particularmente beneficiando alunos vulneráveis e em risco. Sua contribuição é baseada em pesquisas que mostram que programas de biblioteca eficazes contribuem positivamente para resultados educacionais. As bibliotecas escolares são cruciais para atender às necessidades tecnológicas e acadêmicas dos alunos, particularmente sob o Título IV-A da ESSA. </w:t>
      </w:r>
      <w:r>
        <w:rPr>
          <w:rFonts w:eastAsia="Times New Roman" w:cs="Times New Roman"/>
          <w:lang w:val="pt-BR"/>
        </w:rPr>
        <w:t xml:space="preserve">O programa Abordagens inovadoras para a alfabetização (Innovative Approaches to Literacy) fornece treinamento e recursos direcionados à alfabetização para jovens alunos em áreas de alta pobreza </w:t>
      </w:r>
      <w:r>
        <w:rPr>
          <w:rFonts w:eastAsia="Times New Roman" w:cs="Arial"/>
          <w:lang w:val="pt-BR"/>
        </w:rPr>
        <w:t xml:space="preserve">e apoia o desenvolvimento da alfabetização por </w:t>
      </w:r>
      <w:r>
        <w:rPr>
          <w:rFonts w:eastAsia="Times New Roman" w:cs="Arial"/>
          <w:lang w:val="pt-BR"/>
        </w:rPr>
        <w:lastRenderedPageBreak/>
        <w:t>meio de Subsídios abrangentes para o desenvolvimento do estado de alfabetização. Além disso, as bibliotecas escolares oferecem acesso a eBooks, audiolivros, plataformas de aprendizagem on-line e recursos de tutoria para assistência em casa. Mary Moyer enviou esses comentários.</w:t>
      </w:r>
    </w:p>
    <w:p w14:paraId="251C364A" w14:textId="77777777" w:rsidR="0093038C" w:rsidRPr="00CB0C0E" w:rsidRDefault="00000000" w:rsidP="00E4131B">
      <w:pPr>
        <w:pStyle w:val="4"/>
        <w:rPr>
          <w:lang w:val="es-ES"/>
        </w:rPr>
      </w:pPr>
      <w:bookmarkStart w:id="359" w:name="_Toc199403877"/>
      <w:r>
        <w:rPr>
          <w:rFonts w:ascii="Cambria" w:eastAsia="Cambria" w:hAnsi="Cambria" w:cs="Arial"/>
          <w:szCs w:val="24"/>
          <w:lang w:val="pt-BR"/>
        </w:rPr>
        <w:t>Resposta do NJDOE</w:t>
      </w:r>
      <w:bookmarkEnd w:id="359"/>
    </w:p>
    <w:p w14:paraId="465B88F4" w14:textId="77777777" w:rsidR="008B41B5" w:rsidRPr="00CB0C0E" w:rsidRDefault="00000000" w:rsidP="00E4131B">
      <w:pPr>
        <w:rPr>
          <w:rFonts w:cs="Times New Roman"/>
          <w:lang w:val="es-ES"/>
        </w:rPr>
      </w:pPr>
      <w:r>
        <w:rPr>
          <w:rFonts w:eastAsia="Times New Roman" w:cs="Times New Roman"/>
          <w:lang w:val="pt-BR"/>
        </w:rPr>
        <w:t>O NJDOE valoriza o envolvimento da NJASL neste processo e o suporte para mudanças incrementais no Plano estadual da ESSA de 2024. O NJDOE concorda com a NJASL em relação ao papel crucial das bibliotecas escolares e incluiu as recomendações para adicionar acesso aos recursos da biblioteca escolar às listas de estratégias de implementação para serviços prestados a crianças migratórias.</w:t>
      </w:r>
    </w:p>
    <w:p w14:paraId="40A1CAD6" w14:textId="77777777" w:rsidR="0093038C" w:rsidRPr="0093038C" w:rsidRDefault="00000000" w:rsidP="00856537">
      <w:pPr>
        <w:pStyle w:val="A30"/>
      </w:pPr>
      <w:bookmarkStart w:id="360" w:name="_Toc199403878"/>
      <w:r>
        <w:t>8. People's Organization for Progress (POP) e Marcella Simadiris</w:t>
      </w:r>
      <w:bookmarkEnd w:id="360"/>
    </w:p>
    <w:p w14:paraId="19EF578D" w14:textId="77777777" w:rsidR="008B41B5" w:rsidRPr="00CB0C0E" w:rsidRDefault="00000000" w:rsidP="00E4131B">
      <w:pPr>
        <w:rPr>
          <w:rFonts w:eastAsia="Times New Roman" w:cs="Times New Roman"/>
          <w:lang w:val="es-ES"/>
        </w:rPr>
      </w:pPr>
      <w:r>
        <w:rPr>
          <w:rFonts w:eastAsia="Times New Roman" w:cs="Times New Roman"/>
          <w:lang w:val="pt-BR"/>
        </w:rPr>
        <w:t>A</w:t>
      </w:r>
      <w:r>
        <w:rPr>
          <w:rFonts w:eastAsia="Times New Roman" w:cs="Times New Roman"/>
          <w:b/>
          <w:bCs/>
          <w:lang w:val="pt-BR"/>
        </w:rPr>
        <w:t xml:space="preserve"> </w:t>
      </w:r>
      <w:r>
        <w:rPr>
          <w:rFonts w:eastAsia="Times New Roman" w:cs="Times New Roman"/>
          <w:lang w:val="pt-BR"/>
        </w:rPr>
        <w:t xml:space="preserve">People's Organization for Progress (POP) e Marcella Simadiris buscam um período de comentários públicos mais longo e inclusivo para as mudanças propostas pelo NJDOE no plano estadual da ESSA, citando preocupações sobre o envolvimento insuficiente das partes interessadas. A Sra. Simadiris levantou preocupações de que o processo de envolvimento das partes interessadas de 2016-2017 fosse mais extenso. Os comentaristas também perguntam se organizações de base estavam envolvidas no processo de consulta das partes interessadas e se todos os sistemas de responsabilidade do NJDOE devem ser alterados para alinhar o relato de desigualdades em todos os sistemas de responsabilidade, tornando as informações mais acessíveis. </w:t>
      </w:r>
      <w:r>
        <w:rPr>
          <w:rFonts w:eastAsia="Times New Roman" w:cs="Times New Roman"/>
          <w:color w:val="000000"/>
          <w:lang w:val="pt-BR"/>
        </w:rPr>
        <w:t>Eles pedem ao NJDOE para envolver as partes interessadas sobre o tipo e uso de dados incluídos no Sistema de Dados Longitudinal em Todo o Estado (Statewide Longitudinal Data System, SLDS).</w:t>
      </w:r>
      <w:r>
        <w:rPr>
          <w:rFonts w:eastAsia="Times New Roman" w:cs="Arial"/>
          <w:lang w:val="pt-BR"/>
        </w:rPr>
        <w:t xml:space="preserve"> </w:t>
      </w:r>
      <w:r>
        <w:rPr>
          <w:rFonts w:eastAsia="Times New Roman" w:cs="Times New Roman"/>
          <w:lang w:val="pt-BR"/>
        </w:rPr>
        <w:t xml:space="preserve">Uma mudança significativa na geração de relatórios de dados, concentrando-se em medir a justiça em vez de realizar, é essencial para fechar qualquer lacuna. Os comentários do POP foram enviados por Lawrence Hamm, presidente do conselho. </w:t>
      </w:r>
    </w:p>
    <w:p w14:paraId="0DFE6D9B" w14:textId="77777777" w:rsidR="00E1091E" w:rsidRPr="00CB0C0E" w:rsidRDefault="00000000" w:rsidP="00E4131B">
      <w:pPr>
        <w:pStyle w:val="4"/>
        <w:rPr>
          <w:lang w:val="es-ES"/>
        </w:rPr>
      </w:pPr>
      <w:bookmarkStart w:id="361" w:name="_Toc199403879"/>
      <w:r>
        <w:rPr>
          <w:rFonts w:ascii="Cambria" w:eastAsia="Cambria" w:hAnsi="Cambria" w:cs="Arial"/>
          <w:szCs w:val="24"/>
          <w:lang w:val="pt-BR"/>
        </w:rPr>
        <w:t>Resposta do NJDOE</w:t>
      </w:r>
      <w:bookmarkEnd w:id="361"/>
    </w:p>
    <w:p w14:paraId="74BF7B51" w14:textId="77777777" w:rsidR="008B41B5" w:rsidRPr="00CB0C0E" w:rsidRDefault="00000000" w:rsidP="00E4131B">
      <w:pPr>
        <w:rPr>
          <w:lang w:val="es-ES"/>
        </w:rPr>
      </w:pPr>
      <w:r>
        <w:rPr>
          <w:rFonts w:eastAsia="Times New Roman" w:cs="Times New Roman"/>
          <w:lang w:val="pt-BR"/>
        </w:rPr>
        <w:t xml:space="preserve">O NJDOE agradece aos comentaristas por sua contribuição e concorda que o envolvimento significativo das partes interessadas é fundamental. </w:t>
      </w:r>
      <w:r>
        <w:rPr>
          <w:rFonts w:eastAsia="Times New Roman" w:cs="Times New Roman"/>
          <w:color w:val="000000"/>
          <w:lang w:val="pt-BR"/>
        </w:rPr>
        <w:t xml:space="preserve">O NJDOE agradece o apoio e o envolvimento da Sra. Simadiris no processo de 2016-17. O processo de projetar um novo sistema de responsabilidade estadual desde o início foi muito mais demorado do que o processo de revisão de 2023-24, que, neste momento, está resultando em algumas mudanças direcionadas. Este processo de revisão foi uma extensão do processo original em 2016-2017. Por exemplo, alterações como o uso de uma taxa de formação de seis anos foram solicitadas em 2017, mas não puderam ser implementadas até esse processo de revisão. </w:t>
      </w:r>
    </w:p>
    <w:p w14:paraId="70EAD27A" w14:textId="77777777" w:rsidR="008B41B5" w:rsidRPr="00CB0C0E" w:rsidRDefault="00000000" w:rsidP="00E4131B">
      <w:pPr>
        <w:rPr>
          <w:lang w:val="es-ES"/>
        </w:rPr>
      </w:pPr>
      <w:r>
        <w:rPr>
          <w:rFonts w:eastAsia="Times New Roman" w:cs="Times New Roman"/>
          <w:lang w:val="pt-BR"/>
        </w:rPr>
        <w:t xml:space="preserve">O NJDOE discorda que o período de envolvimento das partes interessadas foi insuficiente para a rodada mais recente de mudanças. Ainda assim, o NJDOE adicionou esclarecimentos à página 2 e a esta seção (Anexo D) do Plano estadual da ESSA de 2024 para descrever mais claramente o processo de envolvimento das partes interessadas. A notificação pública de que a minuta do Plano da ESSA de 2024 estava disponível para comentários públicos foi distribuída adicionalmente por várias organizações que representam milhares de partes interessadas de Nova Jersey. Ele foi publicado pelo mesmo número de dias (30) que o NJDOE normalmente publica emendas ao seu Plano estadual da ESSA, incluindo o esboço do Plano estadual da ESSA de 2017. O NJDOE sinalizou sua intenção de revisar e revisar o Plano estadual da ESSA a partir do verão de 2023. Por meio do grupo de trabalho de partes interessadas e do envolvimento adicional descrito acima, o NJDOE coletou informações diversas e completas de muitas organizações, incluindo organizações comunitárias, associações profissionais, organizações que representam populações </w:t>
      </w:r>
      <w:r>
        <w:rPr>
          <w:rFonts w:eastAsia="Times New Roman" w:cs="Times New Roman"/>
          <w:lang w:val="pt-BR"/>
        </w:rPr>
        <w:lastRenderedPageBreak/>
        <w:t xml:space="preserve">específicas de alunos, organizações pai, provedores de pós-escola e muito mais. Os esclarecimentos acima e na página 2 incluem a listagem dos tipos de organizações e funções escolares e comunitárias que diversas partes interessadas têm. O NJDOE concorda que melhorar continuamente a qualidade dos dados, relatórios e acessibilidade aos dados para que as informações sejam claras e fáceis de entender para todos os membros da comunidade é uma prioridade educacional. O NJDOE também concorda que é importante incluir as partes interessadas ao desenvolver novos sistemas de dados, como o SLDS, que estão atualmente em desenvolvimento. Embora as médias dos grupos de alunos sejam ponderadas igualmente para as médias escolares inteiras dentro da classificação somativa da ESSA, a recomendação do comentarista para medir as lacunas de oportunidade mais claramente em todos os sistemas de responsabilidade de Nova Jersey deve continuar a ser discutida e explorada. Finalmente, o NJDOE continua a priorizar as melhorias do </w:t>
      </w:r>
      <w:hyperlink r:id="rId59" w:history="1">
        <w:r w:rsidR="008B41B5">
          <w:rPr>
            <w:rFonts w:eastAsia="Times New Roman" w:cs="Times New Roman"/>
            <w:color w:val="0000FF"/>
            <w:u w:val="single"/>
            <w:lang w:val="pt-BR"/>
          </w:rPr>
          <w:t>Relatório Anual de Desempenho da Escola de Nova Jersey</w:t>
        </w:r>
      </w:hyperlink>
      <w:r>
        <w:rPr>
          <w:rFonts w:eastAsia="Times New Roman" w:cs="Times New Roman"/>
          <w:lang w:val="pt-BR"/>
        </w:rPr>
        <w:t xml:space="preserve">. Perguntas ou sugestões, além das enviadas, podem ser enviadas para </w:t>
      </w:r>
      <w:hyperlink r:id="rId60" w:history="1">
        <w:r w:rsidR="008B41B5">
          <w:rPr>
            <w:rFonts w:eastAsia="Times New Roman" w:cs="Arial"/>
            <w:color w:val="0000FF"/>
            <w:u w:val="single"/>
            <w:lang w:val="pt-BR"/>
          </w:rPr>
          <w:t>reportcard@doe.nj.gov</w:t>
        </w:r>
      </w:hyperlink>
      <w:r>
        <w:rPr>
          <w:rFonts w:eastAsia="Times New Roman" w:cs="Arial"/>
          <w:lang w:val="pt-BR"/>
        </w:rPr>
        <w:t>.</w:t>
      </w:r>
    </w:p>
    <w:p w14:paraId="7B997C7E" w14:textId="77777777" w:rsidR="00E1091E" w:rsidRPr="00CB0C0E" w:rsidRDefault="00000000" w:rsidP="00856537">
      <w:pPr>
        <w:pStyle w:val="A30"/>
      </w:pPr>
      <w:bookmarkStart w:id="362" w:name="_Toc199403880"/>
      <w:r>
        <w:t>9. Marcella Simadiris</w:t>
      </w:r>
      <w:bookmarkEnd w:id="362"/>
    </w:p>
    <w:p w14:paraId="4A49D673" w14:textId="77777777" w:rsidR="008B41B5" w:rsidRPr="00CB0C0E" w:rsidRDefault="00000000" w:rsidP="00E4131B">
      <w:pPr>
        <w:rPr>
          <w:rFonts w:eastAsia="Times New Roman" w:cs="Times New Roman"/>
          <w:color w:val="313131"/>
          <w:lang w:val="es-ES"/>
        </w:rPr>
      </w:pPr>
      <w:r>
        <w:rPr>
          <w:rFonts w:eastAsia="Times New Roman" w:cs="Times New Roman"/>
          <w:color w:val="000000"/>
          <w:lang w:val="pt-BR"/>
        </w:rPr>
        <w:t xml:space="preserve">Além dos comentários acima, Marcella Simadiris, M.Ed. da Montclair, forneceu informações sobre seções adicionais do esboço do Plano estadual da ESSA de 2024. A Sra. Simadiris afirma que partes das seções do Título I, Parte A, são confusas e que precisa haver maiores conexões entre a implementação do programa de financiamento federal. Simadiris comentou que mais do que os dados de responsabilidade precisam ser considerados ao implementar a melhoria da escola e que precisa haver um foco maior no processo abrangente de avaliação de necessidades e na revisão da alocação de recursos, particularmente através de uma perspectiva de equidade. A Sra. Simadiris </w:t>
      </w:r>
      <w:r>
        <w:rPr>
          <w:rFonts w:eastAsia="Times New Roman" w:cs="Times New Roman"/>
          <w:color w:val="313131"/>
          <w:lang w:val="pt-BR"/>
        </w:rPr>
        <w:t xml:space="preserve">apresenta os benefícios de explorar a educação de carreira e tecnologia (Career and Technology Education, CTE) nos anos do ensino médio e fornece uma variedade de recursos e artigos que apoiam a importância de se concentrar nos alunos que foram historicamente marginalizados no passado. </w:t>
      </w:r>
    </w:p>
    <w:p w14:paraId="0DB4CA2E" w14:textId="77777777" w:rsidR="00E1091E" w:rsidRPr="00CB0C0E" w:rsidRDefault="00000000" w:rsidP="00E4131B">
      <w:pPr>
        <w:pStyle w:val="4"/>
        <w:rPr>
          <w:lang w:val="es-ES"/>
        </w:rPr>
      </w:pPr>
      <w:bookmarkStart w:id="363" w:name="_Toc199403881"/>
      <w:r>
        <w:rPr>
          <w:rFonts w:ascii="Cambria" w:eastAsia="Cambria" w:hAnsi="Cambria" w:cs="Arial"/>
          <w:szCs w:val="24"/>
          <w:lang w:val="pt-BR"/>
        </w:rPr>
        <w:t>Resposta do NJDOE</w:t>
      </w:r>
      <w:bookmarkEnd w:id="363"/>
    </w:p>
    <w:p w14:paraId="6BBCF65D" w14:textId="77777777" w:rsidR="008B41B5" w:rsidRPr="00CB0C0E" w:rsidRDefault="00000000" w:rsidP="00E4131B">
      <w:pPr>
        <w:rPr>
          <w:rFonts w:eastAsia="Times New Roman" w:cs="Times New Roman"/>
          <w:color w:val="000000" w:themeColor="text1"/>
          <w:lang w:val="es-ES"/>
        </w:rPr>
      </w:pPr>
      <w:r>
        <w:rPr>
          <w:rFonts w:eastAsia="Times New Roman" w:cs="Times New Roman"/>
          <w:color w:val="000000"/>
          <w:lang w:val="pt-BR"/>
        </w:rPr>
        <w:t>O NJDOE agradece o feedback da Sra. Simadiris. Como resultado desse feedback, o NJDOE atualizou as descrições dos diferentes níveis de suporte e a revisão da alocação de recursos na esperança de que seja mais claro para o leitor. O NJDOE afirma que o objetivo dos sistemas de prestação de contas e monitoramento é concentrar o estado e federal limitado às escolas e grupos de alunos que precisam de mais ajuda em um determinado momento. Assim que a equipe de orientação do NJDOE começa a trabalhar mais profundamente com escolas e LEAs que foram identificados como necessitando de mais ajuda, o NJDOE, em colaboração com as escolas e LEAs, se envolve em análises mais profundas, conversas, práticas baseadas em pesquisa, tomada de decisão focada em alunos e dados e modelos de coaching baseados em evidências. O NJDOE concorda que uma avaliação abrangente das necessidades é importante ao usar todos os fundos federais. A equipe do NJDOE está desenvolvendo kits de ferramentas para ajudar as LEAs a se envolverem em processos robustos de avaliação de necessidades, à medida que melhoram continuamente seus recursos. O NJDOE agradece à Sra. Simadiris por compartilhar recursos úteis e seu envolvimento na melhoria contínua do Plano estadual da ESSA.</w:t>
      </w:r>
    </w:p>
    <w:p w14:paraId="4B443BB4" w14:textId="77777777" w:rsidR="00E1091E" w:rsidRPr="00CB0C0E" w:rsidRDefault="00000000" w:rsidP="00856537">
      <w:pPr>
        <w:pStyle w:val="A30"/>
      </w:pPr>
      <w:bookmarkStart w:id="364" w:name="_Toc199403882"/>
      <w:r>
        <w:rPr>
          <w:color w:val="244061"/>
        </w:rPr>
        <w:t>10.</w:t>
      </w:r>
      <w:r>
        <w:t xml:space="preserve"> Rede de defesa de pais SPAN e vozes familiares de NJ (SPAN Parent Advocacy Network and Family Voices NJ)</w:t>
      </w:r>
      <w:bookmarkEnd w:id="364"/>
    </w:p>
    <w:p w14:paraId="13B35437" w14:textId="77777777" w:rsidR="008B41B5" w:rsidRPr="00CB0C0E" w:rsidRDefault="00000000" w:rsidP="00E4131B">
      <w:pPr>
        <w:rPr>
          <w:rFonts w:cs="Times New Roman"/>
          <w:lang w:val="es-ES"/>
        </w:rPr>
      </w:pPr>
      <w:r>
        <w:rPr>
          <w:rFonts w:eastAsia="Times New Roman" w:cs="Times New Roman"/>
          <w:lang w:val="pt-BR"/>
        </w:rPr>
        <w:t xml:space="preserve">A Rede de defesa de pais SPAN e vozes familiares de NJ aprecia a oportunidade de comentar sobre o Plano estadual proposto da ESSA em Nova Jersey. Como defensores de famílias de crianças com deficiências, </w:t>
      </w:r>
      <w:r>
        <w:rPr>
          <w:rFonts w:eastAsia="Times New Roman" w:cs="Times New Roman"/>
          <w:lang w:val="pt-BR"/>
        </w:rPr>
        <w:lastRenderedPageBreak/>
        <w:t>eles apoiam taxas de formação estendidas e de quatro anos, destacando que tempo adicional pode beneficiar os resultados de desenvolvimento e pós-formação dos alunos. Eles concordam com a importância de garantir que as populações de estudantes carentes recebam o apoio necessário para acelerar seu aprendizado sobre avaliações de tendências de crescimento, insistindo em um compromisso do NJDOE para ajudar todas as escolas a atingirem as metas de desempenho. Eles levantam preocupações sobre como o NJDOE “avaliará continuamente as tendências de crescimento para garantir que as metas sejam ambiciosas e alcançáveis”. Além disso, eles levantam preocupações sobre o possível uso indevido de dados de absenteísmo, alertando contra medidas punitivas que poderiam visar injustamente as famílias em vez de promover ambientes escolares de apoio. Eles veem o absenteísmo crônico como um sintoma de problemas mais amplos em vez de um problema independente. Carolyn Hayer, diretora executiva da SPAN, e Lauren Agoratus, M.A., coordenadora de NJ, Family Voices@SPAN, enviaram esses comentários.</w:t>
      </w:r>
    </w:p>
    <w:p w14:paraId="61B28411" w14:textId="77777777" w:rsidR="00E1091E" w:rsidRPr="00CB0C0E" w:rsidRDefault="00000000" w:rsidP="00E4131B">
      <w:pPr>
        <w:pStyle w:val="4"/>
        <w:rPr>
          <w:lang w:val="es-ES"/>
        </w:rPr>
      </w:pPr>
      <w:bookmarkStart w:id="365" w:name="_Toc199403883"/>
      <w:r>
        <w:rPr>
          <w:rFonts w:ascii="Cambria" w:eastAsia="Cambria" w:hAnsi="Cambria" w:cs="Arial"/>
          <w:szCs w:val="24"/>
          <w:lang w:val="pt-BR"/>
        </w:rPr>
        <w:t>Resposta do NJDOE</w:t>
      </w:r>
      <w:bookmarkEnd w:id="365"/>
    </w:p>
    <w:p w14:paraId="188161F6" w14:textId="77777777" w:rsidR="008B41B5" w:rsidRPr="00CB0C0E" w:rsidRDefault="00000000" w:rsidP="00E4131B">
      <w:pPr>
        <w:rPr>
          <w:rFonts w:cs="Times New Roman"/>
          <w:lang w:val="es-ES"/>
        </w:rPr>
      </w:pPr>
      <w:r>
        <w:rPr>
          <w:rFonts w:eastAsia="Times New Roman" w:cs="Times New Roman"/>
          <w:lang w:val="pt-BR"/>
        </w:rPr>
        <w:t xml:space="preserve">O NJDOE agradeceu o envolvimento da SPAN neste processo e a profunda consideração para as várias propostas de alteração. </w:t>
      </w:r>
      <w:r>
        <w:rPr>
          <w:rFonts w:eastAsia="Times New Roman" w:cs="Arial"/>
          <w:lang w:val="pt-BR"/>
        </w:rPr>
        <w:t xml:space="preserve">Observe que a ESSA exige que os estados estabeleçam “metas de longo prazo ambiciosas projetadas pelo estado”, incluindo medições do progresso provisório para atingir tais metas. Um princípio orientador do sistema de responsabilidade de Nova Jersey é tornar as metas e metas da ESSA alcançáveis para garantir que os dados sejam importantes. Pode ser usado para medir o crescimento no nível escolar. O NJDOE observa as preocupações da SPAN sobre o absenteísmo crônico e concorda que é importante continuar apoiando escolas e comunidades à medida que estabelecem abordagens e políticas multissistêmicas sobre a participação dos alunos. Conforme explicado no Comentário 1, o </w:t>
      </w:r>
      <w:r>
        <w:rPr>
          <w:rFonts w:eastAsia="Times New Roman" w:cs="Times New Roman"/>
          <w:lang w:val="pt-BR"/>
        </w:rPr>
        <w:t xml:space="preserve">NJDOE está comprometido em apoiar as escolas na implementação de intervenções proativas e orientadas por dados e promover fortes parcerias com famílias/responsáveis para melhorar a participação dos alunos e abordar o impacto entre aqueles em nossas populações de alunos mais vulneráveis. </w:t>
      </w:r>
      <w:r>
        <w:rPr>
          <w:rFonts w:eastAsia="Times New Roman" w:cs="Arial"/>
          <w:lang w:val="pt-BR"/>
        </w:rPr>
        <w:t>O</w:t>
      </w:r>
      <w:r>
        <w:rPr>
          <w:rFonts w:eastAsia="Times New Roman" w:cs="Times New Roman"/>
          <w:lang w:val="pt-BR"/>
        </w:rPr>
        <w:t xml:space="preserve"> NJDOE dedica-se a trabalhar colaborativamente para melhorar a experiência educacional e os resultados para todos os alunos, especialmente aqueles com deficiências, e melhorar as condições escolares.</w:t>
      </w:r>
    </w:p>
    <w:p w14:paraId="3697CF6B" w14:textId="77777777" w:rsidR="004F1B5F" w:rsidRPr="004F1B5F" w:rsidRDefault="00000000" w:rsidP="00856537">
      <w:pPr>
        <w:pStyle w:val="A30"/>
      </w:pPr>
      <w:bookmarkStart w:id="366" w:name="_Toc199403884"/>
      <w:r>
        <w:t>11. United Way of Northern New Jersey</w:t>
      </w:r>
      <w:bookmarkEnd w:id="366"/>
    </w:p>
    <w:p w14:paraId="78FD066C" w14:textId="2309A026" w:rsidR="008B41B5" w:rsidRPr="00CB0C0E" w:rsidRDefault="00000000" w:rsidP="00E4131B">
      <w:pPr>
        <w:rPr>
          <w:rFonts w:cs="Times New Roman"/>
          <w:lang w:val="es-ES"/>
        </w:rPr>
      </w:pPr>
      <w:r>
        <w:rPr>
          <w:rFonts w:eastAsia="Times New Roman" w:cs="Times New Roman"/>
          <w:lang w:val="pt-BR"/>
        </w:rPr>
        <w:t>A United Way of Northern New Jersey agradece ao NJDOE pela oportunidade de comentar o rascunho do Plano estadual da ESSA de 2024, enfatizando seu apoio à expansão da pré-escola de alta qualidade, de dia inteiro, para todas as crianças de três e quatro anos. Ela defende o acesso acessível como uma necessidade crítica para as famílias. A United Way incentiva o NJDOE a descrever etapas específicas para a pré-escola universal e explorar parcerias públicas/privadas para aproveitar os recursos comunitários. Ela elogia o foco contínuo do governador Murphy na expansão da pré-escola e expressam sua prontidão para colaborar e compartilhar percepções de seu piloto de cuidados infantis United In-Care. Michelle Roers, vice-presidente sênior de estratégias da LSW para a ALICE, enviou esses comentários.</w:t>
      </w:r>
    </w:p>
    <w:p w14:paraId="1DEC532D" w14:textId="77777777" w:rsidR="004F1B5F" w:rsidRPr="00CB0C0E" w:rsidRDefault="00000000" w:rsidP="00E4131B">
      <w:pPr>
        <w:pStyle w:val="4"/>
        <w:rPr>
          <w:lang w:val="es-ES"/>
        </w:rPr>
      </w:pPr>
      <w:bookmarkStart w:id="367" w:name="_Toc199403885"/>
      <w:r>
        <w:rPr>
          <w:rFonts w:ascii="Cambria" w:eastAsia="Cambria" w:hAnsi="Cambria" w:cs="Arial"/>
          <w:szCs w:val="24"/>
          <w:lang w:val="pt-BR"/>
        </w:rPr>
        <w:t>Resposta do NJDOE</w:t>
      </w:r>
      <w:bookmarkEnd w:id="367"/>
    </w:p>
    <w:p w14:paraId="0E3F953B" w14:textId="77777777" w:rsidR="4B6A5C98" w:rsidRPr="00CB0C0E" w:rsidRDefault="00000000" w:rsidP="00E4131B">
      <w:pPr>
        <w:rPr>
          <w:rFonts w:cs="Times New Roman"/>
          <w:lang w:val="es-ES"/>
        </w:rPr>
      </w:pPr>
      <w:r>
        <w:rPr>
          <w:rFonts w:eastAsia="Times New Roman" w:cs="Times New Roman"/>
          <w:lang w:val="pt-BR"/>
        </w:rPr>
        <w:t>A pré-escola de alta qualidade pode mudar as trajetórias educacionais de crianças pequenas e influenciar a realização e o bem-estar de sua vida. O NJDOE agradece à United Way of Northern New Jersey por seu apoio e colaboração enquanto continua a aprimorar o apoio aos programas existentes e aumentar as oportunidades de financiamento para expandir o programa para novos distritos, com apoio e parceria dos provedores licenciados de cuidados infantis e Head Start de Nova Jersey, e para aumentar o número de assentos disponíveis nos programas existentes.</w:t>
      </w:r>
    </w:p>
    <w:sectPr w:rsidR="4B6A5C98" w:rsidRPr="00CB0C0E" w:rsidSect="00E4131B">
      <w:pgSz w:w="12240" w:h="15840"/>
      <w:pgMar w:top="1368" w:right="1368" w:bottom="1368" w:left="13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51527" w14:textId="77777777" w:rsidR="00150925" w:rsidRDefault="00150925">
      <w:pPr>
        <w:spacing w:after="0" w:line="240" w:lineRule="auto"/>
      </w:pPr>
      <w:r>
        <w:separator/>
      </w:r>
    </w:p>
  </w:endnote>
  <w:endnote w:type="continuationSeparator" w:id="0">
    <w:p w14:paraId="77829644" w14:textId="77777777" w:rsidR="00150925" w:rsidRDefault="00150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rPr>
      <w:id w:val="-159391794"/>
      <w:docPartObj>
        <w:docPartGallery w:val="Page Numbers (Bottom of Page)"/>
        <w:docPartUnique/>
      </w:docPartObj>
    </w:sdtPr>
    <w:sdtEndPr>
      <w:rPr>
        <w:noProof/>
      </w:rPr>
    </w:sdtEndPr>
    <w:sdtContent>
      <w:p w14:paraId="66726DF5" w14:textId="77777777" w:rsidR="00A75034" w:rsidRPr="006415C4" w:rsidRDefault="00000000" w:rsidP="006415C4">
        <w:pPr>
          <w:pStyle w:val="ab"/>
          <w:jc w:val="right"/>
          <w:rPr>
            <w:rFonts w:cs="Times New Roman"/>
          </w:rPr>
        </w:pPr>
        <w:r w:rsidRPr="00B06D00">
          <w:rPr>
            <w:rFonts w:cs="Times New Roman"/>
          </w:rPr>
          <w:fldChar w:fldCharType="begin"/>
        </w:r>
        <w:r w:rsidRPr="00B06D00">
          <w:rPr>
            <w:rFonts w:cs="Times New Roman"/>
          </w:rPr>
          <w:instrText xml:space="preserve"> PAGE   \* MERGEFORMAT </w:instrText>
        </w:r>
        <w:r w:rsidRPr="00B06D00">
          <w:rPr>
            <w:rFonts w:cs="Times New Roman"/>
          </w:rPr>
          <w:fldChar w:fldCharType="separate"/>
        </w:r>
        <w:r w:rsidR="004707FF" w:rsidRPr="00B06D00">
          <w:rPr>
            <w:rFonts w:cs="Times New Roman"/>
            <w:noProof/>
          </w:rPr>
          <w:t>27</w:t>
        </w:r>
        <w:r w:rsidRPr="00B06D00">
          <w:rPr>
            <w:rFonts w:cs="Times New Roman"/>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835423"/>
      <w:docPartObj>
        <w:docPartGallery w:val="Page Numbers (Bottom of Page)"/>
        <w:docPartUnique/>
      </w:docPartObj>
    </w:sdtPr>
    <w:sdtEndPr>
      <w:rPr>
        <w:noProof/>
      </w:rPr>
    </w:sdtEndPr>
    <w:sdtContent>
      <w:p w14:paraId="1906A54B" w14:textId="77777777" w:rsidR="00A7404A" w:rsidRPr="00186D45" w:rsidRDefault="00000000" w:rsidP="00186D45">
        <w:pPr>
          <w:pStyle w:val="ab"/>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735455"/>
      <w:docPartObj>
        <w:docPartGallery w:val="Page Numbers (Bottom of Page)"/>
        <w:docPartUnique/>
      </w:docPartObj>
    </w:sdtPr>
    <w:sdtEndPr>
      <w:rPr>
        <w:noProof/>
      </w:rPr>
    </w:sdtEndPr>
    <w:sdtContent>
      <w:p w14:paraId="2AE7B7D8" w14:textId="77777777" w:rsidR="00A7404A" w:rsidRPr="00492371" w:rsidRDefault="00000000" w:rsidP="00A5231B">
        <w:pPr>
          <w:pStyle w:val="ab"/>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FEBAF" w14:textId="77777777" w:rsidR="00150925" w:rsidRDefault="00150925" w:rsidP="004C301E">
      <w:pPr>
        <w:spacing w:after="0" w:line="240" w:lineRule="auto"/>
      </w:pPr>
      <w:r>
        <w:separator/>
      </w:r>
    </w:p>
  </w:footnote>
  <w:footnote w:type="continuationSeparator" w:id="0">
    <w:p w14:paraId="7F85A517" w14:textId="77777777" w:rsidR="00150925" w:rsidRDefault="00150925" w:rsidP="004C301E">
      <w:pPr>
        <w:spacing w:after="0" w:line="240" w:lineRule="auto"/>
      </w:pPr>
      <w:r>
        <w:continuationSeparator/>
      </w:r>
    </w:p>
  </w:footnote>
  <w:footnote w:type="continuationNotice" w:id="1">
    <w:p w14:paraId="44FE2B2F" w14:textId="77777777" w:rsidR="00150925" w:rsidRDefault="00150925">
      <w:pPr>
        <w:spacing w:after="0" w:line="240" w:lineRule="auto"/>
      </w:pPr>
    </w:p>
  </w:footnote>
  <w:footnote w:id="2">
    <w:p w14:paraId="1495577E" w14:textId="77777777" w:rsidR="00323CD8" w:rsidRPr="00CB0C0E" w:rsidRDefault="00000000" w:rsidP="00323CD8">
      <w:pPr>
        <w:pStyle w:val="af2"/>
        <w:rPr>
          <w:rFonts w:cs="Times New Roman"/>
          <w:lang w:val="es-ES"/>
        </w:rPr>
      </w:pPr>
      <w:r w:rsidRPr="001B25FD">
        <w:rPr>
          <w:rStyle w:val="af4"/>
          <w:rFonts w:cs="Times New Roman"/>
        </w:rPr>
        <w:footnoteRef/>
      </w:r>
      <w:r>
        <w:rPr>
          <w:rFonts w:eastAsia="Times New Roman" w:cs="Times New Roman"/>
          <w:szCs w:val="22"/>
          <w:lang w:val="pt-BR"/>
        </w:rPr>
        <w:t xml:space="preserve"> Schanzenbach, D. W., Mumford, M., &amp; Bauer, L. (2016, outubro).</w:t>
      </w:r>
      <w:r>
        <w:rPr>
          <w:rFonts w:eastAsia="Times New Roman" w:cs="Times New Roman"/>
          <w:color w:val="0000FF"/>
          <w:szCs w:val="22"/>
          <w:lang w:val="pt-BR"/>
        </w:rPr>
        <w:t xml:space="preserve"> </w:t>
      </w:r>
      <w:hyperlink r:id="rId1">
        <w:r w:rsidR="00323CD8">
          <w:rPr>
            <w:rFonts w:eastAsia="Times New Roman" w:cs="Times New Roman"/>
            <w:color w:val="0000FF"/>
            <w:szCs w:val="22"/>
            <w:u w:val="single"/>
            <w:lang w:val="pt-BR"/>
          </w:rPr>
          <w:t>Lições para ampliar a responsabilidade escolar</w:t>
        </w:r>
      </w:hyperlink>
      <w:r>
        <w:rPr>
          <w:rFonts w:eastAsia="Times New Roman" w:cs="Times New Roman"/>
          <w:color w:val="0000FF"/>
          <w:szCs w:val="22"/>
          <w:lang w:val="pt-BR"/>
        </w:rPr>
        <w:t xml:space="preserve"> de </w:t>
      </w:r>
      <w:hyperlink r:id="rId2">
        <w:r w:rsidR="00323CD8">
          <w:rPr>
            <w:rFonts w:eastAsia="Times New Roman" w:cs="Times New Roman"/>
            <w:color w:val="0000FF"/>
            <w:szCs w:val="22"/>
            <w:u w:val="single"/>
            <w:lang w:val="pt-BR"/>
          </w:rPr>
          <w:t>acordo com a lei Every Student Succeeds Act</w:t>
        </w:r>
        <w:r w:rsidR="00323CD8">
          <w:rPr>
            <w:rFonts w:eastAsia="Times New Roman" w:cs="Times New Roman"/>
            <w:color w:val="0000FF"/>
            <w:szCs w:val="22"/>
            <w:lang w:val="pt-BR"/>
          </w:rPr>
          <w:t xml:space="preserve"> </w:t>
        </w:r>
      </w:hyperlink>
      <w:r>
        <w:rPr>
          <w:rFonts w:eastAsia="Times New Roman" w:cs="Times New Roman"/>
          <w:szCs w:val="22"/>
          <w:lang w:val="pt-BR"/>
        </w:rPr>
        <w:t>(Rep.). Recuperado em 19 de janeiro de 2017.</w:t>
      </w:r>
    </w:p>
  </w:footnote>
  <w:footnote w:id="3">
    <w:p w14:paraId="404A31C0" w14:textId="77777777" w:rsidR="00323CD8" w:rsidRPr="00CB0C0E" w:rsidRDefault="00000000" w:rsidP="00323CD8">
      <w:pPr>
        <w:pStyle w:val="af2"/>
        <w:rPr>
          <w:rFonts w:cs="Times New Roman"/>
          <w:lang w:val="es-ES"/>
        </w:rPr>
      </w:pPr>
      <w:r w:rsidRPr="001B25FD">
        <w:rPr>
          <w:rStyle w:val="af4"/>
          <w:rFonts w:cs="Times New Roman"/>
        </w:rPr>
        <w:footnoteRef/>
      </w:r>
      <w:r>
        <w:rPr>
          <w:rFonts w:eastAsia="Times New Roman" w:cs="Times New Roman"/>
          <w:szCs w:val="22"/>
          <w:lang w:val="pt-BR"/>
        </w:rPr>
        <w:t xml:space="preserve"> Ehrlich, S., Gwynne, J. A., Pareja, A. S. e Allensworth, E. M. </w:t>
      </w:r>
      <w:r>
        <w:fldChar w:fldCharType="begin"/>
      </w:r>
      <w:r w:rsidRPr="00C04CDD">
        <w:rPr>
          <w:lang w:val="es-ES"/>
        </w:rPr>
        <w:instrText>HYPERLINK "https://consortium.uchicago.edu/sites/default/files/publications/Pre-K%20Attendance%20Research%20Summary.pdf" \h</w:instrText>
      </w:r>
      <w:r>
        <w:fldChar w:fldCharType="separate"/>
      </w:r>
      <w:r w:rsidR="00323CD8">
        <w:rPr>
          <w:rFonts w:eastAsia="Times New Roman" w:cs="Times New Roman"/>
          <w:color w:val="0000FF"/>
          <w:szCs w:val="22"/>
          <w:u w:val="single"/>
          <w:lang w:val="pt-BR"/>
        </w:rPr>
        <w:t>Participação na pré-escola em escolas públicas de Chicago:</w:t>
      </w:r>
      <w:r>
        <w:rPr>
          <w:rFonts w:eastAsia="Times New Roman" w:cs="Times New Roman"/>
          <w:color w:val="0000FF"/>
          <w:szCs w:val="22"/>
          <w:u w:val="single"/>
          <w:lang w:val="pt-BR"/>
        </w:rPr>
        <w:fldChar w:fldCharType="end"/>
      </w:r>
      <w:r>
        <w:rPr>
          <w:rFonts w:eastAsia="Times New Roman" w:cs="Times New Roman"/>
          <w:color w:val="0000FF"/>
          <w:szCs w:val="22"/>
          <w:lang w:val="pt-BR"/>
        </w:rPr>
        <w:t xml:space="preserve"> </w:t>
      </w:r>
      <w:hyperlink r:id="rId3">
        <w:r w:rsidR="00323CD8">
          <w:rPr>
            <w:rFonts w:eastAsia="Times New Roman" w:cs="Times New Roman"/>
            <w:color w:val="0000FF"/>
            <w:szCs w:val="22"/>
            <w:u w:val="single"/>
            <w:lang w:val="pt-BR"/>
          </w:rPr>
          <w:t>relacionamentos com resultados de aprendizagem e motivos para ausências: Resumo da pesquisa</w:t>
        </w:r>
        <w:r w:rsidR="00323CD8">
          <w:rPr>
            <w:rFonts w:eastAsia="Times New Roman" w:cs="Times New Roman"/>
            <w:color w:val="0000FF"/>
            <w:szCs w:val="22"/>
            <w:lang w:val="pt-BR"/>
          </w:rPr>
          <w:t xml:space="preserve">. </w:t>
        </w:r>
      </w:hyperlink>
      <w:r>
        <w:rPr>
          <w:rFonts w:eastAsia="Times New Roman" w:cs="Times New Roman"/>
          <w:szCs w:val="22"/>
          <w:lang w:val="pt-BR"/>
        </w:rPr>
        <w:t>Consórcio da Universidade de Chicago na reforma escolar de Chicago, 2013.</w:t>
      </w:r>
    </w:p>
  </w:footnote>
  <w:footnote w:id="4">
    <w:p w14:paraId="79635655" w14:textId="77777777" w:rsidR="00323CD8" w:rsidRPr="00CB0C0E" w:rsidRDefault="00000000" w:rsidP="00323CD8">
      <w:pPr>
        <w:pStyle w:val="af2"/>
        <w:rPr>
          <w:lang w:val="es-ES"/>
        </w:rPr>
      </w:pPr>
      <w:r w:rsidRPr="001B25FD">
        <w:rPr>
          <w:rStyle w:val="af4"/>
          <w:rFonts w:cs="Times New Roman"/>
        </w:rPr>
        <w:footnoteRef/>
      </w:r>
      <w:r>
        <w:rPr>
          <w:rFonts w:eastAsia="Times New Roman" w:cs="Times New Roman"/>
          <w:szCs w:val="22"/>
          <w:lang w:val="pt-BR"/>
        </w:rPr>
        <w:t xml:space="preserve"> Centro de Política Educacional de Utah na Universidade de Utah. Ausência crônica em escolas públicas de Utah, 2012.</w:t>
      </w:r>
    </w:p>
  </w:footnote>
  <w:footnote w:id="5">
    <w:p w14:paraId="72F3F4EF" w14:textId="77777777" w:rsidR="00BD6D6A" w:rsidRPr="00CB0C0E" w:rsidRDefault="00000000">
      <w:pPr>
        <w:pStyle w:val="af2"/>
        <w:rPr>
          <w:rFonts w:cs="Times New Roman"/>
          <w:lang w:val="es-ES"/>
        </w:rPr>
      </w:pPr>
      <w:r w:rsidRPr="00AF5408">
        <w:rPr>
          <w:rStyle w:val="af4"/>
          <w:rFonts w:cs="Times New Roman"/>
        </w:rPr>
        <w:footnoteRef/>
      </w:r>
      <w:r>
        <w:rPr>
          <w:rFonts w:eastAsia="Times New Roman" w:cs="Times New Roman"/>
          <w:szCs w:val="22"/>
          <w:lang w:val="pt-BR"/>
        </w:rPr>
        <w:t xml:space="preserve"> </w:t>
      </w:r>
      <w:r>
        <w:rPr>
          <w:rFonts w:eastAsia="Times New Roman" w:cs="Times New Roman"/>
          <w:color w:val="111111"/>
          <w:szCs w:val="22"/>
          <w:shd w:val="clear" w:color="auto" w:fill="FFFFFF"/>
          <w:lang w:val="pt-BR"/>
        </w:rPr>
        <w:t xml:space="preserve">Lansford, J. E., Dodge, K. A., Pettit, G. S., &amp; Bates, J. E. (2016). </w:t>
      </w:r>
      <w:r>
        <w:fldChar w:fldCharType="begin"/>
      </w:r>
      <w:r w:rsidRPr="00C04CDD">
        <w:rPr>
          <w:lang w:val="es-ES"/>
        </w:rPr>
        <w:instrText>HYPERLINK "https://www.sciencedirect.com/science/article/abs/pii/S1054139X16000495"</w:instrText>
      </w:r>
      <w:r>
        <w:fldChar w:fldCharType="separate"/>
      </w:r>
      <w:r w:rsidR="00BD6D6A">
        <w:rPr>
          <w:rFonts w:eastAsia="Times New Roman" w:cs="Times New Roman"/>
          <w:color w:val="0000FF"/>
          <w:szCs w:val="22"/>
          <w:u w:val="single"/>
          <w:shd w:val="clear" w:color="auto" w:fill="FFFFFF"/>
          <w:lang w:val="pt-BR"/>
        </w:rPr>
        <w:t>Uma perspectiva de saúde pública sobre abandono escolar e resultados para adultos: Estudo prospectivo de fatores de risco e proteção de 5 a 27 anos de idade</w:t>
      </w:r>
      <w:r>
        <w:rPr>
          <w:rFonts w:eastAsia="Times New Roman" w:cs="Times New Roman"/>
          <w:color w:val="0000FF"/>
          <w:szCs w:val="22"/>
          <w:u w:val="single"/>
          <w:shd w:val="clear" w:color="auto" w:fill="FFFFFF"/>
          <w:lang w:val="pt-BR"/>
        </w:rPr>
        <w:fldChar w:fldCharType="end"/>
      </w:r>
      <w:r>
        <w:rPr>
          <w:rFonts w:eastAsia="Times New Roman" w:cs="Times New Roman"/>
          <w:color w:val="111111"/>
          <w:szCs w:val="22"/>
          <w:shd w:val="clear" w:color="auto" w:fill="FFFFFF"/>
          <w:lang w:val="pt-BR"/>
        </w:rPr>
        <w:t xml:space="preserve">. </w:t>
      </w:r>
      <w:r>
        <w:rPr>
          <w:rFonts w:eastAsia="Times New Roman" w:cs="Times New Roman"/>
          <w:i/>
          <w:iCs/>
          <w:color w:val="111111"/>
          <w:szCs w:val="22"/>
          <w:shd w:val="clear" w:color="auto" w:fill="FFFFFF"/>
          <w:lang w:val="pt-BR"/>
        </w:rPr>
        <w:t>Journal of Adolescent Health</w:t>
      </w:r>
      <w:r>
        <w:rPr>
          <w:rFonts w:eastAsia="Times New Roman" w:cs="Times New Roman"/>
          <w:color w:val="111111"/>
          <w:szCs w:val="22"/>
          <w:shd w:val="clear" w:color="auto" w:fill="FFFFFF"/>
          <w:lang w:val="pt-BR"/>
        </w:rPr>
        <w:t xml:space="preserve">, 58(6), 652–658. doi: </w:t>
      </w:r>
      <w:r>
        <w:rPr>
          <w:rFonts w:eastAsia="Times New Roman" w:cs="Arial"/>
          <w:szCs w:val="22"/>
          <w:lang w:val="pt-BR"/>
        </w:rPr>
        <w:t>10.1016/j.jadohealth.2016.01.014.</w:t>
      </w:r>
    </w:p>
  </w:footnote>
  <w:footnote w:id="6">
    <w:p w14:paraId="140870FC" w14:textId="77777777" w:rsidR="0060151B" w:rsidRPr="00CB0C0E" w:rsidRDefault="00000000">
      <w:pPr>
        <w:pStyle w:val="af2"/>
        <w:rPr>
          <w:lang w:val="es-ES"/>
        </w:rPr>
      </w:pPr>
      <w:r>
        <w:rPr>
          <w:rStyle w:val="af4"/>
        </w:rPr>
        <w:footnoteRef/>
      </w:r>
      <w:r>
        <w:rPr>
          <w:rFonts w:eastAsia="Times New Roman" w:cs="Arial"/>
          <w:szCs w:val="22"/>
          <w:lang w:val="pt-BR"/>
        </w:rPr>
        <w:t xml:space="preserve"> </w:t>
      </w:r>
      <w:r>
        <w:rPr>
          <w:rFonts w:eastAsia="Times New Roman" w:cs="Times New Roman"/>
          <w:szCs w:val="22"/>
          <w:lang w:val="pt-BR"/>
        </w:rPr>
        <w:t>A categoria “Sem melhoria” foi adicionada para realização acadêmica, taxa de formação e progresso em direção à proficiência no idioma inglês a partir do ano letivo de 2023-2024. Para a identificação do TSI para o ano letivo de 2023-2024, o nível de desempenho “Objetivo não atingido” será usado para identificar grupos de alunos que não cumpriram as metas para o ano letivo de 2022-2023.</w:t>
      </w:r>
    </w:p>
  </w:footnote>
  <w:footnote w:id="7">
    <w:p w14:paraId="22E32647" w14:textId="77777777" w:rsidR="00AB516A" w:rsidRPr="00CB0C0E" w:rsidRDefault="00000000" w:rsidP="003F0337">
      <w:pPr>
        <w:rPr>
          <w:rFonts w:eastAsia="Calibri" w:cs="Times New Roman"/>
          <w:color w:val="000000" w:themeColor="text1"/>
          <w:lang w:val="es-ES"/>
        </w:rPr>
      </w:pPr>
      <w:r>
        <w:rPr>
          <w:rStyle w:val="af4"/>
        </w:rPr>
        <w:footnoteRef/>
      </w:r>
      <w:r>
        <w:rPr>
          <w:rFonts w:eastAsia="Times New Roman" w:cs="Arial"/>
          <w:lang w:val="pt-BR"/>
        </w:rPr>
        <w:t xml:space="preserve"> </w:t>
      </w:r>
      <w:r>
        <w:rPr>
          <w:rFonts w:eastAsia="Times New Roman" w:cs="Times New Roman"/>
          <w:color w:val="000000"/>
          <w:sz w:val="20"/>
          <w:szCs w:val="20"/>
          <w:lang w:val="pt-BR"/>
        </w:rPr>
        <w:t>“</w:t>
      </w:r>
      <w:r>
        <w:fldChar w:fldCharType="begin"/>
      </w:r>
      <w:r w:rsidRPr="00C04CDD">
        <w:rPr>
          <w:lang w:val="es-ES"/>
        </w:rPr>
        <w:instrText>HYPERLINK "https://edpolicyinca.org/newsroom/tiered-approach-ensuring-students-are-present-engaged-and-supported-2020-21-school-year"</w:instrText>
      </w:r>
      <w:r>
        <w:fldChar w:fldCharType="separate"/>
      </w:r>
      <w:r w:rsidR="00AB516A">
        <w:rPr>
          <w:rFonts w:eastAsia="Times New Roman" w:cs="Times New Roman"/>
          <w:color w:val="0000FF"/>
          <w:u w:val="single"/>
          <w:lang w:val="pt-BR"/>
        </w:rPr>
        <w:t>Uma abordagem em níveis para garantir que os alunos estejam presentes, engajados e apoiados no ano escolar de 2020-21</w:t>
      </w:r>
      <w:r>
        <w:rPr>
          <w:rFonts w:eastAsia="Times New Roman" w:cs="Times New Roman"/>
          <w:color w:val="0000FF"/>
          <w:u w:val="single"/>
          <w:lang w:val="pt-BR"/>
        </w:rPr>
        <w:fldChar w:fldCharType="end"/>
      </w:r>
      <w:r>
        <w:rPr>
          <w:rFonts w:eastAsia="Times New Roman" w:cs="Times New Roman"/>
          <w:color w:val="000000"/>
          <w:lang w:val="pt-BR"/>
        </w:rPr>
        <w:t xml:space="preserve">” </w:t>
      </w:r>
      <w:r>
        <w:rPr>
          <w:rFonts w:eastAsia="Times New Roman" w:cs="Times New Roman"/>
          <w:lang w:val="pt-BR"/>
        </w:rPr>
        <w:t xml:space="preserve">Política Ed; </w:t>
      </w:r>
      <w:r>
        <w:rPr>
          <w:rFonts w:eastAsia="Times New Roman" w:cs="Times New Roman"/>
          <w:color w:val="272626"/>
          <w:lang w:val="pt-BR"/>
        </w:rPr>
        <w:t>“</w:t>
      </w:r>
      <w:hyperlink r:id="rId4" w:history="1">
        <w:r w:rsidR="00AB516A">
          <w:rPr>
            <w:rFonts w:eastAsia="Times New Roman" w:cs="Times New Roman"/>
            <w:color w:val="0000FF"/>
            <w:u w:val="single"/>
            <w:lang w:val="pt-BR"/>
          </w:rPr>
          <w:t>A importância de estar na escola: Um relatório sobre faltas nas escolas públicas da nação</w:t>
        </w:r>
      </w:hyperlink>
      <w:r>
        <w:rPr>
          <w:rFonts w:eastAsia="Times New Roman" w:cs="Times New Roman"/>
          <w:color w:val="000000"/>
          <w:lang w:val="pt-BR"/>
        </w:rPr>
        <w:t>”.</w:t>
      </w:r>
      <w:r>
        <w:rPr>
          <w:rFonts w:eastAsia="Times New Roman" w:cs="Times New Roman"/>
          <w:lang w:val="pt-BR"/>
        </w:rPr>
        <w:t xml:space="preserve">ed.gov ; </w:t>
      </w:r>
      <w:r>
        <w:rPr>
          <w:rFonts w:eastAsia="Times New Roman" w:cs="Times New Roman"/>
          <w:color w:val="272626"/>
          <w:lang w:val="pt-BR"/>
        </w:rPr>
        <w:t xml:space="preserve">Consórcio da Universidade de Chicago sobre pesquisa escolar em Chicago. (2014). </w:t>
      </w:r>
      <w:hyperlink r:id="rId5" w:history="1">
        <w:r w:rsidR="00AB516A">
          <w:rPr>
            <w:rFonts w:eastAsia="Times New Roman" w:cs="Times New Roman"/>
            <w:color w:val="0000FF"/>
            <w:u w:val="single"/>
            <w:lang w:val="pt-BR"/>
          </w:rPr>
          <w:t>Cinco principais descobertas para o ensino médio, desde olhar para o ensino médio e para a faculdade</w:t>
        </w:r>
      </w:hyperlink>
      <w:r>
        <w:rPr>
          <w:rFonts w:eastAsia="Times New Roman" w:cs="Times New Roman"/>
          <w:color w:val="272626"/>
          <w:lang w:val="pt-BR"/>
        </w:rPr>
        <w:t xml:space="preserve">” </w:t>
      </w:r>
      <w:r>
        <w:rPr>
          <w:rFonts w:eastAsia="Times New Roman" w:cs="Times New Roman"/>
          <w:lang w:val="pt-BR"/>
        </w:rPr>
        <w:t>Attendance Works.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DA68" w14:textId="77777777" w:rsidR="00E85EE6" w:rsidRDefault="00000000" w:rsidP="00E85EE6">
    <w:pPr>
      <w:pStyle w:val="a9"/>
      <w:jc w:val="right"/>
    </w:pPr>
    <w:r>
      <w:rPr>
        <w:rFonts w:eastAsia="Times New Roman" w:cs="Arial"/>
        <w:lang w:val="pt-BR"/>
      </w:rPr>
      <w:t>Aprovado em maio de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5081DDE"/>
    <w:lvl w:ilvl="0">
      <w:start w:val="1"/>
      <w:numFmt w:val="decimal"/>
      <w:pStyle w:val="a"/>
      <w:lvlText w:val="%1."/>
      <w:lvlJc w:val="left"/>
      <w:pPr>
        <w:tabs>
          <w:tab w:val="num" w:pos="360"/>
        </w:tabs>
        <w:ind w:left="360" w:hanging="360"/>
      </w:pPr>
    </w:lvl>
  </w:abstractNum>
  <w:abstractNum w:abstractNumId="1" w15:restartNumberingAfterBreak="0">
    <w:nsid w:val="004329A9"/>
    <w:multiLevelType w:val="hybridMultilevel"/>
    <w:tmpl w:val="DB94390A"/>
    <w:lvl w:ilvl="0" w:tplc="3DE87BEE">
      <w:start w:val="1"/>
      <w:numFmt w:val="bullet"/>
      <w:lvlText w:val=""/>
      <w:lvlJc w:val="left"/>
      <w:pPr>
        <w:ind w:left="720" w:hanging="360"/>
      </w:pPr>
      <w:rPr>
        <w:rFonts w:ascii="Symbol" w:hAnsi="Symbol" w:hint="default"/>
      </w:rPr>
    </w:lvl>
    <w:lvl w:ilvl="1" w:tplc="C3A8C126" w:tentative="1">
      <w:start w:val="1"/>
      <w:numFmt w:val="bullet"/>
      <w:lvlText w:val="o"/>
      <w:lvlJc w:val="left"/>
      <w:pPr>
        <w:ind w:left="1440" w:hanging="360"/>
      </w:pPr>
      <w:rPr>
        <w:rFonts w:ascii="Courier New" w:hAnsi="Courier New" w:cs="Courier New" w:hint="default"/>
      </w:rPr>
    </w:lvl>
    <w:lvl w:ilvl="2" w:tplc="52AE49F2" w:tentative="1">
      <w:start w:val="1"/>
      <w:numFmt w:val="bullet"/>
      <w:lvlText w:val=""/>
      <w:lvlJc w:val="left"/>
      <w:pPr>
        <w:ind w:left="2160" w:hanging="360"/>
      </w:pPr>
      <w:rPr>
        <w:rFonts w:ascii="Wingdings" w:hAnsi="Wingdings" w:hint="default"/>
      </w:rPr>
    </w:lvl>
    <w:lvl w:ilvl="3" w:tplc="5D062778" w:tentative="1">
      <w:start w:val="1"/>
      <w:numFmt w:val="bullet"/>
      <w:lvlText w:val=""/>
      <w:lvlJc w:val="left"/>
      <w:pPr>
        <w:ind w:left="2880" w:hanging="360"/>
      </w:pPr>
      <w:rPr>
        <w:rFonts w:ascii="Symbol" w:hAnsi="Symbol" w:hint="default"/>
      </w:rPr>
    </w:lvl>
    <w:lvl w:ilvl="4" w:tplc="B0DEBE22" w:tentative="1">
      <w:start w:val="1"/>
      <w:numFmt w:val="bullet"/>
      <w:lvlText w:val="o"/>
      <w:lvlJc w:val="left"/>
      <w:pPr>
        <w:ind w:left="3600" w:hanging="360"/>
      </w:pPr>
      <w:rPr>
        <w:rFonts w:ascii="Courier New" w:hAnsi="Courier New" w:cs="Courier New" w:hint="default"/>
      </w:rPr>
    </w:lvl>
    <w:lvl w:ilvl="5" w:tplc="C6A41746" w:tentative="1">
      <w:start w:val="1"/>
      <w:numFmt w:val="bullet"/>
      <w:lvlText w:val=""/>
      <w:lvlJc w:val="left"/>
      <w:pPr>
        <w:ind w:left="4320" w:hanging="360"/>
      </w:pPr>
      <w:rPr>
        <w:rFonts w:ascii="Wingdings" w:hAnsi="Wingdings" w:hint="default"/>
      </w:rPr>
    </w:lvl>
    <w:lvl w:ilvl="6" w:tplc="4374209E" w:tentative="1">
      <w:start w:val="1"/>
      <w:numFmt w:val="bullet"/>
      <w:lvlText w:val=""/>
      <w:lvlJc w:val="left"/>
      <w:pPr>
        <w:ind w:left="5040" w:hanging="360"/>
      </w:pPr>
      <w:rPr>
        <w:rFonts w:ascii="Symbol" w:hAnsi="Symbol" w:hint="default"/>
      </w:rPr>
    </w:lvl>
    <w:lvl w:ilvl="7" w:tplc="BBDECDD0" w:tentative="1">
      <w:start w:val="1"/>
      <w:numFmt w:val="bullet"/>
      <w:lvlText w:val="o"/>
      <w:lvlJc w:val="left"/>
      <w:pPr>
        <w:ind w:left="5760" w:hanging="360"/>
      </w:pPr>
      <w:rPr>
        <w:rFonts w:ascii="Courier New" w:hAnsi="Courier New" w:cs="Courier New" w:hint="default"/>
      </w:rPr>
    </w:lvl>
    <w:lvl w:ilvl="8" w:tplc="353CC3B6" w:tentative="1">
      <w:start w:val="1"/>
      <w:numFmt w:val="bullet"/>
      <w:lvlText w:val=""/>
      <w:lvlJc w:val="left"/>
      <w:pPr>
        <w:ind w:left="6480" w:hanging="360"/>
      </w:pPr>
      <w:rPr>
        <w:rFonts w:ascii="Wingdings" w:hAnsi="Wingdings" w:hint="default"/>
      </w:rPr>
    </w:lvl>
  </w:abstractNum>
  <w:abstractNum w:abstractNumId="2" w15:restartNumberingAfterBreak="0">
    <w:nsid w:val="00D80A7B"/>
    <w:multiLevelType w:val="hybridMultilevel"/>
    <w:tmpl w:val="9C224ABC"/>
    <w:lvl w:ilvl="0" w:tplc="D3029A64">
      <w:start w:val="1"/>
      <w:numFmt w:val="bullet"/>
      <w:lvlText w:val=""/>
      <w:lvlJc w:val="left"/>
      <w:pPr>
        <w:ind w:left="720" w:hanging="360"/>
      </w:pPr>
      <w:rPr>
        <w:rFonts w:ascii="Symbol" w:hAnsi="Symbol" w:hint="default"/>
      </w:rPr>
    </w:lvl>
    <w:lvl w:ilvl="1" w:tplc="84EA9EFA" w:tentative="1">
      <w:start w:val="1"/>
      <w:numFmt w:val="bullet"/>
      <w:lvlText w:val="o"/>
      <w:lvlJc w:val="left"/>
      <w:pPr>
        <w:ind w:left="1440" w:hanging="360"/>
      </w:pPr>
      <w:rPr>
        <w:rFonts w:ascii="Courier New" w:hAnsi="Courier New" w:cs="Courier New" w:hint="default"/>
      </w:rPr>
    </w:lvl>
    <w:lvl w:ilvl="2" w:tplc="5BBA8A76" w:tentative="1">
      <w:start w:val="1"/>
      <w:numFmt w:val="bullet"/>
      <w:lvlText w:val=""/>
      <w:lvlJc w:val="left"/>
      <w:pPr>
        <w:ind w:left="2160" w:hanging="360"/>
      </w:pPr>
      <w:rPr>
        <w:rFonts w:ascii="Wingdings" w:hAnsi="Wingdings" w:hint="default"/>
      </w:rPr>
    </w:lvl>
    <w:lvl w:ilvl="3" w:tplc="5F025D3C" w:tentative="1">
      <w:start w:val="1"/>
      <w:numFmt w:val="bullet"/>
      <w:lvlText w:val=""/>
      <w:lvlJc w:val="left"/>
      <w:pPr>
        <w:ind w:left="2880" w:hanging="360"/>
      </w:pPr>
      <w:rPr>
        <w:rFonts w:ascii="Symbol" w:hAnsi="Symbol" w:hint="default"/>
      </w:rPr>
    </w:lvl>
    <w:lvl w:ilvl="4" w:tplc="259648DE" w:tentative="1">
      <w:start w:val="1"/>
      <w:numFmt w:val="bullet"/>
      <w:lvlText w:val="o"/>
      <w:lvlJc w:val="left"/>
      <w:pPr>
        <w:ind w:left="3600" w:hanging="360"/>
      </w:pPr>
      <w:rPr>
        <w:rFonts w:ascii="Courier New" w:hAnsi="Courier New" w:cs="Courier New" w:hint="default"/>
      </w:rPr>
    </w:lvl>
    <w:lvl w:ilvl="5" w:tplc="D25EE022" w:tentative="1">
      <w:start w:val="1"/>
      <w:numFmt w:val="bullet"/>
      <w:lvlText w:val=""/>
      <w:lvlJc w:val="left"/>
      <w:pPr>
        <w:ind w:left="4320" w:hanging="360"/>
      </w:pPr>
      <w:rPr>
        <w:rFonts w:ascii="Wingdings" w:hAnsi="Wingdings" w:hint="default"/>
      </w:rPr>
    </w:lvl>
    <w:lvl w:ilvl="6" w:tplc="2BD4D7D8" w:tentative="1">
      <w:start w:val="1"/>
      <w:numFmt w:val="bullet"/>
      <w:lvlText w:val=""/>
      <w:lvlJc w:val="left"/>
      <w:pPr>
        <w:ind w:left="5040" w:hanging="360"/>
      </w:pPr>
      <w:rPr>
        <w:rFonts w:ascii="Symbol" w:hAnsi="Symbol" w:hint="default"/>
      </w:rPr>
    </w:lvl>
    <w:lvl w:ilvl="7" w:tplc="3BAEFB34" w:tentative="1">
      <w:start w:val="1"/>
      <w:numFmt w:val="bullet"/>
      <w:lvlText w:val="o"/>
      <w:lvlJc w:val="left"/>
      <w:pPr>
        <w:ind w:left="5760" w:hanging="360"/>
      </w:pPr>
      <w:rPr>
        <w:rFonts w:ascii="Courier New" w:hAnsi="Courier New" w:cs="Courier New" w:hint="default"/>
      </w:rPr>
    </w:lvl>
    <w:lvl w:ilvl="8" w:tplc="8EA03A3A" w:tentative="1">
      <w:start w:val="1"/>
      <w:numFmt w:val="bullet"/>
      <w:lvlText w:val=""/>
      <w:lvlJc w:val="left"/>
      <w:pPr>
        <w:ind w:left="6480" w:hanging="360"/>
      </w:pPr>
      <w:rPr>
        <w:rFonts w:ascii="Wingdings" w:hAnsi="Wingdings" w:hint="default"/>
      </w:rPr>
    </w:lvl>
  </w:abstractNum>
  <w:abstractNum w:abstractNumId="3" w15:restartNumberingAfterBreak="0">
    <w:nsid w:val="01B22BD3"/>
    <w:multiLevelType w:val="hybridMultilevel"/>
    <w:tmpl w:val="D7CC5180"/>
    <w:lvl w:ilvl="0" w:tplc="475AC41A">
      <w:start w:val="1"/>
      <w:numFmt w:val="bullet"/>
      <w:lvlText w:val=""/>
      <w:lvlJc w:val="left"/>
      <w:pPr>
        <w:ind w:left="720" w:hanging="360"/>
      </w:pPr>
      <w:rPr>
        <w:rFonts w:ascii="Symbol" w:hAnsi="Symbol" w:hint="default"/>
      </w:rPr>
    </w:lvl>
    <w:lvl w:ilvl="1" w:tplc="B2666EC0" w:tentative="1">
      <w:start w:val="1"/>
      <w:numFmt w:val="bullet"/>
      <w:lvlText w:val="o"/>
      <w:lvlJc w:val="left"/>
      <w:pPr>
        <w:ind w:left="1440" w:hanging="360"/>
      </w:pPr>
      <w:rPr>
        <w:rFonts w:ascii="Courier New" w:hAnsi="Courier New" w:cs="Courier New" w:hint="default"/>
      </w:rPr>
    </w:lvl>
    <w:lvl w:ilvl="2" w:tplc="5D863C02" w:tentative="1">
      <w:start w:val="1"/>
      <w:numFmt w:val="bullet"/>
      <w:lvlText w:val=""/>
      <w:lvlJc w:val="left"/>
      <w:pPr>
        <w:ind w:left="2160" w:hanging="360"/>
      </w:pPr>
      <w:rPr>
        <w:rFonts w:ascii="Wingdings" w:hAnsi="Wingdings" w:hint="default"/>
      </w:rPr>
    </w:lvl>
    <w:lvl w:ilvl="3" w:tplc="A83C71BA" w:tentative="1">
      <w:start w:val="1"/>
      <w:numFmt w:val="bullet"/>
      <w:lvlText w:val=""/>
      <w:lvlJc w:val="left"/>
      <w:pPr>
        <w:ind w:left="2880" w:hanging="360"/>
      </w:pPr>
      <w:rPr>
        <w:rFonts w:ascii="Symbol" w:hAnsi="Symbol" w:hint="default"/>
      </w:rPr>
    </w:lvl>
    <w:lvl w:ilvl="4" w:tplc="6E5AE65E" w:tentative="1">
      <w:start w:val="1"/>
      <w:numFmt w:val="bullet"/>
      <w:lvlText w:val="o"/>
      <w:lvlJc w:val="left"/>
      <w:pPr>
        <w:ind w:left="3600" w:hanging="360"/>
      </w:pPr>
      <w:rPr>
        <w:rFonts w:ascii="Courier New" w:hAnsi="Courier New" w:cs="Courier New" w:hint="default"/>
      </w:rPr>
    </w:lvl>
    <w:lvl w:ilvl="5" w:tplc="3168D8CA" w:tentative="1">
      <w:start w:val="1"/>
      <w:numFmt w:val="bullet"/>
      <w:lvlText w:val=""/>
      <w:lvlJc w:val="left"/>
      <w:pPr>
        <w:ind w:left="4320" w:hanging="360"/>
      </w:pPr>
      <w:rPr>
        <w:rFonts w:ascii="Wingdings" w:hAnsi="Wingdings" w:hint="default"/>
      </w:rPr>
    </w:lvl>
    <w:lvl w:ilvl="6" w:tplc="5AC6EC10" w:tentative="1">
      <w:start w:val="1"/>
      <w:numFmt w:val="bullet"/>
      <w:lvlText w:val=""/>
      <w:lvlJc w:val="left"/>
      <w:pPr>
        <w:ind w:left="5040" w:hanging="360"/>
      </w:pPr>
      <w:rPr>
        <w:rFonts w:ascii="Symbol" w:hAnsi="Symbol" w:hint="default"/>
      </w:rPr>
    </w:lvl>
    <w:lvl w:ilvl="7" w:tplc="C150D49E" w:tentative="1">
      <w:start w:val="1"/>
      <w:numFmt w:val="bullet"/>
      <w:lvlText w:val="o"/>
      <w:lvlJc w:val="left"/>
      <w:pPr>
        <w:ind w:left="5760" w:hanging="360"/>
      </w:pPr>
      <w:rPr>
        <w:rFonts w:ascii="Courier New" w:hAnsi="Courier New" w:cs="Courier New" w:hint="default"/>
      </w:rPr>
    </w:lvl>
    <w:lvl w:ilvl="8" w:tplc="292ABB98" w:tentative="1">
      <w:start w:val="1"/>
      <w:numFmt w:val="bullet"/>
      <w:lvlText w:val=""/>
      <w:lvlJc w:val="left"/>
      <w:pPr>
        <w:ind w:left="6480" w:hanging="360"/>
      </w:pPr>
      <w:rPr>
        <w:rFonts w:ascii="Wingdings" w:hAnsi="Wingdings" w:hint="default"/>
      </w:rPr>
    </w:lvl>
  </w:abstractNum>
  <w:abstractNum w:abstractNumId="4" w15:restartNumberingAfterBreak="0">
    <w:nsid w:val="020B0D7F"/>
    <w:multiLevelType w:val="hybridMultilevel"/>
    <w:tmpl w:val="C90EBCA6"/>
    <w:lvl w:ilvl="0" w:tplc="F3D62096">
      <w:start w:val="1"/>
      <w:numFmt w:val="bullet"/>
      <w:lvlText w:val=""/>
      <w:lvlJc w:val="left"/>
      <w:pPr>
        <w:ind w:left="720" w:hanging="360"/>
      </w:pPr>
      <w:rPr>
        <w:rFonts w:ascii="Symbol" w:hAnsi="Symbol" w:hint="default"/>
      </w:rPr>
    </w:lvl>
    <w:lvl w:ilvl="1" w:tplc="70C0EAE4" w:tentative="1">
      <w:start w:val="1"/>
      <w:numFmt w:val="bullet"/>
      <w:lvlText w:val="o"/>
      <w:lvlJc w:val="left"/>
      <w:pPr>
        <w:ind w:left="1440" w:hanging="360"/>
      </w:pPr>
      <w:rPr>
        <w:rFonts w:ascii="Courier New" w:hAnsi="Courier New" w:cs="Courier New" w:hint="default"/>
      </w:rPr>
    </w:lvl>
    <w:lvl w:ilvl="2" w:tplc="D5D849B2" w:tentative="1">
      <w:start w:val="1"/>
      <w:numFmt w:val="bullet"/>
      <w:lvlText w:val=""/>
      <w:lvlJc w:val="left"/>
      <w:pPr>
        <w:ind w:left="2160" w:hanging="360"/>
      </w:pPr>
      <w:rPr>
        <w:rFonts w:ascii="Wingdings" w:hAnsi="Wingdings" w:hint="default"/>
      </w:rPr>
    </w:lvl>
    <w:lvl w:ilvl="3" w:tplc="7F348920" w:tentative="1">
      <w:start w:val="1"/>
      <w:numFmt w:val="bullet"/>
      <w:lvlText w:val=""/>
      <w:lvlJc w:val="left"/>
      <w:pPr>
        <w:ind w:left="2880" w:hanging="360"/>
      </w:pPr>
      <w:rPr>
        <w:rFonts w:ascii="Symbol" w:hAnsi="Symbol" w:hint="default"/>
      </w:rPr>
    </w:lvl>
    <w:lvl w:ilvl="4" w:tplc="F4E47364" w:tentative="1">
      <w:start w:val="1"/>
      <w:numFmt w:val="bullet"/>
      <w:lvlText w:val="o"/>
      <w:lvlJc w:val="left"/>
      <w:pPr>
        <w:ind w:left="3600" w:hanging="360"/>
      </w:pPr>
      <w:rPr>
        <w:rFonts w:ascii="Courier New" w:hAnsi="Courier New" w:cs="Courier New" w:hint="default"/>
      </w:rPr>
    </w:lvl>
    <w:lvl w:ilvl="5" w:tplc="57249890" w:tentative="1">
      <w:start w:val="1"/>
      <w:numFmt w:val="bullet"/>
      <w:lvlText w:val=""/>
      <w:lvlJc w:val="left"/>
      <w:pPr>
        <w:ind w:left="4320" w:hanging="360"/>
      </w:pPr>
      <w:rPr>
        <w:rFonts w:ascii="Wingdings" w:hAnsi="Wingdings" w:hint="default"/>
      </w:rPr>
    </w:lvl>
    <w:lvl w:ilvl="6" w:tplc="7C121E3A" w:tentative="1">
      <w:start w:val="1"/>
      <w:numFmt w:val="bullet"/>
      <w:lvlText w:val=""/>
      <w:lvlJc w:val="left"/>
      <w:pPr>
        <w:ind w:left="5040" w:hanging="360"/>
      </w:pPr>
      <w:rPr>
        <w:rFonts w:ascii="Symbol" w:hAnsi="Symbol" w:hint="default"/>
      </w:rPr>
    </w:lvl>
    <w:lvl w:ilvl="7" w:tplc="050AC0E0" w:tentative="1">
      <w:start w:val="1"/>
      <w:numFmt w:val="bullet"/>
      <w:lvlText w:val="o"/>
      <w:lvlJc w:val="left"/>
      <w:pPr>
        <w:ind w:left="5760" w:hanging="360"/>
      </w:pPr>
      <w:rPr>
        <w:rFonts w:ascii="Courier New" w:hAnsi="Courier New" w:cs="Courier New" w:hint="default"/>
      </w:rPr>
    </w:lvl>
    <w:lvl w:ilvl="8" w:tplc="0AD85736" w:tentative="1">
      <w:start w:val="1"/>
      <w:numFmt w:val="bullet"/>
      <w:lvlText w:val=""/>
      <w:lvlJc w:val="left"/>
      <w:pPr>
        <w:ind w:left="6480" w:hanging="360"/>
      </w:pPr>
      <w:rPr>
        <w:rFonts w:ascii="Wingdings" w:hAnsi="Wingdings" w:hint="default"/>
      </w:rPr>
    </w:lvl>
  </w:abstractNum>
  <w:abstractNum w:abstractNumId="5" w15:restartNumberingAfterBreak="0">
    <w:nsid w:val="02B63050"/>
    <w:multiLevelType w:val="hybridMultilevel"/>
    <w:tmpl w:val="5F0CA44E"/>
    <w:lvl w:ilvl="0" w:tplc="89B0C1B0">
      <w:start w:val="1"/>
      <w:numFmt w:val="bullet"/>
      <w:lvlText w:val=""/>
      <w:lvlJc w:val="left"/>
      <w:pPr>
        <w:ind w:left="720" w:hanging="360"/>
      </w:pPr>
      <w:rPr>
        <w:rFonts w:ascii="Symbol" w:hAnsi="Symbol" w:hint="default"/>
      </w:rPr>
    </w:lvl>
    <w:lvl w:ilvl="1" w:tplc="0808588E" w:tentative="1">
      <w:start w:val="1"/>
      <w:numFmt w:val="bullet"/>
      <w:lvlText w:val="o"/>
      <w:lvlJc w:val="left"/>
      <w:pPr>
        <w:ind w:left="1440" w:hanging="360"/>
      </w:pPr>
      <w:rPr>
        <w:rFonts w:ascii="Courier New" w:hAnsi="Courier New" w:cs="Courier New" w:hint="default"/>
      </w:rPr>
    </w:lvl>
    <w:lvl w:ilvl="2" w:tplc="D2E4075A" w:tentative="1">
      <w:start w:val="1"/>
      <w:numFmt w:val="bullet"/>
      <w:lvlText w:val=""/>
      <w:lvlJc w:val="left"/>
      <w:pPr>
        <w:ind w:left="2160" w:hanging="360"/>
      </w:pPr>
      <w:rPr>
        <w:rFonts w:ascii="Wingdings" w:hAnsi="Wingdings" w:hint="default"/>
      </w:rPr>
    </w:lvl>
    <w:lvl w:ilvl="3" w:tplc="407413F6" w:tentative="1">
      <w:start w:val="1"/>
      <w:numFmt w:val="bullet"/>
      <w:lvlText w:val=""/>
      <w:lvlJc w:val="left"/>
      <w:pPr>
        <w:ind w:left="2880" w:hanging="360"/>
      </w:pPr>
      <w:rPr>
        <w:rFonts w:ascii="Symbol" w:hAnsi="Symbol" w:hint="default"/>
      </w:rPr>
    </w:lvl>
    <w:lvl w:ilvl="4" w:tplc="384C4ED2" w:tentative="1">
      <w:start w:val="1"/>
      <w:numFmt w:val="bullet"/>
      <w:lvlText w:val="o"/>
      <w:lvlJc w:val="left"/>
      <w:pPr>
        <w:ind w:left="3600" w:hanging="360"/>
      </w:pPr>
      <w:rPr>
        <w:rFonts w:ascii="Courier New" w:hAnsi="Courier New" w:cs="Courier New" w:hint="default"/>
      </w:rPr>
    </w:lvl>
    <w:lvl w:ilvl="5" w:tplc="5A084336" w:tentative="1">
      <w:start w:val="1"/>
      <w:numFmt w:val="bullet"/>
      <w:lvlText w:val=""/>
      <w:lvlJc w:val="left"/>
      <w:pPr>
        <w:ind w:left="4320" w:hanging="360"/>
      </w:pPr>
      <w:rPr>
        <w:rFonts w:ascii="Wingdings" w:hAnsi="Wingdings" w:hint="default"/>
      </w:rPr>
    </w:lvl>
    <w:lvl w:ilvl="6" w:tplc="02862D80" w:tentative="1">
      <w:start w:val="1"/>
      <w:numFmt w:val="bullet"/>
      <w:lvlText w:val=""/>
      <w:lvlJc w:val="left"/>
      <w:pPr>
        <w:ind w:left="5040" w:hanging="360"/>
      </w:pPr>
      <w:rPr>
        <w:rFonts w:ascii="Symbol" w:hAnsi="Symbol" w:hint="default"/>
      </w:rPr>
    </w:lvl>
    <w:lvl w:ilvl="7" w:tplc="D4508124" w:tentative="1">
      <w:start w:val="1"/>
      <w:numFmt w:val="bullet"/>
      <w:lvlText w:val="o"/>
      <w:lvlJc w:val="left"/>
      <w:pPr>
        <w:ind w:left="5760" w:hanging="360"/>
      </w:pPr>
      <w:rPr>
        <w:rFonts w:ascii="Courier New" w:hAnsi="Courier New" w:cs="Courier New" w:hint="default"/>
      </w:rPr>
    </w:lvl>
    <w:lvl w:ilvl="8" w:tplc="BD3C4A04" w:tentative="1">
      <w:start w:val="1"/>
      <w:numFmt w:val="bullet"/>
      <w:lvlText w:val=""/>
      <w:lvlJc w:val="left"/>
      <w:pPr>
        <w:ind w:left="6480" w:hanging="360"/>
      </w:pPr>
      <w:rPr>
        <w:rFonts w:ascii="Wingdings" w:hAnsi="Wingdings" w:hint="default"/>
      </w:rPr>
    </w:lvl>
  </w:abstractNum>
  <w:abstractNum w:abstractNumId="6" w15:restartNumberingAfterBreak="0">
    <w:nsid w:val="031D1785"/>
    <w:multiLevelType w:val="hybridMultilevel"/>
    <w:tmpl w:val="0D00FD08"/>
    <w:lvl w:ilvl="0" w:tplc="654C78F0">
      <w:start w:val="1"/>
      <w:numFmt w:val="bullet"/>
      <w:lvlText w:val=""/>
      <w:lvlJc w:val="left"/>
      <w:pPr>
        <w:ind w:left="720" w:hanging="360"/>
      </w:pPr>
      <w:rPr>
        <w:rFonts w:ascii="Symbol" w:hAnsi="Symbol" w:hint="default"/>
      </w:rPr>
    </w:lvl>
    <w:lvl w:ilvl="1" w:tplc="096E131E" w:tentative="1">
      <w:start w:val="1"/>
      <w:numFmt w:val="bullet"/>
      <w:lvlText w:val="o"/>
      <w:lvlJc w:val="left"/>
      <w:pPr>
        <w:ind w:left="1440" w:hanging="360"/>
      </w:pPr>
      <w:rPr>
        <w:rFonts w:ascii="Courier New" w:hAnsi="Courier New" w:cs="Courier New" w:hint="default"/>
      </w:rPr>
    </w:lvl>
    <w:lvl w:ilvl="2" w:tplc="C07AB0F6" w:tentative="1">
      <w:start w:val="1"/>
      <w:numFmt w:val="bullet"/>
      <w:lvlText w:val=""/>
      <w:lvlJc w:val="left"/>
      <w:pPr>
        <w:ind w:left="2160" w:hanging="360"/>
      </w:pPr>
      <w:rPr>
        <w:rFonts w:ascii="Wingdings" w:hAnsi="Wingdings" w:hint="default"/>
      </w:rPr>
    </w:lvl>
    <w:lvl w:ilvl="3" w:tplc="3C2A9B9C" w:tentative="1">
      <w:start w:val="1"/>
      <w:numFmt w:val="bullet"/>
      <w:lvlText w:val=""/>
      <w:lvlJc w:val="left"/>
      <w:pPr>
        <w:ind w:left="2880" w:hanging="360"/>
      </w:pPr>
      <w:rPr>
        <w:rFonts w:ascii="Symbol" w:hAnsi="Symbol" w:hint="default"/>
      </w:rPr>
    </w:lvl>
    <w:lvl w:ilvl="4" w:tplc="53706536" w:tentative="1">
      <w:start w:val="1"/>
      <w:numFmt w:val="bullet"/>
      <w:lvlText w:val="o"/>
      <w:lvlJc w:val="left"/>
      <w:pPr>
        <w:ind w:left="3600" w:hanging="360"/>
      </w:pPr>
      <w:rPr>
        <w:rFonts w:ascii="Courier New" w:hAnsi="Courier New" w:cs="Courier New" w:hint="default"/>
      </w:rPr>
    </w:lvl>
    <w:lvl w:ilvl="5" w:tplc="5FC0BC3A" w:tentative="1">
      <w:start w:val="1"/>
      <w:numFmt w:val="bullet"/>
      <w:lvlText w:val=""/>
      <w:lvlJc w:val="left"/>
      <w:pPr>
        <w:ind w:left="4320" w:hanging="360"/>
      </w:pPr>
      <w:rPr>
        <w:rFonts w:ascii="Wingdings" w:hAnsi="Wingdings" w:hint="default"/>
      </w:rPr>
    </w:lvl>
    <w:lvl w:ilvl="6" w:tplc="7F86CBD4" w:tentative="1">
      <w:start w:val="1"/>
      <w:numFmt w:val="bullet"/>
      <w:lvlText w:val=""/>
      <w:lvlJc w:val="left"/>
      <w:pPr>
        <w:ind w:left="5040" w:hanging="360"/>
      </w:pPr>
      <w:rPr>
        <w:rFonts w:ascii="Symbol" w:hAnsi="Symbol" w:hint="default"/>
      </w:rPr>
    </w:lvl>
    <w:lvl w:ilvl="7" w:tplc="3E1050F2" w:tentative="1">
      <w:start w:val="1"/>
      <w:numFmt w:val="bullet"/>
      <w:lvlText w:val="o"/>
      <w:lvlJc w:val="left"/>
      <w:pPr>
        <w:ind w:left="5760" w:hanging="360"/>
      </w:pPr>
      <w:rPr>
        <w:rFonts w:ascii="Courier New" w:hAnsi="Courier New" w:cs="Courier New" w:hint="default"/>
      </w:rPr>
    </w:lvl>
    <w:lvl w:ilvl="8" w:tplc="A47A4DEE" w:tentative="1">
      <w:start w:val="1"/>
      <w:numFmt w:val="bullet"/>
      <w:lvlText w:val=""/>
      <w:lvlJc w:val="left"/>
      <w:pPr>
        <w:ind w:left="6480" w:hanging="360"/>
      </w:pPr>
      <w:rPr>
        <w:rFonts w:ascii="Wingdings" w:hAnsi="Wingdings" w:hint="default"/>
      </w:rPr>
    </w:lvl>
  </w:abstractNum>
  <w:abstractNum w:abstractNumId="7" w15:restartNumberingAfterBreak="0">
    <w:nsid w:val="035A38A9"/>
    <w:multiLevelType w:val="hybridMultilevel"/>
    <w:tmpl w:val="CBA62BB4"/>
    <w:lvl w:ilvl="0" w:tplc="3FF6251E">
      <w:numFmt w:val="bullet"/>
      <w:lvlText w:val="•"/>
      <w:lvlJc w:val="left"/>
      <w:pPr>
        <w:ind w:left="720" w:hanging="360"/>
      </w:pPr>
      <w:rPr>
        <w:rFonts w:hint="default"/>
      </w:rPr>
    </w:lvl>
    <w:lvl w:ilvl="1" w:tplc="4906FA06" w:tentative="1">
      <w:start w:val="1"/>
      <w:numFmt w:val="bullet"/>
      <w:lvlText w:val="o"/>
      <w:lvlJc w:val="left"/>
      <w:pPr>
        <w:ind w:left="1440" w:hanging="360"/>
      </w:pPr>
      <w:rPr>
        <w:rFonts w:ascii="Courier New" w:hAnsi="Courier New" w:cs="Courier New" w:hint="default"/>
      </w:rPr>
    </w:lvl>
    <w:lvl w:ilvl="2" w:tplc="7C8C7CC2" w:tentative="1">
      <w:start w:val="1"/>
      <w:numFmt w:val="bullet"/>
      <w:lvlText w:val=""/>
      <w:lvlJc w:val="left"/>
      <w:pPr>
        <w:ind w:left="2160" w:hanging="360"/>
      </w:pPr>
      <w:rPr>
        <w:rFonts w:ascii="Wingdings" w:hAnsi="Wingdings" w:hint="default"/>
      </w:rPr>
    </w:lvl>
    <w:lvl w:ilvl="3" w:tplc="C22A551A" w:tentative="1">
      <w:start w:val="1"/>
      <w:numFmt w:val="bullet"/>
      <w:lvlText w:val=""/>
      <w:lvlJc w:val="left"/>
      <w:pPr>
        <w:ind w:left="2880" w:hanging="360"/>
      </w:pPr>
      <w:rPr>
        <w:rFonts w:ascii="Symbol" w:hAnsi="Symbol" w:hint="default"/>
      </w:rPr>
    </w:lvl>
    <w:lvl w:ilvl="4" w:tplc="5746B34E" w:tentative="1">
      <w:start w:val="1"/>
      <w:numFmt w:val="bullet"/>
      <w:lvlText w:val="o"/>
      <w:lvlJc w:val="left"/>
      <w:pPr>
        <w:ind w:left="3600" w:hanging="360"/>
      </w:pPr>
      <w:rPr>
        <w:rFonts w:ascii="Courier New" w:hAnsi="Courier New" w:cs="Courier New" w:hint="default"/>
      </w:rPr>
    </w:lvl>
    <w:lvl w:ilvl="5" w:tplc="4C5A9116" w:tentative="1">
      <w:start w:val="1"/>
      <w:numFmt w:val="bullet"/>
      <w:lvlText w:val=""/>
      <w:lvlJc w:val="left"/>
      <w:pPr>
        <w:ind w:left="4320" w:hanging="360"/>
      </w:pPr>
      <w:rPr>
        <w:rFonts w:ascii="Wingdings" w:hAnsi="Wingdings" w:hint="default"/>
      </w:rPr>
    </w:lvl>
    <w:lvl w:ilvl="6" w:tplc="5F62C53C" w:tentative="1">
      <w:start w:val="1"/>
      <w:numFmt w:val="bullet"/>
      <w:lvlText w:val=""/>
      <w:lvlJc w:val="left"/>
      <w:pPr>
        <w:ind w:left="5040" w:hanging="360"/>
      </w:pPr>
      <w:rPr>
        <w:rFonts w:ascii="Symbol" w:hAnsi="Symbol" w:hint="default"/>
      </w:rPr>
    </w:lvl>
    <w:lvl w:ilvl="7" w:tplc="3A369BF6" w:tentative="1">
      <w:start w:val="1"/>
      <w:numFmt w:val="bullet"/>
      <w:lvlText w:val="o"/>
      <w:lvlJc w:val="left"/>
      <w:pPr>
        <w:ind w:left="5760" w:hanging="360"/>
      </w:pPr>
      <w:rPr>
        <w:rFonts w:ascii="Courier New" w:hAnsi="Courier New" w:cs="Courier New" w:hint="default"/>
      </w:rPr>
    </w:lvl>
    <w:lvl w:ilvl="8" w:tplc="A2AC37E8" w:tentative="1">
      <w:start w:val="1"/>
      <w:numFmt w:val="bullet"/>
      <w:lvlText w:val=""/>
      <w:lvlJc w:val="left"/>
      <w:pPr>
        <w:ind w:left="6480" w:hanging="360"/>
      </w:pPr>
      <w:rPr>
        <w:rFonts w:ascii="Wingdings" w:hAnsi="Wingdings" w:hint="default"/>
      </w:rPr>
    </w:lvl>
  </w:abstractNum>
  <w:abstractNum w:abstractNumId="8" w15:restartNumberingAfterBreak="0">
    <w:nsid w:val="04684C32"/>
    <w:multiLevelType w:val="multilevel"/>
    <w:tmpl w:val="BE58A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4FDC340"/>
    <w:multiLevelType w:val="hybridMultilevel"/>
    <w:tmpl w:val="0A18905A"/>
    <w:lvl w:ilvl="0" w:tplc="456E0980">
      <w:start w:val="1"/>
      <w:numFmt w:val="decimal"/>
      <w:lvlText w:val="%1."/>
      <w:lvlJc w:val="left"/>
      <w:pPr>
        <w:ind w:left="720" w:hanging="360"/>
      </w:pPr>
      <w:rPr>
        <w:rFonts w:hint="default"/>
      </w:rPr>
    </w:lvl>
    <w:lvl w:ilvl="1" w:tplc="F288D99A">
      <w:start w:val="1"/>
      <w:numFmt w:val="lowerLetter"/>
      <w:lvlText w:val="%2."/>
      <w:lvlJc w:val="left"/>
      <w:pPr>
        <w:ind w:left="1440" w:hanging="360"/>
      </w:pPr>
    </w:lvl>
    <w:lvl w:ilvl="2" w:tplc="AC2E12B6">
      <w:start w:val="1"/>
      <w:numFmt w:val="lowerRoman"/>
      <w:lvlText w:val="%3."/>
      <w:lvlJc w:val="right"/>
      <w:pPr>
        <w:ind w:left="2160" w:hanging="180"/>
      </w:pPr>
    </w:lvl>
    <w:lvl w:ilvl="3" w:tplc="3D80A558">
      <w:start w:val="1"/>
      <w:numFmt w:val="decimal"/>
      <w:lvlText w:val="%4."/>
      <w:lvlJc w:val="left"/>
      <w:pPr>
        <w:ind w:left="2880" w:hanging="360"/>
      </w:pPr>
    </w:lvl>
    <w:lvl w:ilvl="4" w:tplc="A874D86A">
      <w:start w:val="1"/>
      <w:numFmt w:val="lowerLetter"/>
      <w:lvlText w:val="%5."/>
      <w:lvlJc w:val="left"/>
      <w:pPr>
        <w:ind w:left="3600" w:hanging="360"/>
      </w:pPr>
    </w:lvl>
    <w:lvl w:ilvl="5" w:tplc="0610CED8">
      <w:start w:val="1"/>
      <w:numFmt w:val="lowerRoman"/>
      <w:lvlText w:val="%6."/>
      <w:lvlJc w:val="right"/>
      <w:pPr>
        <w:ind w:left="4320" w:hanging="180"/>
      </w:pPr>
    </w:lvl>
    <w:lvl w:ilvl="6" w:tplc="DEB440B0">
      <w:start w:val="1"/>
      <w:numFmt w:val="decimal"/>
      <w:lvlText w:val="%7."/>
      <w:lvlJc w:val="left"/>
      <w:pPr>
        <w:ind w:left="5040" w:hanging="360"/>
      </w:pPr>
    </w:lvl>
    <w:lvl w:ilvl="7" w:tplc="FC14214A">
      <w:start w:val="1"/>
      <w:numFmt w:val="lowerLetter"/>
      <w:lvlText w:val="%8."/>
      <w:lvlJc w:val="left"/>
      <w:pPr>
        <w:ind w:left="5760" w:hanging="360"/>
      </w:pPr>
    </w:lvl>
    <w:lvl w:ilvl="8" w:tplc="76C4E358">
      <w:start w:val="1"/>
      <w:numFmt w:val="lowerRoman"/>
      <w:lvlText w:val="%9."/>
      <w:lvlJc w:val="right"/>
      <w:pPr>
        <w:ind w:left="6480" w:hanging="180"/>
      </w:pPr>
    </w:lvl>
  </w:abstractNum>
  <w:abstractNum w:abstractNumId="10" w15:restartNumberingAfterBreak="0">
    <w:nsid w:val="054B4589"/>
    <w:multiLevelType w:val="hybridMultilevel"/>
    <w:tmpl w:val="720CA0BA"/>
    <w:lvl w:ilvl="0" w:tplc="515EE478">
      <w:start w:val="1"/>
      <w:numFmt w:val="lowerRoman"/>
      <w:lvlText w:val="%1."/>
      <w:lvlJc w:val="right"/>
      <w:pPr>
        <w:ind w:left="1080" w:hanging="360"/>
      </w:pPr>
    </w:lvl>
    <w:lvl w:ilvl="1" w:tplc="6E3C8E04" w:tentative="1">
      <w:start w:val="1"/>
      <w:numFmt w:val="lowerLetter"/>
      <w:lvlText w:val="%2."/>
      <w:lvlJc w:val="left"/>
      <w:pPr>
        <w:ind w:left="1800" w:hanging="360"/>
      </w:pPr>
    </w:lvl>
    <w:lvl w:ilvl="2" w:tplc="9AAADE50" w:tentative="1">
      <w:start w:val="1"/>
      <w:numFmt w:val="lowerRoman"/>
      <w:lvlText w:val="%3."/>
      <w:lvlJc w:val="right"/>
      <w:pPr>
        <w:ind w:left="2520" w:hanging="180"/>
      </w:pPr>
    </w:lvl>
    <w:lvl w:ilvl="3" w:tplc="50F8B676" w:tentative="1">
      <w:start w:val="1"/>
      <w:numFmt w:val="decimal"/>
      <w:lvlText w:val="%4."/>
      <w:lvlJc w:val="left"/>
      <w:pPr>
        <w:ind w:left="3240" w:hanging="360"/>
      </w:pPr>
    </w:lvl>
    <w:lvl w:ilvl="4" w:tplc="6450EC82" w:tentative="1">
      <w:start w:val="1"/>
      <w:numFmt w:val="lowerLetter"/>
      <w:lvlText w:val="%5."/>
      <w:lvlJc w:val="left"/>
      <w:pPr>
        <w:ind w:left="3960" w:hanging="360"/>
      </w:pPr>
    </w:lvl>
    <w:lvl w:ilvl="5" w:tplc="E4B81512" w:tentative="1">
      <w:start w:val="1"/>
      <w:numFmt w:val="lowerRoman"/>
      <w:lvlText w:val="%6."/>
      <w:lvlJc w:val="right"/>
      <w:pPr>
        <w:ind w:left="4680" w:hanging="180"/>
      </w:pPr>
    </w:lvl>
    <w:lvl w:ilvl="6" w:tplc="933C0D74" w:tentative="1">
      <w:start w:val="1"/>
      <w:numFmt w:val="decimal"/>
      <w:lvlText w:val="%7."/>
      <w:lvlJc w:val="left"/>
      <w:pPr>
        <w:ind w:left="5400" w:hanging="360"/>
      </w:pPr>
    </w:lvl>
    <w:lvl w:ilvl="7" w:tplc="9F003048" w:tentative="1">
      <w:start w:val="1"/>
      <w:numFmt w:val="lowerLetter"/>
      <w:lvlText w:val="%8."/>
      <w:lvlJc w:val="left"/>
      <w:pPr>
        <w:ind w:left="6120" w:hanging="360"/>
      </w:pPr>
    </w:lvl>
    <w:lvl w:ilvl="8" w:tplc="ACDE63A4" w:tentative="1">
      <w:start w:val="1"/>
      <w:numFmt w:val="lowerRoman"/>
      <w:lvlText w:val="%9."/>
      <w:lvlJc w:val="right"/>
      <w:pPr>
        <w:ind w:left="6840" w:hanging="180"/>
      </w:pPr>
    </w:lvl>
  </w:abstractNum>
  <w:abstractNum w:abstractNumId="11" w15:restartNumberingAfterBreak="0">
    <w:nsid w:val="06CC7997"/>
    <w:multiLevelType w:val="hybridMultilevel"/>
    <w:tmpl w:val="DDDAA2A8"/>
    <w:lvl w:ilvl="0" w:tplc="DEB6713A">
      <w:start w:val="1"/>
      <w:numFmt w:val="bullet"/>
      <w:lvlText w:val=""/>
      <w:lvlJc w:val="left"/>
      <w:pPr>
        <w:ind w:left="720" w:hanging="360"/>
      </w:pPr>
      <w:rPr>
        <w:rFonts w:ascii="Symbol" w:hAnsi="Symbol" w:hint="default"/>
      </w:rPr>
    </w:lvl>
    <w:lvl w:ilvl="1" w:tplc="4CB8BBAC">
      <w:start w:val="1"/>
      <w:numFmt w:val="bullet"/>
      <w:lvlText w:val="o"/>
      <w:lvlJc w:val="left"/>
      <w:pPr>
        <w:ind w:left="1440" w:hanging="360"/>
      </w:pPr>
      <w:rPr>
        <w:rFonts w:ascii="Courier New" w:hAnsi="Courier New" w:cs="Courier New" w:hint="default"/>
      </w:rPr>
    </w:lvl>
    <w:lvl w:ilvl="2" w:tplc="4A04F1F4" w:tentative="1">
      <w:start w:val="1"/>
      <w:numFmt w:val="bullet"/>
      <w:lvlText w:val=""/>
      <w:lvlJc w:val="left"/>
      <w:pPr>
        <w:ind w:left="2160" w:hanging="360"/>
      </w:pPr>
      <w:rPr>
        <w:rFonts w:ascii="Wingdings" w:hAnsi="Wingdings" w:hint="default"/>
      </w:rPr>
    </w:lvl>
    <w:lvl w:ilvl="3" w:tplc="DE7E2FF6" w:tentative="1">
      <w:start w:val="1"/>
      <w:numFmt w:val="bullet"/>
      <w:lvlText w:val=""/>
      <w:lvlJc w:val="left"/>
      <w:pPr>
        <w:ind w:left="2880" w:hanging="360"/>
      </w:pPr>
      <w:rPr>
        <w:rFonts w:ascii="Symbol" w:hAnsi="Symbol" w:hint="default"/>
      </w:rPr>
    </w:lvl>
    <w:lvl w:ilvl="4" w:tplc="693244DA" w:tentative="1">
      <w:start w:val="1"/>
      <w:numFmt w:val="bullet"/>
      <w:lvlText w:val="o"/>
      <w:lvlJc w:val="left"/>
      <w:pPr>
        <w:ind w:left="3600" w:hanging="360"/>
      </w:pPr>
      <w:rPr>
        <w:rFonts w:ascii="Courier New" w:hAnsi="Courier New" w:cs="Courier New" w:hint="default"/>
      </w:rPr>
    </w:lvl>
    <w:lvl w:ilvl="5" w:tplc="DF72B904" w:tentative="1">
      <w:start w:val="1"/>
      <w:numFmt w:val="bullet"/>
      <w:lvlText w:val=""/>
      <w:lvlJc w:val="left"/>
      <w:pPr>
        <w:ind w:left="4320" w:hanging="360"/>
      </w:pPr>
      <w:rPr>
        <w:rFonts w:ascii="Wingdings" w:hAnsi="Wingdings" w:hint="default"/>
      </w:rPr>
    </w:lvl>
    <w:lvl w:ilvl="6" w:tplc="54C212CE" w:tentative="1">
      <w:start w:val="1"/>
      <w:numFmt w:val="bullet"/>
      <w:lvlText w:val=""/>
      <w:lvlJc w:val="left"/>
      <w:pPr>
        <w:ind w:left="5040" w:hanging="360"/>
      </w:pPr>
      <w:rPr>
        <w:rFonts w:ascii="Symbol" w:hAnsi="Symbol" w:hint="default"/>
      </w:rPr>
    </w:lvl>
    <w:lvl w:ilvl="7" w:tplc="E8F822FA" w:tentative="1">
      <w:start w:val="1"/>
      <w:numFmt w:val="bullet"/>
      <w:lvlText w:val="o"/>
      <w:lvlJc w:val="left"/>
      <w:pPr>
        <w:ind w:left="5760" w:hanging="360"/>
      </w:pPr>
      <w:rPr>
        <w:rFonts w:ascii="Courier New" w:hAnsi="Courier New" w:cs="Courier New" w:hint="default"/>
      </w:rPr>
    </w:lvl>
    <w:lvl w:ilvl="8" w:tplc="58F290B8" w:tentative="1">
      <w:start w:val="1"/>
      <w:numFmt w:val="bullet"/>
      <w:lvlText w:val=""/>
      <w:lvlJc w:val="left"/>
      <w:pPr>
        <w:ind w:left="6480" w:hanging="360"/>
      </w:pPr>
      <w:rPr>
        <w:rFonts w:ascii="Wingdings" w:hAnsi="Wingdings" w:hint="default"/>
      </w:rPr>
    </w:lvl>
  </w:abstractNum>
  <w:abstractNum w:abstractNumId="12" w15:restartNumberingAfterBreak="0">
    <w:nsid w:val="0701614B"/>
    <w:multiLevelType w:val="multilevel"/>
    <w:tmpl w:val="6D76B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76E4A60"/>
    <w:multiLevelType w:val="hybridMultilevel"/>
    <w:tmpl w:val="2A6CDC86"/>
    <w:lvl w:ilvl="0" w:tplc="09485986">
      <w:start w:val="1"/>
      <w:numFmt w:val="lowerRoman"/>
      <w:lvlText w:val="%1."/>
      <w:lvlJc w:val="right"/>
      <w:pPr>
        <w:ind w:left="1080" w:hanging="360"/>
      </w:pPr>
    </w:lvl>
    <w:lvl w:ilvl="1" w:tplc="CC7E8A30" w:tentative="1">
      <w:start w:val="1"/>
      <w:numFmt w:val="lowerLetter"/>
      <w:lvlText w:val="%2."/>
      <w:lvlJc w:val="left"/>
      <w:pPr>
        <w:ind w:left="1800" w:hanging="360"/>
      </w:pPr>
    </w:lvl>
    <w:lvl w:ilvl="2" w:tplc="E3ACD676" w:tentative="1">
      <w:start w:val="1"/>
      <w:numFmt w:val="lowerRoman"/>
      <w:lvlText w:val="%3."/>
      <w:lvlJc w:val="right"/>
      <w:pPr>
        <w:ind w:left="2520" w:hanging="180"/>
      </w:pPr>
    </w:lvl>
    <w:lvl w:ilvl="3" w:tplc="25D00A22" w:tentative="1">
      <w:start w:val="1"/>
      <w:numFmt w:val="decimal"/>
      <w:lvlText w:val="%4."/>
      <w:lvlJc w:val="left"/>
      <w:pPr>
        <w:ind w:left="3240" w:hanging="360"/>
      </w:pPr>
    </w:lvl>
    <w:lvl w:ilvl="4" w:tplc="FBA2FC14" w:tentative="1">
      <w:start w:val="1"/>
      <w:numFmt w:val="lowerLetter"/>
      <w:lvlText w:val="%5."/>
      <w:lvlJc w:val="left"/>
      <w:pPr>
        <w:ind w:left="3960" w:hanging="360"/>
      </w:pPr>
    </w:lvl>
    <w:lvl w:ilvl="5" w:tplc="4A62FF28" w:tentative="1">
      <w:start w:val="1"/>
      <w:numFmt w:val="lowerRoman"/>
      <w:lvlText w:val="%6."/>
      <w:lvlJc w:val="right"/>
      <w:pPr>
        <w:ind w:left="4680" w:hanging="180"/>
      </w:pPr>
    </w:lvl>
    <w:lvl w:ilvl="6" w:tplc="3FF2B55A" w:tentative="1">
      <w:start w:val="1"/>
      <w:numFmt w:val="decimal"/>
      <w:lvlText w:val="%7."/>
      <w:lvlJc w:val="left"/>
      <w:pPr>
        <w:ind w:left="5400" w:hanging="360"/>
      </w:pPr>
    </w:lvl>
    <w:lvl w:ilvl="7" w:tplc="AE3CB43E" w:tentative="1">
      <w:start w:val="1"/>
      <w:numFmt w:val="lowerLetter"/>
      <w:lvlText w:val="%8."/>
      <w:lvlJc w:val="left"/>
      <w:pPr>
        <w:ind w:left="6120" w:hanging="360"/>
      </w:pPr>
    </w:lvl>
    <w:lvl w:ilvl="8" w:tplc="60F03342" w:tentative="1">
      <w:start w:val="1"/>
      <w:numFmt w:val="lowerRoman"/>
      <w:lvlText w:val="%9."/>
      <w:lvlJc w:val="right"/>
      <w:pPr>
        <w:ind w:left="6840" w:hanging="180"/>
      </w:pPr>
    </w:lvl>
  </w:abstractNum>
  <w:abstractNum w:abstractNumId="14" w15:restartNumberingAfterBreak="0">
    <w:nsid w:val="0861695B"/>
    <w:multiLevelType w:val="hybridMultilevel"/>
    <w:tmpl w:val="BF54883A"/>
    <w:lvl w:ilvl="0" w:tplc="44CA8036">
      <w:start w:val="3"/>
      <w:numFmt w:val="decimal"/>
      <w:lvlText w:val="%1."/>
      <w:lvlJc w:val="left"/>
      <w:pPr>
        <w:ind w:left="720" w:hanging="360"/>
      </w:pPr>
      <w:rPr>
        <w:rFonts w:ascii="Aptos" w:hAnsi="Aptos" w:hint="default"/>
      </w:rPr>
    </w:lvl>
    <w:lvl w:ilvl="1" w:tplc="14FA1B22">
      <w:start w:val="1"/>
      <w:numFmt w:val="lowerLetter"/>
      <w:lvlText w:val="%2."/>
      <w:lvlJc w:val="left"/>
      <w:pPr>
        <w:ind w:left="1440" w:hanging="360"/>
      </w:pPr>
    </w:lvl>
    <w:lvl w:ilvl="2" w:tplc="55D66594">
      <w:start w:val="1"/>
      <w:numFmt w:val="lowerRoman"/>
      <w:lvlText w:val="%3."/>
      <w:lvlJc w:val="right"/>
      <w:pPr>
        <w:ind w:left="2160" w:hanging="180"/>
      </w:pPr>
    </w:lvl>
    <w:lvl w:ilvl="3" w:tplc="7D74575A">
      <w:start w:val="1"/>
      <w:numFmt w:val="decimal"/>
      <w:lvlText w:val="%4."/>
      <w:lvlJc w:val="left"/>
      <w:pPr>
        <w:ind w:left="2880" w:hanging="360"/>
      </w:pPr>
    </w:lvl>
    <w:lvl w:ilvl="4" w:tplc="A620AC32">
      <w:start w:val="1"/>
      <w:numFmt w:val="lowerLetter"/>
      <w:lvlText w:val="%5."/>
      <w:lvlJc w:val="left"/>
      <w:pPr>
        <w:ind w:left="3600" w:hanging="360"/>
      </w:pPr>
    </w:lvl>
    <w:lvl w:ilvl="5" w:tplc="A7865978">
      <w:start w:val="1"/>
      <w:numFmt w:val="lowerRoman"/>
      <w:lvlText w:val="%6."/>
      <w:lvlJc w:val="right"/>
      <w:pPr>
        <w:ind w:left="4320" w:hanging="180"/>
      </w:pPr>
    </w:lvl>
    <w:lvl w:ilvl="6" w:tplc="CDCA593C">
      <w:start w:val="1"/>
      <w:numFmt w:val="decimal"/>
      <w:lvlText w:val="%7."/>
      <w:lvlJc w:val="left"/>
      <w:pPr>
        <w:ind w:left="5040" w:hanging="360"/>
      </w:pPr>
    </w:lvl>
    <w:lvl w:ilvl="7" w:tplc="A8A8C82A">
      <w:start w:val="1"/>
      <w:numFmt w:val="lowerLetter"/>
      <w:lvlText w:val="%8."/>
      <w:lvlJc w:val="left"/>
      <w:pPr>
        <w:ind w:left="5760" w:hanging="360"/>
      </w:pPr>
    </w:lvl>
    <w:lvl w:ilvl="8" w:tplc="AD9E0818">
      <w:start w:val="1"/>
      <w:numFmt w:val="lowerRoman"/>
      <w:lvlText w:val="%9."/>
      <w:lvlJc w:val="right"/>
      <w:pPr>
        <w:ind w:left="6480" w:hanging="180"/>
      </w:pPr>
    </w:lvl>
  </w:abstractNum>
  <w:abstractNum w:abstractNumId="15" w15:restartNumberingAfterBreak="0">
    <w:nsid w:val="08A2540E"/>
    <w:multiLevelType w:val="hybridMultilevel"/>
    <w:tmpl w:val="AD5A089C"/>
    <w:lvl w:ilvl="0" w:tplc="CA4EB558">
      <w:start w:val="1"/>
      <w:numFmt w:val="bullet"/>
      <w:lvlText w:val=""/>
      <w:lvlJc w:val="left"/>
      <w:pPr>
        <w:ind w:left="720" w:hanging="360"/>
      </w:pPr>
      <w:rPr>
        <w:rFonts w:ascii="Symbol" w:hAnsi="Symbol" w:hint="default"/>
      </w:rPr>
    </w:lvl>
    <w:lvl w:ilvl="1" w:tplc="A008F3CA" w:tentative="1">
      <w:start w:val="1"/>
      <w:numFmt w:val="bullet"/>
      <w:lvlText w:val="o"/>
      <w:lvlJc w:val="left"/>
      <w:pPr>
        <w:ind w:left="1440" w:hanging="360"/>
      </w:pPr>
      <w:rPr>
        <w:rFonts w:ascii="Courier New" w:hAnsi="Courier New" w:cs="Courier New" w:hint="default"/>
      </w:rPr>
    </w:lvl>
    <w:lvl w:ilvl="2" w:tplc="3F2A8CF2" w:tentative="1">
      <w:start w:val="1"/>
      <w:numFmt w:val="bullet"/>
      <w:lvlText w:val=""/>
      <w:lvlJc w:val="left"/>
      <w:pPr>
        <w:ind w:left="2160" w:hanging="360"/>
      </w:pPr>
      <w:rPr>
        <w:rFonts w:ascii="Wingdings" w:hAnsi="Wingdings" w:hint="default"/>
      </w:rPr>
    </w:lvl>
    <w:lvl w:ilvl="3" w:tplc="B90A3E52" w:tentative="1">
      <w:start w:val="1"/>
      <w:numFmt w:val="bullet"/>
      <w:lvlText w:val=""/>
      <w:lvlJc w:val="left"/>
      <w:pPr>
        <w:ind w:left="2880" w:hanging="360"/>
      </w:pPr>
      <w:rPr>
        <w:rFonts w:ascii="Symbol" w:hAnsi="Symbol" w:hint="default"/>
      </w:rPr>
    </w:lvl>
    <w:lvl w:ilvl="4" w:tplc="3536E4FA" w:tentative="1">
      <w:start w:val="1"/>
      <w:numFmt w:val="bullet"/>
      <w:lvlText w:val="o"/>
      <w:lvlJc w:val="left"/>
      <w:pPr>
        <w:ind w:left="3600" w:hanging="360"/>
      </w:pPr>
      <w:rPr>
        <w:rFonts w:ascii="Courier New" w:hAnsi="Courier New" w:cs="Courier New" w:hint="default"/>
      </w:rPr>
    </w:lvl>
    <w:lvl w:ilvl="5" w:tplc="C952D320" w:tentative="1">
      <w:start w:val="1"/>
      <w:numFmt w:val="bullet"/>
      <w:lvlText w:val=""/>
      <w:lvlJc w:val="left"/>
      <w:pPr>
        <w:ind w:left="4320" w:hanging="360"/>
      </w:pPr>
      <w:rPr>
        <w:rFonts w:ascii="Wingdings" w:hAnsi="Wingdings" w:hint="default"/>
      </w:rPr>
    </w:lvl>
    <w:lvl w:ilvl="6" w:tplc="1660BF90" w:tentative="1">
      <w:start w:val="1"/>
      <w:numFmt w:val="bullet"/>
      <w:lvlText w:val=""/>
      <w:lvlJc w:val="left"/>
      <w:pPr>
        <w:ind w:left="5040" w:hanging="360"/>
      </w:pPr>
      <w:rPr>
        <w:rFonts w:ascii="Symbol" w:hAnsi="Symbol" w:hint="default"/>
      </w:rPr>
    </w:lvl>
    <w:lvl w:ilvl="7" w:tplc="9EFEE6D6" w:tentative="1">
      <w:start w:val="1"/>
      <w:numFmt w:val="bullet"/>
      <w:lvlText w:val="o"/>
      <w:lvlJc w:val="left"/>
      <w:pPr>
        <w:ind w:left="5760" w:hanging="360"/>
      </w:pPr>
      <w:rPr>
        <w:rFonts w:ascii="Courier New" w:hAnsi="Courier New" w:cs="Courier New" w:hint="default"/>
      </w:rPr>
    </w:lvl>
    <w:lvl w:ilvl="8" w:tplc="54A2583A" w:tentative="1">
      <w:start w:val="1"/>
      <w:numFmt w:val="bullet"/>
      <w:lvlText w:val=""/>
      <w:lvlJc w:val="left"/>
      <w:pPr>
        <w:ind w:left="6480" w:hanging="360"/>
      </w:pPr>
      <w:rPr>
        <w:rFonts w:ascii="Wingdings" w:hAnsi="Wingdings" w:hint="default"/>
      </w:rPr>
    </w:lvl>
  </w:abstractNum>
  <w:abstractNum w:abstractNumId="16" w15:restartNumberingAfterBreak="0">
    <w:nsid w:val="0917734E"/>
    <w:multiLevelType w:val="hybridMultilevel"/>
    <w:tmpl w:val="874033A4"/>
    <w:lvl w:ilvl="0" w:tplc="D07803EC">
      <w:start w:val="1"/>
      <w:numFmt w:val="bullet"/>
      <w:lvlText w:val=""/>
      <w:lvlJc w:val="left"/>
      <w:pPr>
        <w:ind w:left="720" w:hanging="360"/>
      </w:pPr>
      <w:rPr>
        <w:rFonts w:ascii="Symbol" w:hAnsi="Symbol" w:hint="default"/>
      </w:rPr>
    </w:lvl>
    <w:lvl w:ilvl="1" w:tplc="CD665DA6" w:tentative="1">
      <w:start w:val="1"/>
      <w:numFmt w:val="bullet"/>
      <w:lvlText w:val="o"/>
      <w:lvlJc w:val="left"/>
      <w:pPr>
        <w:ind w:left="1440" w:hanging="360"/>
      </w:pPr>
      <w:rPr>
        <w:rFonts w:ascii="Courier New" w:hAnsi="Courier New" w:cs="Courier New" w:hint="default"/>
      </w:rPr>
    </w:lvl>
    <w:lvl w:ilvl="2" w:tplc="2490F0F6" w:tentative="1">
      <w:start w:val="1"/>
      <w:numFmt w:val="bullet"/>
      <w:lvlText w:val=""/>
      <w:lvlJc w:val="left"/>
      <w:pPr>
        <w:ind w:left="2160" w:hanging="360"/>
      </w:pPr>
      <w:rPr>
        <w:rFonts w:ascii="Wingdings" w:hAnsi="Wingdings" w:hint="default"/>
      </w:rPr>
    </w:lvl>
    <w:lvl w:ilvl="3" w:tplc="B18E174A" w:tentative="1">
      <w:start w:val="1"/>
      <w:numFmt w:val="bullet"/>
      <w:lvlText w:val=""/>
      <w:lvlJc w:val="left"/>
      <w:pPr>
        <w:ind w:left="2880" w:hanging="360"/>
      </w:pPr>
      <w:rPr>
        <w:rFonts w:ascii="Symbol" w:hAnsi="Symbol" w:hint="default"/>
      </w:rPr>
    </w:lvl>
    <w:lvl w:ilvl="4" w:tplc="C5E4694C" w:tentative="1">
      <w:start w:val="1"/>
      <w:numFmt w:val="bullet"/>
      <w:lvlText w:val="o"/>
      <w:lvlJc w:val="left"/>
      <w:pPr>
        <w:ind w:left="3600" w:hanging="360"/>
      </w:pPr>
      <w:rPr>
        <w:rFonts w:ascii="Courier New" w:hAnsi="Courier New" w:cs="Courier New" w:hint="default"/>
      </w:rPr>
    </w:lvl>
    <w:lvl w:ilvl="5" w:tplc="E0A818CE" w:tentative="1">
      <w:start w:val="1"/>
      <w:numFmt w:val="bullet"/>
      <w:lvlText w:val=""/>
      <w:lvlJc w:val="left"/>
      <w:pPr>
        <w:ind w:left="4320" w:hanging="360"/>
      </w:pPr>
      <w:rPr>
        <w:rFonts w:ascii="Wingdings" w:hAnsi="Wingdings" w:hint="default"/>
      </w:rPr>
    </w:lvl>
    <w:lvl w:ilvl="6" w:tplc="FBCC80DC" w:tentative="1">
      <w:start w:val="1"/>
      <w:numFmt w:val="bullet"/>
      <w:lvlText w:val=""/>
      <w:lvlJc w:val="left"/>
      <w:pPr>
        <w:ind w:left="5040" w:hanging="360"/>
      </w:pPr>
      <w:rPr>
        <w:rFonts w:ascii="Symbol" w:hAnsi="Symbol" w:hint="default"/>
      </w:rPr>
    </w:lvl>
    <w:lvl w:ilvl="7" w:tplc="FA761398" w:tentative="1">
      <w:start w:val="1"/>
      <w:numFmt w:val="bullet"/>
      <w:lvlText w:val="o"/>
      <w:lvlJc w:val="left"/>
      <w:pPr>
        <w:ind w:left="5760" w:hanging="360"/>
      </w:pPr>
      <w:rPr>
        <w:rFonts w:ascii="Courier New" w:hAnsi="Courier New" w:cs="Courier New" w:hint="default"/>
      </w:rPr>
    </w:lvl>
    <w:lvl w:ilvl="8" w:tplc="28ACC1FA" w:tentative="1">
      <w:start w:val="1"/>
      <w:numFmt w:val="bullet"/>
      <w:lvlText w:val=""/>
      <w:lvlJc w:val="left"/>
      <w:pPr>
        <w:ind w:left="6480" w:hanging="360"/>
      </w:pPr>
      <w:rPr>
        <w:rFonts w:ascii="Wingdings" w:hAnsi="Wingdings" w:hint="default"/>
      </w:rPr>
    </w:lvl>
  </w:abstractNum>
  <w:abstractNum w:abstractNumId="17" w15:restartNumberingAfterBreak="0">
    <w:nsid w:val="09B169D5"/>
    <w:multiLevelType w:val="multilevel"/>
    <w:tmpl w:val="CE565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9BA4462"/>
    <w:multiLevelType w:val="hybridMultilevel"/>
    <w:tmpl w:val="496280CE"/>
    <w:lvl w:ilvl="0" w:tplc="F92CA01A">
      <w:start w:val="1"/>
      <w:numFmt w:val="decimal"/>
      <w:lvlText w:val="%1."/>
      <w:lvlJc w:val="left"/>
      <w:pPr>
        <w:ind w:left="720" w:hanging="360"/>
      </w:pPr>
    </w:lvl>
    <w:lvl w:ilvl="1" w:tplc="9BF2154C" w:tentative="1">
      <w:start w:val="1"/>
      <w:numFmt w:val="lowerLetter"/>
      <w:lvlText w:val="%2."/>
      <w:lvlJc w:val="left"/>
      <w:pPr>
        <w:ind w:left="1440" w:hanging="360"/>
      </w:pPr>
    </w:lvl>
    <w:lvl w:ilvl="2" w:tplc="6804FF24" w:tentative="1">
      <w:start w:val="1"/>
      <w:numFmt w:val="lowerRoman"/>
      <w:lvlText w:val="%3."/>
      <w:lvlJc w:val="right"/>
      <w:pPr>
        <w:ind w:left="2160" w:hanging="180"/>
      </w:pPr>
    </w:lvl>
    <w:lvl w:ilvl="3" w:tplc="C3562B74" w:tentative="1">
      <w:start w:val="1"/>
      <w:numFmt w:val="decimal"/>
      <w:lvlText w:val="%4."/>
      <w:lvlJc w:val="left"/>
      <w:pPr>
        <w:ind w:left="2880" w:hanging="360"/>
      </w:pPr>
    </w:lvl>
    <w:lvl w:ilvl="4" w:tplc="6A944BB2" w:tentative="1">
      <w:start w:val="1"/>
      <w:numFmt w:val="lowerLetter"/>
      <w:lvlText w:val="%5."/>
      <w:lvlJc w:val="left"/>
      <w:pPr>
        <w:ind w:left="3600" w:hanging="360"/>
      </w:pPr>
    </w:lvl>
    <w:lvl w:ilvl="5" w:tplc="7C6E2D52" w:tentative="1">
      <w:start w:val="1"/>
      <w:numFmt w:val="lowerRoman"/>
      <w:lvlText w:val="%6."/>
      <w:lvlJc w:val="right"/>
      <w:pPr>
        <w:ind w:left="4320" w:hanging="180"/>
      </w:pPr>
    </w:lvl>
    <w:lvl w:ilvl="6" w:tplc="2A28CDBA" w:tentative="1">
      <w:start w:val="1"/>
      <w:numFmt w:val="decimal"/>
      <w:lvlText w:val="%7."/>
      <w:lvlJc w:val="left"/>
      <w:pPr>
        <w:ind w:left="5040" w:hanging="360"/>
      </w:pPr>
    </w:lvl>
    <w:lvl w:ilvl="7" w:tplc="13086262" w:tentative="1">
      <w:start w:val="1"/>
      <w:numFmt w:val="lowerLetter"/>
      <w:lvlText w:val="%8."/>
      <w:lvlJc w:val="left"/>
      <w:pPr>
        <w:ind w:left="5760" w:hanging="360"/>
      </w:pPr>
    </w:lvl>
    <w:lvl w:ilvl="8" w:tplc="CD524B6C" w:tentative="1">
      <w:start w:val="1"/>
      <w:numFmt w:val="lowerRoman"/>
      <w:lvlText w:val="%9."/>
      <w:lvlJc w:val="right"/>
      <w:pPr>
        <w:ind w:left="6480" w:hanging="180"/>
      </w:pPr>
    </w:lvl>
  </w:abstractNum>
  <w:abstractNum w:abstractNumId="19" w15:restartNumberingAfterBreak="0">
    <w:nsid w:val="09EC6559"/>
    <w:multiLevelType w:val="hybridMultilevel"/>
    <w:tmpl w:val="AD9E091C"/>
    <w:lvl w:ilvl="0" w:tplc="BC5479E0">
      <w:start w:val="1"/>
      <w:numFmt w:val="bullet"/>
      <w:lvlText w:val=""/>
      <w:lvlJc w:val="left"/>
      <w:pPr>
        <w:ind w:left="720" w:hanging="360"/>
      </w:pPr>
      <w:rPr>
        <w:rFonts w:ascii="Symbol" w:hAnsi="Symbol" w:hint="default"/>
      </w:rPr>
    </w:lvl>
    <w:lvl w:ilvl="1" w:tplc="E6DC4B60" w:tentative="1">
      <w:start w:val="1"/>
      <w:numFmt w:val="bullet"/>
      <w:lvlText w:val="o"/>
      <w:lvlJc w:val="left"/>
      <w:pPr>
        <w:ind w:left="1440" w:hanging="360"/>
      </w:pPr>
      <w:rPr>
        <w:rFonts w:ascii="Courier New" w:hAnsi="Courier New" w:cs="Courier New" w:hint="default"/>
      </w:rPr>
    </w:lvl>
    <w:lvl w:ilvl="2" w:tplc="2D66ED7E" w:tentative="1">
      <w:start w:val="1"/>
      <w:numFmt w:val="bullet"/>
      <w:lvlText w:val=""/>
      <w:lvlJc w:val="left"/>
      <w:pPr>
        <w:ind w:left="2160" w:hanging="360"/>
      </w:pPr>
      <w:rPr>
        <w:rFonts w:ascii="Wingdings" w:hAnsi="Wingdings" w:hint="default"/>
      </w:rPr>
    </w:lvl>
    <w:lvl w:ilvl="3" w:tplc="8544E960" w:tentative="1">
      <w:start w:val="1"/>
      <w:numFmt w:val="bullet"/>
      <w:lvlText w:val=""/>
      <w:lvlJc w:val="left"/>
      <w:pPr>
        <w:ind w:left="2880" w:hanging="360"/>
      </w:pPr>
      <w:rPr>
        <w:rFonts w:ascii="Symbol" w:hAnsi="Symbol" w:hint="default"/>
      </w:rPr>
    </w:lvl>
    <w:lvl w:ilvl="4" w:tplc="8E442C18" w:tentative="1">
      <w:start w:val="1"/>
      <w:numFmt w:val="bullet"/>
      <w:lvlText w:val="o"/>
      <w:lvlJc w:val="left"/>
      <w:pPr>
        <w:ind w:left="3600" w:hanging="360"/>
      </w:pPr>
      <w:rPr>
        <w:rFonts w:ascii="Courier New" w:hAnsi="Courier New" w:cs="Courier New" w:hint="default"/>
      </w:rPr>
    </w:lvl>
    <w:lvl w:ilvl="5" w:tplc="E736ADAA" w:tentative="1">
      <w:start w:val="1"/>
      <w:numFmt w:val="bullet"/>
      <w:lvlText w:val=""/>
      <w:lvlJc w:val="left"/>
      <w:pPr>
        <w:ind w:left="4320" w:hanging="360"/>
      </w:pPr>
      <w:rPr>
        <w:rFonts w:ascii="Wingdings" w:hAnsi="Wingdings" w:hint="default"/>
      </w:rPr>
    </w:lvl>
    <w:lvl w:ilvl="6" w:tplc="EFA8B2EC" w:tentative="1">
      <w:start w:val="1"/>
      <w:numFmt w:val="bullet"/>
      <w:lvlText w:val=""/>
      <w:lvlJc w:val="left"/>
      <w:pPr>
        <w:ind w:left="5040" w:hanging="360"/>
      </w:pPr>
      <w:rPr>
        <w:rFonts w:ascii="Symbol" w:hAnsi="Symbol" w:hint="default"/>
      </w:rPr>
    </w:lvl>
    <w:lvl w:ilvl="7" w:tplc="A9F21738" w:tentative="1">
      <w:start w:val="1"/>
      <w:numFmt w:val="bullet"/>
      <w:lvlText w:val="o"/>
      <w:lvlJc w:val="left"/>
      <w:pPr>
        <w:ind w:left="5760" w:hanging="360"/>
      </w:pPr>
      <w:rPr>
        <w:rFonts w:ascii="Courier New" w:hAnsi="Courier New" w:cs="Courier New" w:hint="default"/>
      </w:rPr>
    </w:lvl>
    <w:lvl w:ilvl="8" w:tplc="441A0208" w:tentative="1">
      <w:start w:val="1"/>
      <w:numFmt w:val="bullet"/>
      <w:lvlText w:val=""/>
      <w:lvlJc w:val="left"/>
      <w:pPr>
        <w:ind w:left="6480" w:hanging="360"/>
      </w:pPr>
      <w:rPr>
        <w:rFonts w:ascii="Wingdings" w:hAnsi="Wingdings" w:hint="default"/>
      </w:rPr>
    </w:lvl>
  </w:abstractNum>
  <w:abstractNum w:abstractNumId="20" w15:restartNumberingAfterBreak="0">
    <w:nsid w:val="0AC3192E"/>
    <w:multiLevelType w:val="multilevel"/>
    <w:tmpl w:val="5E74E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B283059"/>
    <w:multiLevelType w:val="hybridMultilevel"/>
    <w:tmpl w:val="BA26B1CA"/>
    <w:lvl w:ilvl="0" w:tplc="20687B72">
      <w:start w:val="1"/>
      <w:numFmt w:val="decimal"/>
      <w:lvlText w:val="%1."/>
      <w:lvlJc w:val="left"/>
      <w:pPr>
        <w:ind w:left="720" w:hanging="360"/>
      </w:pPr>
      <w:rPr>
        <w:rFonts w:hint="default"/>
        <w:color w:val="000000" w:themeColor="text1"/>
      </w:rPr>
    </w:lvl>
    <w:lvl w:ilvl="1" w:tplc="2280FA7C" w:tentative="1">
      <w:start w:val="1"/>
      <w:numFmt w:val="bullet"/>
      <w:lvlText w:val="o"/>
      <w:lvlJc w:val="left"/>
      <w:pPr>
        <w:ind w:left="1440" w:hanging="360"/>
      </w:pPr>
      <w:rPr>
        <w:rFonts w:ascii="Courier New" w:hAnsi="Courier New" w:cs="Courier New" w:hint="default"/>
      </w:rPr>
    </w:lvl>
    <w:lvl w:ilvl="2" w:tplc="0FF8E858" w:tentative="1">
      <w:start w:val="1"/>
      <w:numFmt w:val="bullet"/>
      <w:lvlText w:val=""/>
      <w:lvlJc w:val="left"/>
      <w:pPr>
        <w:ind w:left="2160" w:hanging="360"/>
      </w:pPr>
      <w:rPr>
        <w:rFonts w:ascii="Wingdings" w:hAnsi="Wingdings" w:hint="default"/>
      </w:rPr>
    </w:lvl>
    <w:lvl w:ilvl="3" w:tplc="38E2A380" w:tentative="1">
      <w:start w:val="1"/>
      <w:numFmt w:val="bullet"/>
      <w:lvlText w:val=""/>
      <w:lvlJc w:val="left"/>
      <w:pPr>
        <w:ind w:left="2880" w:hanging="360"/>
      </w:pPr>
      <w:rPr>
        <w:rFonts w:ascii="Symbol" w:hAnsi="Symbol" w:hint="default"/>
      </w:rPr>
    </w:lvl>
    <w:lvl w:ilvl="4" w:tplc="E90E560C" w:tentative="1">
      <w:start w:val="1"/>
      <w:numFmt w:val="bullet"/>
      <w:lvlText w:val="o"/>
      <w:lvlJc w:val="left"/>
      <w:pPr>
        <w:ind w:left="3600" w:hanging="360"/>
      </w:pPr>
      <w:rPr>
        <w:rFonts w:ascii="Courier New" w:hAnsi="Courier New" w:cs="Courier New" w:hint="default"/>
      </w:rPr>
    </w:lvl>
    <w:lvl w:ilvl="5" w:tplc="684460B2" w:tentative="1">
      <w:start w:val="1"/>
      <w:numFmt w:val="bullet"/>
      <w:lvlText w:val=""/>
      <w:lvlJc w:val="left"/>
      <w:pPr>
        <w:ind w:left="4320" w:hanging="360"/>
      </w:pPr>
      <w:rPr>
        <w:rFonts w:ascii="Wingdings" w:hAnsi="Wingdings" w:hint="default"/>
      </w:rPr>
    </w:lvl>
    <w:lvl w:ilvl="6" w:tplc="FFB21860" w:tentative="1">
      <w:start w:val="1"/>
      <w:numFmt w:val="bullet"/>
      <w:lvlText w:val=""/>
      <w:lvlJc w:val="left"/>
      <w:pPr>
        <w:ind w:left="5040" w:hanging="360"/>
      </w:pPr>
      <w:rPr>
        <w:rFonts w:ascii="Symbol" w:hAnsi="Symbol" w:hint="default"/>
      </w:rPr>
    </w:lvl>
    <w:lvl w:ilvl="7" w:tplc="6640137C" w:tentative="1">
      <w:start w:val="1"/>
      <w:numFmt w:val="bullet"/>
      <w:lvlText w:val="o"/>
      <w:lvlJc w:val="left"/>
      <w:pPr>
        <w:ind w:left="5760" w:hanging="360"/>
      </w:pPr>
      <w:rPr>
        <w:rFonts w:ascii="Courier New" w:hAnsi="Courier New" w:cs="Courier New" w:hint="default"/>
      </w:rPr>
    </w:lvl>
    <w:lvl w:ilvl="8" w:tplc="FC284A76" w:tentative="1">
      <w:start w:val="1"/>
      <w:numFmt w:val="bullet"/>
      <w:lvlText w:val=""/>
      <w:lvlJc w:val="left"/>
      <w:pPr>
        <w:ind w:left="6480" w:hanging="360"/>
      </w:pPr>
      <w:rPr>
        <w:rFonts w:ascii="Wingdings" w:hAnsi="Wingdings" w:hint="default"/>
      </w:rPr>
    </w:lvl>
  </w:abstractNum>
  <w:abstractNum w:abstractNumId="22" w15:restartNumberingAfterBreak="0">
    <w:nsid w:val="0B335EEC"/>
    <w:multiLevelType w:val="hybridMultilevel"/>
    <w:tmpl w:val="828CA9DC"/>
    <w:lvl w:ilvl="0" w:tplc="C3A0512E">
      <w:start w:val="1"/>
      <w:numFmt w:val="decimal"/>
      <w:lvlText w:val="%1."/>
      <w:lvlJc w:val="left"/>
      <w:pPr>
        <w:ind w:left="720" w:hanging="360"/>
      </w:pPr>
    </w:lvl>
    <w:lvl w:ilvl="1" w:tplc="BF2EBEAE" w:tentative="1">
      <w:start w:val="1"/>
      <w:numFmt w:val="lowerLetter"/>
      <w:lvlText w:val="%2."/>
      <w:lvlJc w:val="left"/>
      <w:pPr>
        <w:ind w:left="1440" w:hanging="360"/>
      </w:pPr>
    </w:lvl>
    <w:lvl w:ilvl="2" w:tplc="BAB2AEEA" w:tentative="1">
      <w:start w:val="1"/>
      <w:numFmt w:val="lowerRoman"/>
      <w:lvlText w:val="%3."/>
      <w:lvlJc w:val="right"/>
      <w:pPr>
        <w:ind w:left="2160" w:hanging="180"/>
      </w:pPr>
    </w:lvl>
    <w:lvl w:ilvl="3" w:tplc="F9B2C912" w:tentative="1">
      <w:start w:val="1"/>
      <w:numFmt w:val="decimal"/>
      <w:lvlText w:val="%4."/>
      <w:lvlJc w:val="left"/>
      <w:pPr>
        <w:ind w:left="2880" w:hanging="360"/>
      </w:pPr>
    </w:lvl>
    <w:lvl w:ilvl="4" w:tplc="60120FE6" w:tentative="1">
      <w:start w:val="1"/>
      <w:numFmt w:val="lowerLetter"/>
      <w:lvlText w:val="%5."/>
      <w:lvlJc w:val="left"/>
      <w:pPr>
        <w:ind w:left="3600" w:hanging="360"/>
      </w:pPr>
    </w:lvl>
    <w:lvl w:ilvl="5" w:tplc="625CBC8A" w:tentative="1">
      <w:start w:val="1"/>
      <w:numFmt w:val="lowerRoman"/>
      <w:lvlText w:val="%6."/>
      <w:lvlJc w:val="right"/>
      <w:pPr>
        <w:ind w:left="4320" w:hanging="180"/>
      </w:pPr>
    </w:lvl>
    <w:lvl w:ilvl="6" w:tplc="9FD07680" w:tentative="1">
      <w:start w:val="1"/>
      <w:numFmt w:val="decimal"/>
      <w:lvlText w:val="%7."/>
      <w:lvlJc w:val="left"/>
      <w:pPr>
        <w:ind w:left="5040" w:hanging="360"/>
      </w:pPr>
    </w:lvl>
    <w:lvl w:ilvl="7" w:tplc="9780B4BE" w:tentative="1">
      <w:start w:val="1"/>
      <w:numFmt w:val="lowerLetter"/>
      <w:lvlText w:val="%8."/>
      <w:lvlJc w:val="left"/>
      <w:pPr>
        <w:ind w:left="5760" w:hanging="360"/>
      </w:pPr>
    </w:lvl>
    <w:lvl w:ilvl="8" w:tplc="79A8AD18" w:tentative="1">
      <w:start w:val="1"/>
      <w:numFmt w:val="lowerRoman"/>
      <w:lvlText w:val="%9."/>
      <w:lvlJc w:val="right"/>
      <w:pPr>
        <w:ind w:left="6480" w:hanging="180"/>
      </w:pPr>
    </w:lvl>
  </w:abstractNum>
  <w:abstractNum w:abstractNumId="23" w15:restartNumberingAfterBreak="0">
    <w:nsid w:val="0B5200BF"/>
    <w:multiLevelType w:val="hybridMultilevel"/>
    <w:tmpl w:val="3F90D558"/>
    <w:lvl w:ilvl="0" w:tplc="6DC24BCA">
      <w:start w:val="1"/>
      <w:numFmt w:val="lowerLetter"/>
      <w:lvlText w:val="%1."/>
      <w:lvlJc w:val="left"/>
      <w:pPr>
        <w:ind w:left="1080" w:hanging="360"/>
      </w:pPr>
    </w:lvl>
    <w:lvl w:ilvl="1" w:tplc="F94EDB6A">
      <w:start w:val="1"/>
      <w:numFmt w:val="lowerRoman"/>
      <w:lvlText w:val="%2."/>
      <w:lvlJc w:val="right"/>
      <w:pPr>
        <w:ind w:left="1080" w:hanging="360"/>
      </w:pPr>
    </w:lvl>
    <w:lvl w:ilvl="2" w:tplc="1B1C6624" w:tentative="1">
      <w:start w:val="1"/>
      <w:numFmt w:val="lowerRoman"/>
      <w:lvlText w:val="%3."/>
      <w:lvlJc w:val="right"/>
      <w:pPr>
        <w:ind w:left="2520" w:hanging="180"/>
      </w:pPr>
    </w:lvl>
    <w:lvl w:ilvl="3" w:tplc="CB3E940E" w:tentative="1">
      <w:start w:val="1"/>
      <w:numFmt w:val="decimal"/>
      <w:lvlText w:val="%4."/>
      <w:lvlJc w:val="left"/>
      <w:pPr>
        <w:ind w:left="3240" w:hanging="360"/>
      </w:pPr>
    </w:lvl>
    <w:lvl w:ilvl="4" w:tplc="862CEAEA" w:tentative="1">
      <w:start w:val="1"/>
      <w:numFmt w:val="lowerLetter"/>
      <w:lvlText w:val="%5."/>
      <w:lvlJc w:val="left"/>
      <w:pPr>
        <w:ind w:left="3960" w:hanging="360"/>
      </w:pPr>
    </w:lvl>
    <w:lvl w:ilvl="5" w:tplc="D2DAA1CA" w:tentative="1">
      <w:start w:val="1"/>
      <w:numFmt w:val="lowerRoman"/>
      <w:lvlText w:val="%6."/>
      <w:lvlJc w:val="right"/>
      <w:pPr>
        <w:ind w:left="4680" w:hanging="180"/>
      </w:pPr>
    </w:lvl>
    <w:lvl w:ilvl="6" w:tplc="6F581A5A" w:tentative="1">
      <w:start w:val="1"/>
      <w:numFmt w:val="decimal"/>
      <w:lvlText w:val="%7."/>
      <w:lvlJc w:val="left"/>
      <w:pPr>
        <w:ind w:left="5400" w:hanging="360"/>
      </w:pPr>
    </w:lvl>
    <w:lvl w:ilvl="7" w:tplc="387E88E4" w:tentative="1">
      <w:start w:val="1"/>
      <w:numFmt w:val="lowerLetter"/>
      <w:lvlText w:val="%8."/>
      <w:lvlJc w:val="left"/>
      <w:pPr>
        <w:ind w:left="6120" w:hanging="360"/>
      </w:pPr>
    </w:lvl>
    <w:lvl w:ilvl="8" w:tplc="FDEC05AC" w:tentative="1">
      <w:start w:val="1"/>
      <w:numFmt w:val="lowerRoman"/>
      <w:lvlText w:val="%9."/>
      <w:lvlJc w:val="right"/>
      <w:pPr>
        <w:ind w:left="6840" w:hanging="180"/>
      </w:pPr>
    </w:lvl>
  </w:abstractNum>
  <w:abstractNum w:abstractNumId="24" w15:restartNumberingAfterBreak="0">
    <w:nsid w:val="0B625374"/>
    <w:multiLevelType w:val="hybridMultilevel"/>
    <w:tmpl w:val="83CEF8F0"/>
    <w:lvl w:ilvl="0" w:tplc="D89C8850">
      <w:start w:val="1"/>
      <w:numFmt w:val="lowerRoman"/>
      <w:lvlText w:val="%1."/>
      <w:lvlJc w:val="right"/>
      <w:pPr>
        <w:ind w:left="1080" w:hanging="360"/>
      </w:pPr>
    </w:lvl>
    <w:lvl w:ilvl="1" w:tplc="F62C9FAC" w:tentative="1">
      <w:start w:val="1"/>
      <w:numFmt w:val="lowerLetter"/>
      <w:lvlText w:val="%2."/>
      <w:lvlJc w:val="left"/>
      <w:pPr>
        <w:ind w:left="1800" w:hanging="360"/>
      </w:pPr>
    </w:lvl>
    <w:lvl w:ilvl="2" w:tplc="F0EC4C2E" w:tentative="1">
      <w:start w:val="1"/>
      <w:numFmt w:val="lowerRoman"/>
      <w:lvlText w:val="%3."/>
      <w:lvlJc w:val="right"/>
      <w:pPr>
        <w:ind w:left="2520" w:hanging="180"/>
      </w:pPr>
    </w:lvl>
    <w:lvl w:ilvl="3" w:tplc="D45E9D36" w:tentative="1">
      <w:start w:val="1"/>
      <w:numFmt w:val="decimal"/>
      <w:lvlText w:val="%4."/>
      <w:lvlJc w:val="left"/>
      <w:pPr>
        <w:ind w:left="3240" w:hanging="360"/>
      </w:pPr>
    </w:lvl>
    <w:lvl w:ilvl="4" w:tplc="C548DBBA" w:tentative="1">
      <w:start w:val="1"/>
      <w:numFmt w:val="lowerLetter"/>
      <w:lvlText w:val="%5."/>
      <w:lvlJc w:val="left"/>
      <w:pPr>
        <w:ind w:left="3960" w:hanging="360"/>
      </w:pPr>
    </w:lvl>
    <w:lvl w:ilvl="5" w:tplc="103887AE" w:tentative="1">
      <w:start w:val="1"/>
      <w:numFmt w:val="lowerRoman"/>
      <w:lvlText w:val="%6."/>
      <w:lvlJc w:val="right"/>
      <w:pPr>
        <w:ind w:left="4680" w:hanging="180"/>
      </w:pPr>
    </w:lvl>
    <w:lvl w:ilvl="6" w:tplc="C002B71A" w:tentative="1">
      <w:start w:val="1"/>
      <w:numFmt w:val="decimal"/>
      <w:lvlText w:val="%7."/>
      <w:lvlJc w:val="left"/>
      <w:pPr>
        <w:ind w:left="5400" w:hanging="360"/>
      </w:pPr>
    </w:lvl>
    <w:lvl w:ilvl="7" w:tplc="D222E7C8" w:tentative="1">
      <w:start w:val="1"/>
      <w:numFmt w:val="lowerLetter"/>
      <w:lvlText w:val="%8."/>
      <w:lvlJc w:val="left"/>
      <w:pPr>
        <w:ind w:left="6120" w:hanging="360"/>
      </w:pPr>
    </w:lvl>
    <w:lvl w:ilvl="8" w:tplc="695083A4" w:tentative="1">
      <w:start w:val="1"/>
      <w:numFmt w:val="lowerRoman"/>
      <w:lvlText w:val="%9."/>
      <w:lvlJc w:val="right"/>
      <w:pPr>
        <w:ind w:left="6840" w:hanging="180"/>
      </w:pPr>
    </w:lvl>
  </w:abstractNum>
  <w:abstractNum w:abstractNumId="25" w15:restartNumberingAfterBreak="0">
    <w:nsid w:val="0BF27861"/>
    <w:multiLevelType w:val="hybridMultilevel"/>
    <w:tmpl w:val="03B2375E"/>
    <w:styleLink w:val="CurrentList1"/>
    <w:lvl w:ilvl="0" w:tplc="5D68B8C6">
      <w:start w:val="7"/>
      <w:numFmt w:val="decimal"/>
      <w:lvlText w:val="%1."/>
      <w:lvlJc w:val="left"/>
      <w:pPr>
        <w:ind w:left="720" w:hanging="360"/>
      </w:pPr>
      <w:rPr>
        <w:rFonts w:hint="default"/>
      </w:rPr>
    </w:lvl>
    <w:lvl w:ilvl="1" w:tplc="027ED2AA" w:tentative="1">
      <w:start w:val="1"/>
      <w:numFmt w:val="lowerLetter"/>
      <w:lvlText w:val="%2."/>
      <w:lvlJc w:val="left"/>
      <w:pPr>
        <w:ind w:left="1440" w:hanging="360"/>
      </w:pPr>
    </w:lvl>
    <w:lvl w:ilvl="2" w:tplc="3C1A24B4" w:tentative="1">
      <w:start w:val="1"/>
      <w:numFmt w:val="lowerRoman"/>
      <w:lvlText w:val="%3."/>
      <w:lvlJc w:val="right"/>
      <w:pPr>
        <w:ind w:left="2160" w:hanging="180"/>
      </w:pPr>
    </w:lvl>
    <w:lvl w:ilvl="3" w:tplc="52446F42" w:tentative="1">
      <w:start w:val="1"/>
      <w:numFmt w:val="decimal"/>
      <w:lvlText w:val="%4."/>
      <w:lvlJc w:val="left"/>
      <w:pPr>
        <w:ind w:left="2880" w:hanging="360"/>
      </w:pPr>
    </w:lvl>
    <w:lvl w:ilvl="4" w:tplc="C1848CBA" w:tentative="1">
      <w:start w:val="1"/>
      <w:numFmt w:val="lowerLetter"/>
      <w:lvlText w:val="%5."/>
      <w:lvlJc w:val="left"/>
      <w:pPr>
        <w:ind w:left="3600" w:hanging="360"/>
      </w:pPr>
    </w:lvl>
    <w:lvl w:ilvl="5" w:tplc="3E42DC26" w:tentative="1">
      <w:start w:val="1"/>
      <w:numFmt w:val="lowerRoman"/>
      <w:lvlText w:val="%6."/>
      <w:lvlJc w:val="right"/>
      <w:pPr>
        <w:ind w:left="4320" w:hanging="180"/>
      </w:pPr>
    </w:lvl>
    <w:lvl w:ilvl="6" w:tplc="4D120E76" w:tentative="1">
      <w:start w:val="1"/>
      <w:numFmt w:val="decimal"/>
      <w:lvlText w:val="%7."/>
      <w:lvlJc w:val="left"/>
      <w:pPr>
        <w:ind w:left="5040" w:hanging="360"/>
      </w:pPr>
    </w:lvl>
    <w:lvl w:ilvl="7" w:tplc="05FABD98" w:tentative="1">
      <w:start w:val="1"/>
      <w:numFmt w:val="lowerLetter"/>
      <w:lvlText w:val="%8."/>
      <w:lvlJc w:val="left"/>
      <w:pPr>
        <w:ind w:left="5760" w:hanging="360"/>
      </w:pPr>
    </w:lvl>
    <w:lvl w:ilvl="8" w:tplc="100AB582" w:tentative="1">
      <w:start w:val="1"/>
      <w:numFmt w:val="lowerRoman"/>
      <w:lvlText w:val="%9."/>
      <w:lvlJc w:val="right"/>
      <w:pPr>
        <w:ind w:left="6480" w:hanging="180"/>
      </w:pPr>
    </w:lvl>
  </w:abstractNum>
  <w:abstractNum w:abstractNumId="26" w15:restartNumberingAfterBreak="0">
    <w:nsid w:val="0C0420A6"/>
    <w:multiLevelType w:val="hybridMultilevel"/>
    <w:tmpl w:val="02220A98"/>
    <w:lvl w:ilvl="0" w:tplc="631ECC54">
      <w:start w:val="1"/>
      <w:numFmt w:val="bullet"/>
      <w:lvlText w:val=""/>
      <w:lvlJc w:val="left"/>
      <w:pPr>
        <w:ind w:left="720" w:hanging="360"/>
      </w:pPr>
      <w:rPr>
        <w:rFonts w:ascii="Symbol" w:hAnsi="Symbol" w:hint="default"/>
      </w:rPr>
    </w:lvl>
    <w:lvl w:ilvl="1" w:tplc="6F56CF32" w:tentative="1">
      <w:start w:val="1"/>
      <w:numFmt w:val="bullet"/>
      <w:lvlText w:val="o"/>
      <w:lvlJc w:val="left"/>
      <w:pPr>
        <w:ind w:left="1440" w:hanging="360"/>
      </w:pPr>
      <w:rPr>
        <w:rFonts w:ascii="Courier New" w:hAnsi="Courier New" w:cs="Courier New" w:hint="default"/>
      </w:rPr>
    </w:lvl>
    <w:lvl w:ilvl="2" w:tplc="4CFA9058" w:tentative="1">
      <w:start w:val="1"/>
      <w:numFmt w:val="bullet"/>
      <w:lvlText w:val=""/>
      <w:lvlJc w:val="left"/>
      <w:pPr>
        <w:ind w:left="2160" w:hanging="360"/>
      </w:pPr>
      <w:rPr>
        <w:rFonts w:ascii="Wingdings" w:hAnsi="Wingdings" w:hint="default"/>
      </w:rPr>
    </w:lvl>
    <w:lvl w:ilvl="3" w:tplc="04904BAE" w:tentative="1">
      <w:start w:val="1"/>
      <w:numFmt w:val="bullet"/>
      <w:lvlText w:val=""/>
      <w:lvlJc w:val="left"/>
      <w:pPr>
        <w:ind w:left="2880" w:hanging="360"/>
      </w:pPr>
      <w:rPr>
        <w:rFonts w:ascii="Symbol" w:hAnsi="Symbol" w:hint="default"/>
      </w:rPr>
    </w:lvl>
    <w:lvl w:ilvl="4" w:tplc="C1080A1A" w:tentative="1">
      <w:start w:val="1"/>
      <w:numFmt w:val="bullet"/>
      <w:lvlText w:val="o"/>
      <w:lvlJc w:val="left"/>
      <w:pPr>
        <w:ind w:left="3600" w:hanging="360"/>
      </w:pPr>
      <w:rPr>
        <w:rFonts w:ascii="Courier New" w:hAnsi="Courier New" w:cs="Courier New" w:hint="default"/>
      </w:rPr>
    </w:lvl>
    <w:lvl w:ilvl="5" w:tplc="D11E186E" w:tentative="1">
      <w:start w:val="1"/>
      <w:numFmt w:val="bullet"/>
      <w:lvlText w:val=""/>
      <w:lvlJc w:val="left"/>
      <w:pPr>
        <w:ind w:left="4320" w:hanging="360"/>
      </w:pPr>
      <w:rPr>
        <w:rFonts w:ascii="Wingdings" w:hAnsi="Wingdings" w:hint="default"/>
      </w:rPr>
    </w:lvl>
    <w:lvl w:ilvl="6" w:tplc="8D00A5DC" w:tentative="1">
      <w:start w:val="1"/>
      <w:numFmt w:val="bullet"/>
      <w:lvlText w:val=""/>
      <w:lvlJc w:val="left"/>
      <w:pPr>
        <w:ind w:left="5040" w:hanging="360"/>
      </w:pPr>
      <w:rPr>
        <w:rFonts w:ascii="Symbol" w:hAnsi="Symbol" w:hint="default"/>
      </w:rPr>
    </w:lvl>
    <w:lvl w:ilvl="7" w:tplc="9A24F422" w:tentative="1">
      <w:start w:val="1"/>
      <w:numFmt w:val="bullet"/>
      <w:lvlText w:val="o"/>
      <w:lvlJc w:val="left"/>
      <w:pPr>
        <w:ind w:left="5760" w:hanging="360"/>
      </w:pPr>
      <w:rPr>
        <w:rFonts w:ascii="Courier New" w:hAnsi="Courier New" w:cs="Courier New" w:hint="default"/>
      </w:rPr>
    </w:lvl>
    <w:lvl w:ilvl="8" w:tplc="3C3ADC5C" w:tentative="1">
      <w:start w:val="1"/>
      <w:numFmt w:val="bullet"/>
      <w:lvlText w:val=""/>
      <w:lvlJc w:val="left"/>
      <w:pPr>
        <w:ind w:left="6480" w:hanging="360"/>
      </w:pPr>
      <w:rPr>
        <w:rFonts w:ascii="Wingdings" w:hAnsi="Wingdings" w:hint="default"/>
      </w:rPr>
    </w:lvl>
  </w:abstractNum>
  <w:abstractNum w:abstractNumId="27" w15:restartNumberingAfterBreak="0">
    <w:nsid w:val="0E6F64FB"/>
    <w:multiLevelType w:val="hybridMultilevel"/>
    <w:tmpl w:val="5D90BD08"/>
    <w:lvl w:ilvl="0" w:tplc="0764E98A">
      <w:start w:val="1"/>
      <w:numFmt w:val="bullet"/>
      <w:lvlText w:val=""/>
      <w:lvlJc w:val="left"/>
      <w:pPr>
        <w:ind w:left="720" w:hanging="360"/>
      </w:pPr>
      <w:rPr>
        <w:rFonts w:ascii="Symbol" w:hAnsi="Symbol" w:hint="default"/>
      </w:rPr>
    </w:lvl>
    <w:lvl w:ilvl="1" w:tplc="0F1A98A8" w:tentative="1">
      <w:start w:val="1"/>
      <w:numFmt w:val="bullet"/>
      <w:lvlText w:val="o"/>
      <w:lvlJc w:val="left"/>
      <w:pPr>
        <w:ind w:left="1440" w:hanging="360"/>
      </w:pPr>
      <w:rPr>
        <w:rFonts w:ascii="Courier New" w:hAnsi="Courier New" w:cs="Courier New" w:hint="default"/>
      </w:rPr>
    </w:lvl>
    <w:lvl w:ilvl="2" w:tplc="14706502" w:tentative="1">
      <w:start w:val="1"/>
      <w:numFmt w:val="bullet"/>
      <w:lvlText w:val=""/>
      <w:lvlJc w:val="left"/>
      <w:pPr>
        <w:ind w:left="2160" w:hanging="360"/>
      </w:pPr>
      <w:rPr>
        <w:rFonts w:ascii="Wingdings" w:hAnsi="Wingdings" w:hint="default"/>
      </w:rPr>
    </w:lvl>
    <w:lvl w:ilvl="3" w:tplc="7BD88754" w:tentative="1">
      <w:start w:val="1"/>
      <w:numFmt w:val="bullet"/>
      <w:lvlText w:val=""/>
      <w:lvlJc w:val="left"/>
      <w:pPr>
        <w:ind w:left="2880" w:hanging="360"/>
      </w:pPr>
      <w:rPr>
        <w:rFonts w:ascii="Symbol" w:hAnsi="Symbol" w:hint="default"/>
      </w:rPr>
    </w:lvl>
    <w:lvl w:ilvl="4" w:tplc="36A6D472" w:tentative="1">
      <w:start w:val="1"/>
      <w:numFmt w:val="bullet"/>
      <w:lvlText w:val="o"/>
      <w:lvlJc w:val="left"/>
      <w:pPr>
        <w:ind w:left="3600" w:hanging="360"/>
      </w:pPr>
      <w:rPr>
        <w:rFonts w:ascii="Courier New" w:hAnsi="Courier New" w:cs="Courier New" w:hint="default"/>
      </w:rPr>
    </w:lvl>
    <w:lvl w:ilvl="5" w:tplc="9D007D78" w:tentative="1">
      <w:start w:val="1"/>
      <w:numFmt w:val="bullet"/>
      <w:lvlText w:val=""/>
      <w:lvlJc w:val="left"/>
      <w:pPr>
        <w:ind w:left="4320" w:hanging="360"/>
      </w:pPr>
      <w:rPr>
        <w:rFonts w:ascii="Wingdings" w:hAnsi="Wingdings" w:hint="default"/>
      </w:rPr>
    </w:lvl>
    <w:lvl w:ilvl="6" w:tplc="CD941DE4" w:tentative="1">
      <w:start w:val="1"/>
      <w:numFmt w:val="bullet"/>
      <w:lvlText w:val=""/>
      <w:lvlJc w:val="left"/>
      <w:pPr>
        <w:ind w:left="5040" w:hanging="360"/>
      </w:pPr>
      <w:rPr>
        <w:rFonts w:ascii="Symbol" w:hAnsi="Symbol" w:hint="default"/>
      </w:rPr>
    </w:lvl>
    <w:lvl w:ilvl="7" w:tplc="0622911E" w:tentative="1">
      <w:start w:val="1"/>
      <w:numFmt w:val="bullet"/>
      <w:lvlText w:val="o"/>
      <w:lvlJc w:val="left"/>
      <w:pPr>
        <w:ind w:left="5760" w:hanging="360"/>
      </w:pPr>
      <w:rPr>
        <w:rFonts w:ascii="Courier New" w:hAnsi="Courier New" w:cs="Courier New" w:hint="default"/>
      </w:rPr>
    </w:lvl>
    <w:lvl w:ilvl="8" w:tplc="9628E6F2" w:tentative="1">
      <w:start w:val="1"/>
      <w:numFmt w:val="bullet"/>
      <w:lvlText w:val=""/>
      <w:lvlJc w:val="left"/>
      <w:pPr>
        <w:ind w:left="6480" w:hanging="360"/>
      </w:pPr>
      <w:rPr>
        <w:rFonts w:ascii="Wingdings" w:hAnsi="Wingdings" w:hint="default"/>
      </w:rPr>
    </w:lvl>
  </w:abstractNum>
  <w:abstractNum w:abstractNumId="28" w15:restartNumberingAfterBreak="0">
    <w:nsid w:val="0EAB761B"/>
    <w:multiLevelType w:val="hybridMultilevel"/>
    <w:tmpl w:val="7B7CDB68"/>
    <w:lvl w:ilvl="0" w:tplc="0FAC8EA4">
      <w:start w:val="1"/>
      <w:numFmt w:val="bullet"/>
      <w:lvlText w:val=""/>
      <w:lvlJc w:val="left"/>
      <w:pPr>
        <w:ind w:left="720" w:hanging="360"/>
      </w:pPr>
      <w:rPr>
        <w:rFonts w:ascii="Symbol" w:hAnsi="Symbol" w:hint="default"/>
      </w:rPr>
    </w:lvl>
    <w:lvl w:ilvl="1" w:tplc="A3C42C2E" w:tentative="1">
      <w:start w:val="1"/>
      <w:numFmt w:val="bullet"/>
      <w:lvlText w:val="o"/>
      <w:lvlJc w:val="left"/>
      <w:pPr>
        <w:ind w:left="1440" w:hanging="360"/>
      </w:pPr>
      <w:rPr>
        <w:rFonts w:ascii="Courier New" w:hAnsi="Courier New" w:cs="Courier New" w:hint="default"/>
      </w:rPr>
    </w:lvl>
    <w:lvl w:ilvl="2" w:tplc="65F86AC4" w:tentative="1">
      <w:start w:val="1"/>
      <w:numFmt w:val="bullet"/>
      <w:lvlText w:val=""/>
      <w:lvlJc w:val="left"/>
      <w:pPr>
        <w:ind w:left="2160" w:hanging="360"/>
      </w:pPr>
      <w:rPr>
        <w:rFonts w:ascii="Wingdings" w:hAnsi="Wingdings" w:hint="default"/>
      </w:rPr>
    </w:lvl>
    <w:lvl w:ilvl="3" w:tplc="7278C406" w:tentative="1">
      <w:start w:val="1"/>
      <w:numFmt w:val="bullet"/>
      <w:lvlText w:val=""/>
      <w:lvlJc w:val="left"/>
      <w:pPr>
        <w:ind w:left="2880" w:hanging="360"/>
      </w:pPr>
      <w:rPr>
        <w:rFonts w:ascii="Symbol" w:hAnsi="Symbol" w:hint="default"/>
      </w:rPr>
    </w:lvl>
    <w:lvl w:ilvl="4" w:tplc="ABAA2C66" w:tentative="1">
      <w:start w:val="1"/>
      <w:numFmt w:val="bullet"/>
      <w:lvlText w:val="o"/>
      <w:lvlJc w:val="left"/>
      <w:pPr>
        <w:ind w:left="3600" w:hanging="360"/>
      </w:pPr>
      <w:rPr>
        <w:rFonts w:ascii="Courier New" w:hAnsi="Courier New" w:cs="Courier New" w:hint="default"/>
      </w:rPr>
    </w:lvl>
    <w:lvl w:ilvl="5" w:tplc="9B1894EA" w:tentative="1">
      <w:start w:val="1"/>
      <w:numFmt w:val="bullet"/>
      <w:lvlText w:val=""/>
      <w:lvlJc w:val="left"/>
      <w:pPr>
        <w:ind w:left="4320" w:hanging="360"/>
      </w:pPr>
      <w:rPr>
        <w:rFonts w:ascii="Wingdings" w:hAnsi="Wingdings" w:hint="default"/>
      </w:rPr>
    </w:lvl>
    <w:lvl w:ilvl="6" w:tplc="4008FD5E" w:tentative="1">
      <w:start w:val="1"/>
      <w:numFmt w:val="bullet"/>
      <w:lvlText w:val=""/>
      <w:lvlJc w:val="left"/>
      <w:pPr>
        <w:ind w:left="5040" w:hanging="360"/>
      </w:pPr>
      <w:rPr>
        <w:rFonts w:ascii="Symbol" w:hAnsi="Symbol" w:hint="default"/>
      </w:rPr>
    </w:lvl>
    <w:lvl w:ilvl="7" w:tplc="91248194" w:tentative="1">
      <w:start w:val="1"/>
      <w:numFmt w:val="bullet"/>
      <w:lvlText w:val="o"/>
      <w:lvlJc w:val="left"/>
      <w:pPr>
        <w:ind w:left="5760" w:hanging="360"/>
      </w:pPr>
      <w:rPr>
        <w:rFonts w:ascii="Courier New" w:hAnsi="Courier New" w:cs="Courier New" w:hint="default"/>
      </w:rPr>
    </w:lvl>
    <w:lvl w:ilvl="8" w:tplc="A3D83E8A" w:tentative="1">
      <w:start w:val="1"/>
      <w:numFmt w:val="bullet"/>
      <w:lvlText w:val=""/>
      <w:lvlJc w:val="left"/>
      <w:pPr>
        <w:ind w:left="6480" w:hanging="360"/>
      </w:pPr>
      <w:rPr>
        <w:rFonts w:ascii="Wingdings" w:hAnsi="Wingdings" w:hint="default"/>
      </w:rPr>
    </w:lvl>
  </w:abstractNum>
  <w:abstractNum w:abstractNumId="29" w15:restartNumberingAfterBreak="0">
    <w:nsid w:val="0F3755A4"/>
    <w:multiLevelType w:val="hybridMultilevel"/>
    <w:tmpl w:val="42E6D1BC"/>
    <w:lvl w:ilvl="0" w:tplc="38F69220">
      <w:start w:val="1"/>
      <w:numFmt w:val="decimal"/>
      <w:lvlText w:val="%1."/>
      <w:lvlJc w:val="left"/>
      <w:pPr>
        <w:ind w:left="720" w:hanging="360"/>
      </w:pPr>
      <w:rPr>
        <w:rFonts w:hint="default"/>
      </w:rPr>
    </w:lvl>
    <w:lvl w:ilvl="1" w:tplc="7A92ADC2" w:tentative="1">
      <w:start w:val="1"/>
      <w:numFmt w:val="bullet"/>
      <w:lvlText w:val="o"/>
      <w:lvlJc w:val="left"/>
      <w:pPr>
        <w:ind w:left="1440" w:hanging="360"/>
      </w:pPr>
      <w:rPr>
        <w:rFonts w:ascii="Courier New" w:hAnsi="Courier New" w:cs="Courier New" w:hint="default"/>
      </w:rPr>
    </w:lvl>
    <w:lvl w:ilvl="2" w:tplc="83361E3A" w:tentative="1">
      <w:start w:val="1"/>
      <w:numFmt w:val="bullet"/>
      <w:lvlText w:val=""/>
      <w:lvlJc w:val="left"/>
      <w:pPr>
        <w:ind w:left="2160" w:hanging="360"/>
      </w:pPr>
      <w:rPr>
        <w:rFonts w:ascii="Wingdings" w:hAnsi="Wingdings" w:hint="default"/>
      </w:rPr>
    </w:lvl>
    <w:lvl w:ilvl="3" w:tplc="14927E0E" w:tentative="1">
      <w:start w:val="1"/>
      <w:numFmt w:val="bullet"/>
      <w:lvlText w:val=""/>
      <w:lvlJc w:val="left"/>
      <w:pPr>
        <w:ind w:left="2880" w:hanging="360"/>
      </w:pPr>
      <w:rPr>
        <w:rFonts w:ascii="Symbol" w:hAnsi="Symbol" w:hint="default"/>
      </w:rPr>
    </w:lvl>
    <w:lvl w:ilvl="4" w:tplc="68223EA4" w:tentative="1">
      <w:start w:val="1"/>
      <w:numFmt w:val="bullet"/>
      <w:lvlText w:val="o"/>
      <w:lvlJc w:val="left"/>
      <w:pPr>
        <w:ind w:left="3600" w:hanging="360"/>
      </w:pPr>
      <w:rPr>
        <w:rFonts w:ascii="Courier New" w:hAnsi="Courier New" w:cs="Courier New" w:hint="default"/>
      </w:rPr>
    </w:lvl>
    <w:lvl w:ilvl="5" w:tplc="84BA4EAE" w:tentative="1">
      <w:start w:val="1"/>
      <w:numFmt w:val="bullet"/>
      <w:lvlText w:val=""/>
      <w:lvlJc w:val="left"/>
      <w:pPr>
        <w:ind w:left="4320" w:hanging="360"/>
      </w:pPr>
      <w:rPr>
        <w:rFonts w:ascii="Wingdings" w:hAnsi="Wingdings" w:hint="default"/>
      </w:rPr>
    </w:lvl>
    <w:lvl w:ilvl="6" w:tplc="F99ED45E" w:tentative="1">
      <w:start w:val="1"/>
      <w:numFmt w:val="bullet"/>
      <w:lvlText w:val=""/>
      <w:lvlJc w:val="left"/>
      <w:pPr>
        <w:ind w:left="5040" w:hanging="360"/>
      </w:pPr>
      <w:rPr>
        <w:rFonts w:ascii="Symbol" w:hAnsi="Symbol" w:hint="default"/>
      </w:rPr>
    </w:lvl>
    <w:lvl w:ilvl="7" w:tplc="BD4C8FC0" w:tentative="1">
      <w:start w:val="1"/>
      <w:numFmt w:val="bullet"/>
      <w:lvlText w:val="o"/>
      <w:lvlJc w:val="left"/>
      <w:pPr>
        <w:ind w:left="5760" w:hanging="360"/>
      </w:pPr>
      <w:rPr>
        <w:rFonts w:ascii="Courier New" w:hAnsi="Courier New" w:cs="Courier New" w:hint="default"/>
      </w:rPr>
    </w:lvl>
    <w:lvl w:ilvl="8" w:tplc="5D1A1B9E" w:tentative="1">
      <w:start w:val="1"/>
      <w:numFmt w:val="bullet"/>
      <w:lvlText w:val=""/>
      <w:lvlJc w:val="left"/>
      <w:pPr>
        <w:ind w:left="6480" w:hanging="360"/>
      </w:pPr>
      <w:rPr>
        <w:rFonts w:ascii="Wingdings" w:hAnsi="Wingdings" w:hint="default"/>
      </w:rPr>
    </w:lvl>
  </w:abstractNum>
  <w:abstractNum w:abstractNumId="30" w15:restartNumberingAfterBreak="0">
    <w:nsid w:val="111D2D66"/>
    <w:multiLevelType w:val="multilevel"/>
    <w:tmpl w:val="DD628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1831005"/>
    <w:multiLevelType w:val="hybridMultilevel"/>
    <w:tmpl w:val="787A40CA"/>
    <w:lvl w:ilvl="0" w:tplc="3AE6151A">
      <w:start w:val="1"/>
      <w:numFmt w:val="lowerRoman"/>
      <w:lvlText w:val="%1."/>
      <w:lvlJc w:val="right"/>
      <w:pPr>
        <w:ind w:left="720" w:hanging="360"/>
      </w:pPr>
    </w:lvl>
    <w:lvl w:ilvl="1" w:tplc="FE7C7DFC" w:tentative="1">
      <w:start w:val="1"/>
      <w:numFmt w:val="lowerLetter"/>
      <w:lvlText w:val="%2."/>
      <w:lvlJc w:val="left"/>
      <w:pPr>
        <w:ind w:left="1440" w:hanging="360"/>
      </w:pPr>
    </w:lvl>
    <w:lvl w:ilvl="2" w:tplc="A6D854BE" w:tentative="1">
      <w:start w:val="1"/>
      <w:numFmt w:val="lowerRoman"/>
      <w:lvlText w:val="%3."/>
      <w:lvlJc w:val="right"/>
      <w:pPr>
        <w:ind w:left="2160" w:hanging="180"/>
      </w:pPr>
    </w:lvl>
    <w:lvl w:ilvl="3" w:tplc="5FB8AED6" w:tentative="1">
      <w:start w:val="1"/>
      <w:numFmt w:val="decimal"/>
      <w:lvlText w:val="%4."/>
      <w:lvlJc w:val="left"/>
      <w:pPr>
        <w:ind w:left="2880" w:hanging="360"/>
      </w:pPr>
    </w:lvl>
    <w:lvl w:ilvl="4" w:tplc="C36A6486" w:tentative="1">
      <w:start w:val="1"/>
      <w:numFmt w:val="lowerLetter"/>
      <w:lvlText w:val="%5."/>
      <w:lvlJc w:val="left"/>
      <w:pPr>
        <w:ind w:left="3600" w:hanging="360"/>
      </w:pPr>
    </w:lvl>
    <w:lvl w:ilvl="5" w:tplc="FE3E5248" w:tentative="1">
      <w:start w:val="1"/>
      <w:numFmt w:val="lowerRoman"/>
      <w:lvlText w:val="%6."/>
      <w:lvlJc w:val="right"/>
      <w:pPr>
        <w:ind w:left="4320" w:hanging="180"/>
      </w:pPr>
    </w:lvl>
    <w:lvl w:ilvl="6" w:tplc="F3408196" w:tentative="1">
      <w:start w:val="1"/>
      <w:numFmt w:val="decimal"/>
      <w:lvlText w:val="%7."/>
      <w:lvlJc w:val="left"/>
      <w:pPr>
        <w:ind w:left="5040" w:hanging="360"/>
      </w:pPr>
    </w:lvl>
    <w:lvl w:ilvl="7" w:tplc="F5C65846" w:tentative="1">
      <w:start w:val="1"/>
      <w:numFmt w:val="lowerLetter"/>
      <w:lvlText w:val="%8."/>
      <w:lvlJc w:val="left"/>
      <w:pPr>
        <w:ind w:left="5760" w:hanging="360"/>
      </w:pPr>
    </w:lvl>
    <w:lvl w:ilvl="8" w:tplc="EB0851F4" w:tentative="1">
      <w:start w:val="1"/>
      <w:numFmt w:val="lowerRoman"/>
      <w:lvlText w:val="%9."/>
      <w:lvlJc w:val="right"/>
      <w:pPr>
        <w:ind w:left="6480" w:hanging="180"/>
      </w:pPr>
    </w:lvl>
  </w:abstractNum>
  <w:abstractNum w:abstractNumId="32" w15:restartNumberingAfterBreak="0">
    <w:nsid w:val="121D161F"/>
    <w:multiLevelType w:val="hybridMultilevel"/>
    <w:tmpl w:val="B642A872"/>
    <w:lvl w:ilvl="0" w:tplc="DD2A4FEC">
      <w:start w:val="1"/>
      <w:numFmt w:val="bullet"/>
      <w:lvlText w:val=""/>
      <w:lvlJc w:val="left"/>
      <w:pPr>
        <w:ind w:left="720" w:hanging="360"/>
      </w:pPr>
      <w:rPr>
        <w:rFonts w:ascii="Symbol" w:hAnsi="Symbol" w:hint="default"/>
      </w:rPr>
    </w:lvl>
    <w:lvl w:ilvl="1" w:tplc="6D805DB4" w:tentative="1">
      <w:start w:val="1"/>
      <w:numFmt w:val="bullet"/>
      <w:lvlText w:val="o"/>
      <w:lvlJc w:val="left"/>
      <w:pPr>
        <w:ind w:left="1440" w:hanging="360"/>
      </w:pPr>
      <w:rPr>
        <w:rFonts w:ascii="Courier New" w:hAnsi="Courier New" w:cs="Courier New" w:hint="default"/>
      </w:rPr>
    </w:lvl>
    <w:lvl w:ilvl="2" w:tplc="1EDC598E" w:tentative="1">
      <w:start w:val="1"/>
      <w:numFmt w:val="bullet"/>
      <w:lvlText w:val=""/>
      <w:lvlJc w:val="left"/>
      <w:pPr>
        <w:ind w:left="2160" w:hanging="360"/>
      </w:pPr>
      <w:rPr>
        <w:rFonts w:ascii="Wingdings" w:hAnsi="Wingdings" w:hint="default"/>
      </w:rPr>
    </w:lvl>
    <w:lvl w:ilvl="3" w:tplc="F41A4F9A" w:tentative="1">
      <w:start w:val="1"/>
      <w:numFmt w:val="bullet"/>
      <w:lvlText w:val=""/>
      <w:lvlJc w:val="left"/>
      <w:pPr>
        <w:ind w:left="2880" w:hanging="360"/>
      </w:pPr>
      <w:rPr>
        <w:rFonts w:ascii="Symbol" w:hAnsi="Symbol" w:hint="default"/>
      </w:rPr>
    </w:lvl>
    <w:lvl w:ilvl="4" w:tplc="39ACEAE2" w:tentative="1">
      <w:start w:val="1"/>
      <w:numFmt w:val="bullet"/>
      <w:lvlText w:val="o"/>
      <w:lvlJc w:val="left"/>
      <w:pPr>
        <w:ind w:left="3600" w:hanging="360"/>
      </w:pPr>
      <w:rPr>
        <w:rFonts w:ascii="Courier New" w:hAnsi="Courier New" w:cs="Courier New" w:hint="default"/>
      </w:rPr>
    </w:lvl>
    <w:lvl w:ilvl="5" w:tplc="90F6B23A" w:tentative="1">
      <w:start w:val="1"/>
      <w:numFmt w:val="bullet"/>
      <w:lvlText w:val=""/>
      <w:lvlJc w:val="left"/>
      <w:pPr>
        <w:ind w:left="4320" w:hanging="360"/>
      </w:pPr>
      <w:rPr>
        <w:rFonts w:ascii="Wingdings" w:hAnsi="Wingdings" w:hint="default"/>
      </w:rPr>
    </w:lvl>
    <w:lvl w:ilvl="6" w:tplc="DFF42FEA" w:tentative="1">
      <w:start w:val="1"/>
      <w:numFmt w:val="bullet"/>
      <w:lvlText w:val=""/>
      <w:lvlJc w:val="left"/>
      <w:pPr>
        <w:ind w:left="5040" w:hanging="360"/>
      </w:pPr>
      <w:rPr>
        <w:rFonts w:ascii="Symbol" w:hAnsi="Symbol" w:hint="default"/>
      </w:rPr>
    </w:lvl>
    <w:lvl w:ilvl="7" w:tplc="6D7EDFB0" w:tentative="1">
      <w:start w:val="1"/>
      <w:numFmt w:val="bullet"/>
      <w:lvlText w:val="o"/>
      <w:lvlJc w:val="left"/>
      <w:pPr>
        <w:ind w:left="5760" w:hanging="360"/>
      </w:pPr>
      <w:rPr>
        <w:rFonts w:ascii="Courier New" w:hAnsi="Courier New" w:cs="Courier New" w:hint="default"/>
      </w:rPr>
    </w:lvl>
    <w:lvl w:ilvl="8" w:tplc="28243E64" w:tentative="1">
      <w:start w:val="1"/>
      <w:numFmt w:val="bullet"/>
      <w:lvlText w:val=""/>
      <w:lvlJc w:val="left"/>
      <w:pPr>
        <w:ind w:left="6480" w:hanging="360"/>
      </w:pPr>
      <w:rPr>
        <w:rFonts w:ascii="Wingdings" w:hAnsi="Wingdings" w:hint="default"/>
      </w:rPr>
    </w:lvl>
  </w:abstractNum>
  <w:abstractNum w:abstractNumId="33" w15:restartNumberingAfterBreak="0">
    <w:nsid w:val="14C04847"/>
    <w:multiLevelType w:val="multilevel"/>
    <w:tmpl w:val="0746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52559F0"/>
    <w:multiLevelType w:val="multilevel"/>
    <w:tmpl w:val="1AF220BC"/>
    <w:lvl w:ilvl="0">
      <w:start w:val="2"/>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56272FD"/>
    <w:multiLevelType w:val="hybridMultilevel"/>
    <w:tmpl w:val="613483D2"/>
    <w:lvl w:ilvl="0" w:tplc="6AEE8CE6">
      <w:start w:val="1"/>
      <w:numFmt w:val="lowerRoman"/>
      <w:lvlText w:val="%1."/>
      <w:lvlJc w:val="right"/>
      <w:pPr>
        <w:ind w:left="1080" w:hanging="360"/>
      </w:pPr>
    </w:lvl>
    <w:lvl w:ilvl="1" w:tplc="D118FC0A" w:tentative="1">
      <w:start w:val="1"/>
      <w:numFmt w:val="lowerLetter"/>
      <w:lvlText w:val="%2."/>
      <w:lvlJc w:val="left"/>
      <w:pPr>
        <w:ind w:left="1800" w:hanging="360"/>
      </w:pPr>
    </w:lvl>
    <w:lvl w:ilvl="2" w:tplc="A4D897F0" w:tentative="1">
      <w:start w:val="1"/>
      <w:numFmt w:val="lowerRoman"/>
      <w:lvlText w:val="%3."/>
      <w:lvlJc w:val="right"/>
      <w:pPr>
        <w:ind w:left="2520" w:hanging="180"/>
      </w:pPr>
    </w:lvl>
    <w:lvl w:ilvl="3" w:tplc="7BD07FF6" w:tentative="1">
      <w:start w:val="1"/>
      <w:numFmt w:val="decimal"/>
      <w:lvlText w:val="%4."/>
      <w:lvlJc w:val="left"/>
      <w:pPr>
        <w:ind w:left="3240" w:hanging="360"/>
      </w:pPr>
    </w:lvl>
    <w:lvl w:ilvl="4" w:tplc="7EB0926C" w:tentative="1">
      <w:start w:val="1"/>
      <w:numFmt w:val="lowerLetter"/>
      <w:lvlText w:val="%5."/>
      <w:lvlJc w:val="left"/>
      <w:pPr>
        <w:ind w:left="3960" w:hanging="360"/>
      </w:pPr>
    </w:lvl>
    <w:lvl w:ilvl="5" w:tplc="C89C87BE" w:tentative="1">
      <w:start w:val="1"/>
      <w:numFmt w:val="lowerRoman"/>
      <w:lvlText w:val="%6."/>
      <w:lvlJc w:val="right"/>
      <w:pPr>
        <w:ind w:left="4680" w:hanging="180"/>
      </w:pPr>
    </w:lvl>
    <w:lvl w:ilvl="6" w:tplc="EBD27C84" w:tentative="1">
      <w:start w:val="1"/>
      <w:numFmt w:val="decimal"/>
      <w:lvlText w:val="%7."/>
      <w:lvlJc w:val="left"/>
      <w:pPr>
        <w:ind w:left="5400" w:hanging="360"/>
      </w:pPr>
    </w:lvl>
    <w:lvl w:ilvl="7" w:tplc="77E4EF28" w:tentative="1">
      <w:start w:val="1"/>
      <w:numFmt w:val="lowerLetter"/>
      <w:lvlText w:val="%8."/>
      <w:lvlJc w:val="left"/>
      <w:pPr>
        <w:ind w:left="6120" w:hanging="360"/>
      </w:pPr>
    </w:lvl>
    <w:lvl w:ilvl="8" w:tplc="523C26AC" w:tentative="1">
      <w:start w:val="1"/>
      <w:numFmt w:val="lowerRoman"/>
      <w:lvlText w:val="%9."/>
      <w:lvlJc w:val="right"/>
      <w:pPr>
        <w:ind w:left="6840" w:hanging="180"/>
      </w:pPr>
    </w:lvl>
  </w:abstractNum>
  <w:abstractNum w:abstractNumId="36" w15:restartNumberingAfterBreak="0">
    <w:nsid w:val="15E2289E"/>
    <w:multiLevelType w:val="hybridMultilevel"/>
    <w:tmpl w:val="F0EAE682"/>
    <w:lvl w:ilvl="0" w:tplc="2EB2A894">
      <w:start w:val="1"/>
      <w:numFmt w:val="bullet"/>
      <w:lvlText w:val=""/>
      <w:lvlJc w:val="left"/>
      <w:pPr>
        <w:ind w:left="720" w:hanging="360"/>
      </w:pPr>
      <w:rPr>
        <w:rFonts w:ascii="Symbol" w:hAnsi="Symbol" w:hint="default"/>
      </w:rPr>
    </w:lvl>
    <w:lvl w:ilvl="1" w:tplc="ABC8B80A" w:tentative="1">
      <w:start w:val="1"/>
      <w:numFmt w:val="bullet"/>
      <w:lvlText w:val="o"/>
      <w:lvlJc w:val="left"/>
      <w:pPr>
        <w:ind w:left="1440" w:hanging="360"/>
      </w:pPr>
      <w:rPr>
        <w:rFonts w:ascii="Courier New" w:hAnsi="Courier New" w:cs="Courier New" w:hint="default"/>
      </w:rPr>
    </w:lvl>
    <w:lvl w:ilvl="2" w:tplc="08CE38B2" w:tentative="1">
      <w:start w:val="1"/>
      <w:numFmt w:val="bullet"/>
      <w:lvlText w:val=""/>
      <w:lvlJc w:val="left"/>
      <w:pPr>
        <w:ind w:left="2160" w:hanging="360"/>
      </w:pPr>
      <w:rPr>
        <w:rFonts w:ascii="Wingdings" w:hAnsi="Wingdings" w:hint="default"/>
      </w:rPr>
    </w:lvl>
    <w:lvl w:ilvl="3" w:tplc="94167362" w:tentative="1">
      <w:start w:val="1"/>
      <w:numFmt w:val="bullet"/>
      <w:lvlText w:val=""/>
      <w:lvlJc w:val="left"/>
      <w:pPr>
        <w:ind w:left="2880" w:hanging="360"/>
      </w:pPr>
      <w:rPr>
        <w:rFonts w:ascii="Symbol" w:hAnsi="Symbol" w:hint="default"/>
      </w:rPr>
    </w:lvl>
    <w:lvl w:ilvl="4" w:tplc="D618D69A" w:tentative="1">
      <w:start w:val="1"/>
      <w:numFmt w:val="bullet"/>
      <w:lvlText w:val="o"/>
      <w:lvlJc w:val="left"/>
      <w:pPr>
        <w:ind w:left="3600" w:hanging="360"/>
      </w:pPr>
      <w:rPr>
        <w:rFonts w:ascii="Courier New" w:hAnsi="Courier New" w:cs="Courier New" w:hint="default"/>
      </w:rPr>
    </w:lvl>
    <w:lvl w:ilvl="5" w:tplc="8514DCBE" w:tentative="1">
      <w:start w:val="1"/>
      <w:numFmt w:val="bullet"/>
      <w:lvlText w:val=""/>
      <w:lvlJc w:val="left"/>
      <w:pPr>
        <w:ind w:left="4320" w:hanging="360"/>
      </w:pPr>
      <w:rPr>
        <w:rFonts w:ascii="Wingdings" w:hAnsi="Wingdings" w:hint="default"/>
      </w:rPr>
    </w:lvl>
    <w:lvl w:ilvl="6" w:tplc="0200255E" w:tentative="1">
      <w:start w:val="1"/>
      <w:numFmt w:val="bullet"/>
      <w:lvlText w:val=""/>
      <w:lvlJc w:val="left"/>
      <w:pPr>
        <w:ind w:left="5040" w:hanging="360"/>
      </w:pPr>
      <w:rPr>
        <w:rFonts w:ascii="Symbol" w:hAnsi="Symbol" w:hint="default"/>
      </w:rPr>
    </w:lvl>
    <w:lvl w:ilvl="7" w:tplc="143C9072" w:tentative="1">
      <w:start w:val="1"/>
      <w:numFmt w:val="bullet"/>
      <w:lvlText w:val="o"/>
      <w:lvlJc w:val="left"/>
      <w:pPr>
        <w:ind w:left="5760" w:hanging="360"/>
      </w:pPr>
      <w:rPr>
        <w:rFonts w:ascii="Courier New" w:hAnsi="Courier New" w:cs="Courier New" w:hint="default"/>
      </w:rPr>
    </w:lvl>
    <w:lvl w:ilvl="8" w:tplc="E820B32E" w:tentative="1">
      <w:start w:val="1"/>
      <w:numFmt w:val="bullet"/>
      <w:lvlText w:val=""/>
      <w:lvlJc w:val="left"/>
      <w:pPr>
        <w:ind w:left="6480" w:hanging="360"/>
      </w:pPr>
      <w:rPr>
        <w:rFonts w:ascii="Wingdings" w:hAnsi="Wingdings" w:hint="default"/>
      </w:rPr>
    </w:lvl>
  </w:abstractNum>
  <w:abstractNum w:abstractNumId="37" w15:restartNumberingAfterBreak="0">
    <w:nsid w:val="161E3680"/>
    <w:multiLevelType w:val="hybridMultilevel"/>
    <w:tmpl w:val="0746456C"/>
    <w:lvl w:ilvl="0" w:tplc="CB5AE198">
      <w:numFmt w:val="bullet"/>
      <w:lvlText w:val="•"/>
      <w:lvlJc w:val="left"/>
      <w:pPr>
        <w:ind w:left="720" w:hanging="360"/>
      </w:pPr>
      <w:rPr>
        <w:rFonts w:ascii="Aptos" w:eastAsiaTheme="minorHAnsi" w:hAnsi="Aptos" w:cstheme="minorBidi" w:hint="default"/>
      </w:rPr>
    </w:lvl>
    <w:lvl w:ilvl="1" w:tplc="084227CA" w:tentative="1">
      <w:start w:val="1"/>
      <w:numFmt w:val="bullet"/>
      <w:lvlText w:val="o"/>
      <w:lvlJc w:val="left"/>
      <w:pPr>
        <w:ind w:left="1440" w:hanging="360"/>
      </w:pPr>
      <w:rPr>
        <w:rFonts w:ascii="Courier New" w:hAnsi="Courier New" w:cs="Courier New" w:hint="default"/>
      </w:rPr>
    </w:lvl>
    <w:lvl w:ilvl="2" w:tplc="F214A824" w:tentative="1">
      <w:start w:val="1"/>
      <w:numFmt w:val="bullet"/>
      <w:lvlText w:val=""/>
      <w:lvlJc w:val="left"/>
      <w:pPr>
        <w:ind w:left="2160" w:hanging="360"/>
      </w:pPr>
      <w:rPr>
        <w:rFonts w:ascii="Wingdings" w:hAnsi="Wingdings" w:hint="default"/>
      </w:rPr>
    </w:lvl>
    <w:lvl w:ilvl="3" w:tplc="D75ED5A6" w:tentative="1">
      <w:start w:val="1"/>
      <w:numFmt w:val="bullet"/>
      <w:lvlText w:val=""/>
      <w:lvlJc w:val="left"/>
      <w:pPr>
        <w:ind w:left="2880" w:hanging="360"/>
      </w:pPr>
      <w:rPr>
        <w:rFonts w:ascii="Symbol" w:hAnsi="Symbol" w:hint="default"/>
      </w:rPr>
    </w:lvl>
    <w:lvl w:ilvl="4" w:tplc="C2A24428" w:tentative="1">
      <w:start w:val="1"/>
      <w:numFmt w:val="bullet"/>
      <w:lvlText w:val="o"/>
      <w:lvlJc w:val="left"/>
      <w:pPr>
        <w:ind w:left="3600" w:hanging="360"/>
      </w:pPr>
      <w:rPr>
        <w:rFonts w:ascii="Courier New" w:hAnsi="Courier New" w:cs="Courier New" w:hint="default"/>
      </w:rPr>
    </w:lvl>
    <w:lvl w:ilvl="5" w:tplc="FD2639AA" w:tentative="1">
      <w:start w:val="1"/>
      <w:numFmt w:val="bullet"/>
      <w:lvlText w:val=""/>
      <w:lvlJc w:val="left"/>
      <w:pPr>
        <w:ind w:left="4320" w:hanging="360"/>
      </w:pPr>
      <w:rPr>
        <w:rFonts w:ascii="Wingdings" w:hAnsi="Wingdings" w:hint="default"/>
      </w:rPr>
    </w:lvl>
    <w:lvl w:ilvl="6" w:tplc="AB3E0BB0" w:tentative="1">
      <w:start w:val="1"/>
      <w:numFmt w:val="bullet"/>
      <w:lvlText w:val=""/>
      <w:lvlJc w:val="left"/>
      <w:pPr>
        <w:ind w:left="5040" w:hanging="360"/>
      </w:pPr>
      <w:rPr>
        <w:rFonts w:ascii="Symbol" w:hAnsi="Symbol" w:hint="default"/>
      </w:rPr>
    </w:lvl>
    <w:lvl w:ilvl="7" w:tplc="B6CC46F6" w:tentative="1">
      <w:start w:val="1"/>
      <w:numFmt w:val="bullet"/>
      <w:lvlText w:val="o"/>
      <w:lvlJc w:val="left"/>
      <w:pPr>
        <w:ind w:left="5760" w:hanging="360"/>
      </w:pPr>
      <w:rPr>
        <w:rFonts w:ascii="Courier New" w:hAnsi="Courier New" w:cs="Courier New" w:hint="default"/>
      </w:rPr>
    </w:lvl>
    <w:lvl w:ilvl="8" w:tplc="C7523966" w:tentative="1">
      <w:start w:val="1"/>
      <w:numFmt w:val="bullet"/>
      <w:lvlText w:val=""/>
      <w:lvlJc w:val="left"/>
      <w:pPr>
        <w:ind w:left="6480" w:hanging="360"/>
      </w:pPr>
      <w:rPr>
        <w:rFonts w:ascii="Wingdings" w:hAnsi="Wingdings" w:hint="default"/>
      </w:rPr>
    </w:lvl>
  </w:abstractNum>
  <w:abstractNum w:abstractNumId="38" w15:restartNumberingAfterBreak="0">
    <w:nsid w:val="16597801"/>
    <w:multiLevelType w:val="hybridMultilevel"/>
    <w:tmpl w:val="3DA45028"/>
    <w:lvl w:ilvl="0" w:tplc="DCA43B0C">
      <w:start w:val="1"/>
      <w:numFmt w:val="bullet"/>
      <w:lvlText w:val=""/>
      <w:lvlJc w:val="left"/>
      <w:pPr>
        <w:ind w:left="720" w:hanging="360"/>
      </w:pPr>
      <w:rPr>
        <w:rFonts w:ascii="Symbol" w:hAnsi="Symbol" w:hint="default"/>
      </w:rPr>
    </w:lvl>
    <w:lvl w:ilvl="1" w:tplc="C2DC1696" w:tentative="1">
      <w:start w:val="1"/>
      <w:numFmt w:val="bullet"/>
      <w:lvlText w:val="o"/>
      <w:lvlJc w:val="left"/>
      <w:pPr>
        <w:ind w:left="1440" w:hanging="360"/>
      </w:pPr>
      <w:rPr>
        <w:rFonts w:ascii="Courier New" w:hAnsi="Courier New" w:cs="Courier New" w:hint="default"/>
      </w:rPr>
    </w:lvl>
    <w:lvl w:ilvl="2" w:tplc="F9CEEA9C" w:tentative="1">
      <w:start w:val="1"/>
      <w:numFmt w:val="bullet"/>
      <w:lvlText w:val=""/>
      <w:lvlJc w:val="left"/>
      <w:pPr>
        <w:ind w:left="2160" w:hanging="360"/>
      </w:pPr>
      <w:rPr>
        <w:rFonts w:ascii="Wingdings" w:hAnsi="Wingdings" w:hint="default"/>
      </w:rPr>
    </w:lvl>
    <w:lvl w:ilvl="3" w:tplc="E7E03824" w:tentative="1">
      <w:start w:val="1"/>
      <w:numFmt w:val="bullet"/>
      <w:lvlText w:val=""/>
      <w:lvlJc w:val="left"/>
      <w:pPr>
        <w:ind w:left="2880" w:hanging="360"/>
      </w:pPr>
      <w:rPr>
        <w:rFonts w:ascii="Symbol" w:hAnsi="Symbol" w:hint="default"/>
      </w:rPr>
    </w:lvl>
    <w:lvl w:ilvl="4" w:tplc="1226B414" w:tentative="1">
      <w:start w:val="1"/>
      <w:numFmt w:val="bullet"/>
      <w:lvlText w:val="o"/>
      <w:lvlJc w:val="left"/>
      <w:pPr>
        <w:ind w:left="3600" w:hanging="360"/>
      </w:pPr>
      <w:rPr>
        <w:rFonts w:ascii="Courier New" w:hAnsi="Courier New" w:cs="Courier New" w:hint="default"/>
      </w:rPr>
    </w:lvl>
    <w:lvl w:ilvl="5" w:tplc="D51C265E" w:tentative="1">
      <w:start w:val="1"/>
      <w:numFmt w:val="bullet"/>
      <w:lvlText w:val=""/>
      <w:lvlJc w:val="left"/>
      <w:pPr>
        <w:ind w:left="4320" w:hanging="360"/>
      </w:pPr>
      <w:rPr>
        <w:rFonts w:ascii="Wingdings" w:hAnsi="Wingdings" w:hint="default"/>
      </w:rPr>
    </w:lvl>
    <w:lvl w:ilvl="6" w:tplc="6D4A1896" w:tentative="1">
      <w:start w:val="1"/>
      <w:numFmt w:val="bullet"/>
      <w:lvlText w:val=""/>
      <w:lvlJc w:val="left"/>
      <w:pPr>
        <w:ind w:left="5040" w:hanging="360"/>
      </w:pPr>
      <w:rPr>
        <w:rFonts w:ascii="Symbol" w:hAnsi="Symbol" w:hint="default"/>
      </w:rPr>
    </w:lvl>
    <w:lvl w:ilvl="7" w:tplc="AB5A4222" w:tentative="1">
      <w:start w:val="1"/>
      <w:numFmt w:val="bullet"/>
      <w:lvlText w:val="o"/>
      <w:lvlJc w:val="left"/>
      <w:pPr>
        <w:ind w:left="5760" w:hanging="360"/>
      </w:pPr>
      <w:rPr>
        <w:rFonts w:ascii="Courier New" w:hAnsi="Courier New" w:cs="Courier New" w:hint="default"/>
      </w:rPr>
    </w:lvl>
    <w:lvl w:ilvl="8" w:tplc="A4F499AC" w:tentative="1">
      <w:start w:val="1"/>
      <w:numFmt w:val="bullet"/>
      <w:lvlText w:val=""/>
      <w:lvlJc w:val="left"/>
      <w:pPr>
        <w:ind w:left="6480" w:hanging="360"/>
      </w:pPr>
      <w:rPr>
        <w:rFonts w:ascii="Wingdings" w:hAnsi="Wingdings" w:hint="default"/>
      </w:rPr>
    </w:lvl>
  </w:abstractNum>
  <w:abstractNum w:abstractNumId="39" w15:restartNumberingAfterBreak="0">
    <w:nsid w:val="16BC58C6"/>
    <w:multiLevelType w:val="hybridMultilevel"/>
    <w:tmpl w:val="EDB289A6"/>
    <w:lvl w:ilvl="0" w:tplc="6734B556">
      <w:start w:val="1"/>
      <w:numFmt w:val="bullet"/>
      <w:lvlText w:val=""/>
      <w:lvlJc w:val="left"/>
      <w:pPr>
        <w:ind w:left="720" w:hanging="360"/>
      </w:pPr>
      <w:rPr>
        <w:rFonts w:ascii="Symbol" w:hAnsi="Symbol" w:hint="default"/>
      </w:rPr>
    </w:lvl>
    <w:lvl w:ilvl="1" w:tplc="2722A8BC" w:tentative="1">
      <w:start w:val="1"/>
      <w:numFmt w:val="bullet"/>
      <w:lvlText w:val="o"/>
      <w:lvlJc w:val="left"/>
      <w:pPr>
        <w:ind w:left="1440" w:hanging="360"/>
      </w:pPr>
      <w:rPr>
        <w:rFonts w:ascii="Courier New" w:hAnsi="Courier New" w:cs="Courier New" w:hint="default"/>
      </w:rPr>
    </w:lvl>
    <w:lvl w:ilvl="2" w:tplc="C99E2B68" w:tentative="1">
      <w:start w:val="1"/>
      <w:numFmt w:val="bullet"/>
      <w:lvlText w:val=""/>
      <w:lvlJc w:val="left"/>
      <w:pPr>
        <w:ind w:left="2160" w:hanging="360"/>
      </w:pPr>
      <w:rPr>
        <w:rFonts w:ascii="Wingdings" w:hAnsi="Wingdings" w:hint="default"/>
      </w:rPr>
    </w:lvl>
    <w:lvl w:ilvl="3" w:tplc="B1FA6A48" w:tentative="1">
      <w:start w:val="1"/>
      <w:numFmt w:val="bullet"/>
      <w:lvlText w:val=""/>
      <w:lvlJc w:val="left"/>
      <w:pPr>
        <w:ind w:left="2880" w:hanging="360"/>
      </w:pPr>
      <w:rPr>
        <w:rFonts w:ascii="Symbol" w:hAnsi="Symbol" w:hint="default"/>
      </w:rPr>
    </w:lvl>
    <w:lvl w:ilvl="4" w:tplc="AAC00F58" w:tentative="1">
      <w:start w:val="1"/>
      <w:numFmt w:val="bullet"/>
      <w:lvlText w:val="o"/>
      <w:lvlJc w:val="left"/>
      <w:pPr>
        <w:ind w:left="3600" w:hanging="360"/>
      </w:pPr>
      <w:rPr>
        <w:rFonts w:ascii="Courier New" w:hAnsi="Courier New" w:cs="Courier New" w:hint="default"/>
      </w:rPr>
    </w:lvl>
    <w:lvl w:ilvl="5" w:tplc="0E74F590" w:tentative="1">
      <w:start w:val="1"/>
      <w:numFmt w:val="bullet"/>
      <w:lvlText w:val=""/>
      <w:lvlJc w:val="left"/>
      <w:pPr>
        <w:ind w:left="4320" w:hanging="360"/>
      </w:pPr>
      <w:rPr>
        <w:rFonts w:ascii="Wingdings" w:hAnsi="Wingdings" w:hint="default"/>
      </w:rPr>
    </w:lvl>
    <w:lvl w:ilvl="6" w:tplc="5426BC80" w:tentative="1">
      <w:start w:val="1"/>
      <w:numFmt w:val="bullet"/>
      <w:lvlText w:val=""/>
      <w:lvlJc w:val="left"/>
      <w:pPr>
        <w:ind w:left="5040" w:hanging="360"/>
      </w:pPr>
      <w:rPr>
        <w:rFonts w:ascii="Symbol" w:hAnsi="Symbol" w:hint="default"/>
      </w:rPr>
    </w:lvl>
    <w:lvl w:ilvl="7" w:tplc="317CEC36" w:tentative="1">
      <w:start w:val="1"/>
      <w:numFmt w:val="bullet"/>
      <w:lvlText w:val="o"/>
      <w:lvlJc w:val="left"/>
      <w:pPr>
        <w:ind w:left="5760" w:hanging="360"/>
      </w:pPr>
      <w:rPr>
        <w:rFonts w:ascii="Courier New" w:hAnsi="Courier New" w:cs="Courier New" w:hint="default"/>
      </w:rPr>
    </w:lvl>
    <w:lvl w:ilvl="8" w:tplc="71705DE0" w:tentative="1">
      <w:start w:val="1"/>
      <w:numFmt w:val="bullet"/>
      <w:lvlText w:val=""/>
      <w:lvlJc w:val="left"/>
      <w:pPr>
        <w:ind w:left="6480" w:hanging="360"/>
      </w:pPr>
      <w:rPr>
        <w:rFonts w:ascii="Wingdings" w:hAnsi="Wingdings" w:hint="default"/>
      </w:rPr>
    </w:lvl>
  </w:abstractNum>
  <w:abstractNum w:abstractNumId="40" w15:restartNumberingAfterBreak="0">
    <w:nsid w:val="17221E7D"/>
    <w:multiLevelType w:val="multilevel"/>
    <w:tmpl w:val="CB9C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7E902E0"/>
    <w:multiLevelType w:val="hybridMultilevel"/>
    <w:tmpl w:val="17F45A5C"/>
    <w:lvl w:ilvl="0" w:tplc="C2748290">
      <w:start w:val="1"/>
      <w:numFmt w:val="decimal"/>
      <w:lvlText w:val="(%1)"/>
      <w:lvlJc w:val="left"/>
      <w:pPr>
        <w:ind w:left="720" w:hanging="360"/>
      </w:pPr>
      <w:rPr>
        <w:rFonts w:hint="default"/>
      </w:rPr>
    </w:lvl>
    <w:lvl w:ilvl="1" w:tplc="73B2CE30">
      <w:start w:val="1"/>
      <w:numFmt w:val="decimal"/>
      <w:lvlText w:val="(%2)"/>
      <w:lvlJc w:val="left"/>
      <w:pPr>
        <w:ind w:left="1440" w:hanging="360"/>
      </w:pPr>
      <w:rPr>
        <w:rFonts w:hint="default"/>
      </w:rPr>
    </w:lvl>
    <w:lvl w:ilvl="2" w:tplc="A46C6934" w:tentative="1">
      <w:start w:val="1"/>
      <w:numFmt w:val="lowerRoman"/>
      <w:lvlText w:val="%3."/>
      <w:lvlJc w:val="right"/>
      <w:pPr>
        <w:ind w:left="2160" w:hanging="180"/>
      </w:pPr>
    </w:lvl>
    <w:lvl w:ilvl="3" w:tplc="665A181A" w:tentative="1">
      <w:start w:val="1"/>
      <w:numFmt w:val="decimal"/>
      <w:lvlText w:val="%4."/>
      <w:lvlJc w:val="left"/>
      <w:pPr>
        <w:ind w:left="2880" w:hanging="360"/>
      </w:pPr>
    </w:lvl>
    <w:lvl w:ilvl="4" w:tplc="2222FCA0" w:tentative="1">
      <w:start w:val="1"/>
      <w:numFmt w:val="lowerLetter"/>
      <w:lvlText w:val="%5."/>
      <w:lvlJc w:val="left"/>
      <w:pPr>
        <w:ind w:left="3600" w:hanging="360"/>
      </w:pPr>
    </w:lvl>
    <w:lvl w:ilvl="5" w:tplc="46E2B1C6" w:tentative="1">
      <w:start w:val="1"/>
      <w:numFmt w:val="lowerRoman"/>
      <w:lvlText w:val="%6."/>
      <w:lvlJc w:val="right"/>
      <w:pPr>
        <w:ind w:left="4320" w:hanging="180"/>
      </w:pPr>
    </w:lvl>
    <w:lvl w:ilvl="6" w:tplc="8B58545C" w:tentative="1">
      <w:start w:val="1"/>
      <w:numFmt w:val="decimal"/>
      <w:lvlText w:val="%7."/>
      <w:lvlJc w:val="left"/>
      <w:pPr>
        <w:ind w:left="5040" w:hanging="360"/>
      </w:pPr>
    </w:lvl>
    <w:lvl w:ilvl="7" w:tplc="C68A494A" w:tentative="1">
      <w:start w:val="1"/>
      <w:numFmt w:val="lowerLetter"/>
      <w:lvlText w:val="%8."/>
      <w:lvlJc w:val="left"/>
      <w:pPr>
        <w:ind w:left="5760" w:hanging="360"/>
      </w:pPr>
    </w:lvl>
    <w:lvl w:ilvl="8" w:tplc="2FB6E0AA" w:tentative="1">
      <w:start w:val="1"/>
      <w:numFmt w:val="lowerRoman"/>
      <w:lvlText w:val="%9."/>
      <w:lvlJc w:val="right"/>
      <w:pPr>
        <w:ind w:left="6480" w:hanging="180"/>
      </w:pPr>
    </w:lvl>
  </w:abstractNum>
  <w:abstractNum w:abstractNumId="42" w15:restartNumberingAfterBreak="0">
    <w:nsid w:val="19087078"/>
    <w:multiLevelType w:val="hybridMultilevel"/>
    <w:tmpl w:val="08760672"/>
    <w:lvl w:ilvl="0" w:tplc="F43E786C">
      <w:start w:val="1"/>
      <w:numFmt w:val="bullet"/>
      <w:lvlText w:val=""/>
      <w:lvlJc w:val="left"/>
      <w:pPr>
        <w:ind w:left="720" w:hanging="360"/>
      </w:pPr>
      <w:rPr>
        <w:rFonts w:ascii="Symbol" w:hAnsi="Symbol" w:hint="default"/>
      </w:rPr>
    </w:lvl>
    <w:lvl w:ilvl="1" w:tplc="513616D2" w:tentative="1">
      <w:start w:val="1"/>
      <w:numFmt w:val="bullet"/>
      <w:lvlText w:val="o"/>
      <w:lvlJc w:val="left"/>
      <w:pPr>
        <w:ind w:left="1440" w:hanging="360"/>
      </w:pPr>
      <w:rPr>
        <w:rFonts w:ascii="Courier New" w:hAnsi="Courier New" w:cs="Courier New" w:hint="default"/>
      </w:rPr>
    </w:lvl>
    <w:lvl w:ilvl="2" w:tplc="BFF812E0" w:tentative="1">
      <w:start w:val="1"/>
      <w:numFmt w:val="bullet"/>
      <w:lvlText w:val=""/>
      <w:lvlJc w:val="left"/>
      <w:pPr>
        <w:ind w:left="2160" w:hanging="360"/>
      </w:pPr>
      <w:rPr>
        <w:rFonts w:ascii="Wingdings" w:hAnsi="Wingdings" w:hint="default"/>
      </w:rPr>
    </w:lvl>
    <w:lvl w:ilvl="3" w:tplc="62D2A240" w:tentative="1">
      <w:start w:val="1"/>
      <w:numFmt w:val="bullet"/>
      <w:lvlText w:val=""/>
      <w:lvlJc w:val="left"/>
      <w:pPr>
        <w:ind w:left="2880" w:hanging="360"/>
      </w:pPr>
      <w:rPr>
        <w:rFonts w:ascii="Symbol" w:hAnsi="Symbol" w:hint="default"/>
      </w:rPr>
    </w:lvl>
    <w:lvl w:ilvl="4" w:tplc="115A2912" w:tentative="1">
      <w:start w:val="1"/>
      <w:numFmt w:val="bullet"/>
      <w:lvlText w:val="o"/>
      <w:lvlJc w:val="left"/>
      <w:pPr>
        <w:ind w:left="3600" w:hanging="360"/>
      </w:pPr>
      <w:rPr>
        <w:rFonts w:ascii="Courier New" w:hAnsi="Courier New" w:cs="Courier New" w:hint="default"/>
      </w:rPr>
    </w:lvl>
    <w:lvl w:ilvl="5" w:tplc="1374BD2A" w:tentative="1">
      <w:start w:val="1"/>
      <w:numFmt w:val="bullet"/>
      <w:lvlText w:val=""/>
      <w:lvlJc w:val="left"/>
      <w:pPr>
        <w:ind w:left="4320" w:hanging="360"/>
      </w:pPr>
      <w:rPr>
        <w:rFonts w:ascii="Wingdings" w:hAnsi="Wingdings" w:hint="default"/>
      </w:rPr>
    </w:lvl>
    <w:lvl w:ilvl="6" w:tplc="AEBE3372" w:tentative="1">
      <w:start w:val="1"/>
      <w:numFmt w:val="bullet"/>
      <w:lvlText w:val=""/>
      <w:lvlJc w:val="left"/>
      <w:pPr>
        <w:ind w:left="5040" w:hanging="360"/>
      </w:pPr>
      <w:rPr>
        <w:rFonts w:ascii="Symbol" w:hAnsi="Symbol" w:hint="default"/>
      </w:rPr>
    </w:lvl>
    <w:lvl w:ilvl="7" w:tplc="0156B622" w:tentative="1">
      <w:start w:val="1"/>
      <w:numFmt w:val="bullet"/>
      <w:lvlText w:val="o"/>
      <w:lvlJc w:val="left"/>
      <w:pPr>
        <w:ind w:left="5760" w:hanging="360"/>
      </w:pPr>
      <w:rPr>
        <w:rFonts w:ascii="Courier New" w:hAnsi="Courier New" w:cs="Courier New" w:hint="default"/>
      </w:rPr>
    </w:lvl>
    <w:lvl w:ilvl="8" w:tplc="A8E4E5B2" w:tentative="1">
      <w:start w:val="1"/>
      <w:numFmt w:val="bullet"/>
      <w:lvlText w:val=""/>
      <w:lvlJc w:val="left"/>
      <w:pPr>
        <w:ind w:left="6480" w:hanging="360"/>
      </w:pPr>
      <w:rPr>
        <w:rFonts w:ascii="Wingdings" w:hAnsi="Wingdings" w:hint="default"/>
      </w:rPr>
    </w:lvl>
  </w:abstractNum>
  <w:abstractNum w:abstractNumId="43" w15:restartNumberingAfterBreak="0">
    <w:nsid w:val="19C7264A"/>
    <w:multiLevelType w:val="hybridMultilevel"/>
    <w:tmpl w:val="A2AC3BCE"/>
    <w:lvl w:ilvl="0" w:tplc="0040D6C6">
      <w:start w:val="1"/>
      <w:numFmt w:val="decimal"/>
      <w:lvlText w:val="%1."/>
      <w:lvlJc w:val="left"/>
      <w:pPr>
        <w:ind w:left="720" w:hanging="360"/>
      </w:pPr>
    </w:lvl>
    <w:lvl w:ilvl="1" w:tplc="F104BBBA" w:tentative="1">
      <w:start w:val="1"/>
      <w:numFmt w:val="lowerLetter"/>
      <w:lvlText w:val="%2."/>
      <w:lvlJc w:val="left"/>
      <w:pPr>
        <w:ind w:left="1440" w:hanging="360"/>
      </w:pPr>
    </w:lvl>
    <w:lvl w:ilvl="2" w:tplc="76A4DF3E" w:tentative="1">
      <w:start w:val="1"/>
      <w:numFmt w:val="lowerRoman"/>
      <w:lvlText w:val="%3."/>
      <w:lvlJc w:val="right"/>
      <w:pPr>
        <w:ind w:left="2160" w:hanging="180"/>
      </w:pPr>
    </w:lvl>
    <w:lvl w:ilvl="3" w:tplc="0D32760A" w:tentative="1">
      <w:start w:val="1"/>
      <w:numFmt w:val="decimal"/>
      <w:lvlText w:val="%4."/>
      <w:lvlJc w:val="left"/>
      <w:pPr>
        <w:ind w:left="2880" w:hanging="360"/>
      </w:pPr>
    </w:lvl>
    <w:lvl w:ilvl="4" w:tplc="FC62E228" w:tentative="1">
      <w:start w:val="1"/>
      <w:numFmt w:val="lowerLetter"/>
      <w:lvlText w:val="%5."/>
      <w:lvlJc w:val="left"/>
      <w:pPr>
        <w:ind w:left="3600" w:hanging="360"/>
      </w:pPr>
    </w:lvl>
    <w:lvl w:ilvl="5" w:tplc="C1C415C6" w:tentative="1">
      <w:start w:val="1"/>
      <w:numFmt w:val="lowerRoman"/>
      <w:lvlText w:val="%6."/>
      <w:lvlJc w:val="right"/>
      <w:pPr>
        <w:ind w:left="4320" w:hanging="180"/>
      </w:pPr>
    </w:lvl>
    <w:lvl w:ilvl="6" w:tplc="8D324E10" w:tentative="1">
      <w:start w:val="1"/>
      <w:numFmt w:val="decimal"/>
      <w:lvlText w:val="%7."/>
      <w:lvlJc w:val="left"/>
      <w:pPr>
        <w:ind w:left="5040" w:hanging="360"/>
      </w:pPr>
    </w:lvl>
    <w:lvl w:ilvl="7" w:tplc="2E8C407A" w:tentative="1">
      <w:start w:val="1"/>
      <w:numFmt w:val="lowerLetter"/>
      <w:lvlText w:val="%8."/>
      <w:lvlJc w:val="left"/>
      <w:pPr>
        <w:ind w:left="5760" w:hanging="360"/>
      </w:pPr>
    </w:lvl>
    <w:lvl w:ilvl="8" w:tplc="F9D4E8B6" w:tentative="1">
      <w:start w:val="1"/>
      <w:numFmt w:val="lowerRoman"/>
      <w:lvlText w:val="%9."/>
      <w:lvlJc w:val="right"/>
      <w:pPr>
        <w:ind w:left="6480" w:hanging="180"/>
      </w:pPr>
    </w:lvl>
  </w:abstractNum>
  <w:abstractNum w:abstractNumId="44" w15:restartNumberingAfterBreak="0">
    <w:nsid w:val="19D371F8"/>
    <w:multiLevelType w:val="hybridMultilevel"/>
    <w:tmpl w:val="2CF4DFB8"/>
    <w:lvl w:ilvl="0" w:tplc="6EFAF536">
      <w:start w:val="1"/>
      <w:numFmt w:val="bullet"/>
      <w:lvlText w:val=""/>
      <w:lvlJc w:val="left"/>
      <w:pPr>
        <w:ind w:left="720" w:hanging="360"/>
      </w:pPr>
      <w:rPr>
        <w:rFonts w:ascii="Symbol" w:hAnsi="Symbol" w:hint="default"/>
      </w:rPr>
    </w:lvl>
    <w:lvl w:ilvl="1" w:tplc="D1E277FA" w:tentative="1">
      <w:start w:val="1"/>
      <w:numFmt w:val="bullet"/>
      <w:lvlText w:val="o"/>
      <w:lvlJc w:val="left"/>
      <w:pPr>
        <w:ind w:left="1440" w:hanging="360"/>
      </w:pPr>
      <w:rPr>
        <w:rFonts w:ascii="Courier New" w:hAnsi="Courier New" w:cs="Courier New" w:hint="default"/>
      </w:rPr>
    </w:lvl>
    <w:lvl w:ilvl="2" w:tplc="579C5B78" w:tentative="1">
      <w:start w:val="1"/>
      <w:numFmt w:val="bullet"/>
      <w:lvlText w:val=""/>
      <w:lvlJc w:val="left"/>
      <w:pPr>
        <w:ind w:left="2160" w:hanging="360"/>
      </w:pPr>
      <w:rPr>
        <w:rFonts w:ascii="Wingdings" w:hAnsi="Wingdings" w:hint="default"/>
      </w:rPr>
    </w:lvl>
    <w:lvl w:ilvl="3" w:tplc="9E58351A" w:tentative="1">
      <w:start w:val="1"/>
      <w:numFmt w:val="bullet"/>
      <w:lvlText w:val=""/>
      <w:lvlJc w:val="left"/>
      <w:pPr>
        <w:ind w:left="2880" w:hanging="360"/>
      </w:pPr>
      <w:rPr>
        <w:rFonts w:ascii="Symbol" w:hAnsi="Symbol" w:hint="default"/>
      </w:rPr>
    </w:lvl>
    <w:lvl w:ilvl="4" w:tplc="9F3AFD28" w:tentative="1">
      <w:start w:val="1"/>
      <w:numFmt w:val="bullet"/>
      <w:lvlText w:val="o"/>
      <w:lvlJc w:val="left"/>
      <w:pPr>
        <w:ind w:left="3600" w:hanging="360"/>
      </w:pPr>
      <w:rPr>
        <w:rFonts w:ascii="Courier New" w:hAnsi="Courier New" w:cs="Courier New" w:hint="default"/>
      </w:rPr>
    </w:lvl>
    <w:lvl w:ilvl="5" w:tplc="7D9AFA84" w:tentative="1">
      <w:start w:val="1"/>
      <w:numFmt w:val="bullet"/>
      <w:lvlText w:val=""/>
      <w:lvlJc w:val="left"/>
      <w:pPr>
        <w:ind w:left="4320" w:hanging="360"/>
      </w:pPr>
      <w:rPr>
        <w:rFonts w:ascii="Wingdings" w:hAnsi="Wingdings" w:hint="default"/>
      </w:rPr>
    </w:lvl>
    <w:lvl w:ilvl="6" w:tplc="4372F7CE" w:tentative="1">
      <w:start w:val="1"/>
      <w:numFmt w:val="bullet"/>
      <w:lvlText w:val=""/>
      <w:lvlJc w:val="left"/>
      <w:pPr>
        <w:ind w:left="5040" w:hanging="360"/>
      </w:pPr>
      <w:rPr>
        <w:rFonts w:ascii="Symbol" w:hAnsi="Symbol" w:hint="default"/>
      </w:rPr>
    </w:lvl>
    <w:lvl w:ilvl="7" w:tplc="5F50EB9A" w:tentative="1">
      <w:start w:val="1"/>
      <w:numFmt w:val="bullet"/>
      <w:lvlText w:val="o"/>
      <w:lvlJc w:val="left"/>
      <w:pPr>
        <w:ind w:left="5760" w:hanging="360"/>
      </w:pPr>
      <w:rPr>
        <w:rFonts w:ascii="Courier New" w:hAnsi="Courier New" w:cs="Courier New" w:hint="default"/>
      </w:rPr>
    </w:lvl>
    <w:lvl w:ilvl="8" w:tplc="2182DBF8" w:tentative="1">
      <w:start w:val="1"/>
      <w:numFmt w:val="bullet"/>
      <w:lvlText w:val=""/>
      <w:lvlJc w:val="left"/>
      <w:pPr>
        <w:ind w:left="6480" w:hanging="360"/>
      </w:pPr>
      <w:rPr>
        <w:rFonts w:ascii="Wingdings" w:hAnsi="Wingdings" w:hint="default"/>
      </w:rPr>
    </w:lvl>
  </w:abstractNum>
  <w:abstractNum w:abstractNumId="45" w15:restartNumberingAfterBreak="0">
    <w:nsid w:val="19E04EEC"/>
    <w:multiLevelType w:val="multilevel"/>
    <w:tmpl w:val="1AF220BC"/>
    <w:lvl w:ilvl="0">
      <w:start w:val="3"/>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CBE6A37"/>
    <w:multiLevelType w:val="hybridMultilevel"/>
    <w:tmpl w:val="20E417BA"/>
    <w:lvl w:ilvl="0" w:tplc="8E98E650">
      <w:start w:val="1"/>
      <w:numFmt w:val="bullet"/>
      <w:lvlText w:val=""/>
      <w:lvlJc w:val="left"/>
      <w:pPr>
        <w:ind w:left="720" w:hanging="360"/>
      </w:pPr>
      <w:rPr>
        <w:rFonts w:ascii="Symbol" w:hAnsi="Symbol" w:hint="default"/>
      </w:rPr>
    </w:lvl>
    <w:lvl w:ilvl="1" w:tplc="137E1C9C">
      <w:start w:val="1"/>
      <w:numFmt w:val="bullet"/>
      <w:lvlText w:val="o"/>
      <w:lvlJc w:val="left"/>
      <w:pPr>
        <w:ind w:left="1440" w:hanging="360"/>
      </w:pPr>
      <w:rPr>
        <w:rFonts w:ascii="Courier New" w:hAnsi="Courier New" w:cs="Courier New" w:hint="default"/>
      </w:rPr>
    </w:lvl>
    <w:lvl w:ilvl="2" w:tplc="E1E23300" w:tentative="1">
      <w:start w:val="1"/>
      <w:numFmt w:val="bullet"/>
      <w:lvlText w:val=""/>
      <w:lvlJc w:val="left"/>
      <w:pPr>
        <w:ind w:left="2160" w:hanging="360"/>
      </w:pPr>
      <w:rPr>
        <w:rFonts w:ascii="Wingdings" w:hAnsi="Wingdings" w:hint="default"/>
      </w:rPr>
    </w:lvl>
    <w:lvl w:ilvl="3" w:tplc="ED00D75C" w:tentative="1">
      <w:start w:val="1"/>
      <w:numFmt w:val="bullet"/>
      <w:lvlText w:val=""/>
      <w:lvlJc w:val="left"/>
      <w:pPr>
        <w:ind w:left="2880" w:hanging="360"/>
      </w:pPr>
      <w:rPr>
        <w:rFonts w:ascii="Symbol" w:hAnsi="Symbol" w:hint="default"/>
      </w:rPr>
    </w:lvl>
    <w:lvl w:ilvl="4" w:tplc="7824705C" w:tentative="1">
      <w:start w:val="1"/>
      <w:numFmt w:val="bullet"/>
      <w:lvlText w:val="o"/>
      <w:lvlJc w:val="left"/>
      <w:pPr>
        <w:ind w:left="3600" w:hanging="360"/>
      </w:pPr>
      <w:rPr>
        <w:rFonts w:ascii="Courier New" w:hAnsi="Courier New" w:cs="Courier New" w:hint="default"/>
      </w:rPr>
    </w:lvl>
    <w:lvl w:ilvl="5" w:tplc="069848D8" w:tentative="1">
      <w:start w:val="1"/>
      <w:numFmt w:val="bullet"/>
      <w:lvlText w:val=""/>
      <w:lvlJc w:val="left"/>
      <w:pPr>
        <w:ind w:left="4320" w:hanging="360"/>
      </w:pPr>
      <w:rPr>
        <w:rFonts w:ascii="Wingdings" w:hAnsi="Wingdings" w:hint="default"/>
      </w:rPr>
    </w:lvl>
    <w:lvl w:ilvl="6" w:tplc="D7DEF2C2" w:tentative="1">
      <w:start w:val="1"/>
      <w:numFmt w:val="bullet"/>
      <w:lvlText w:val=""/>
      <w:lvlJc w:val="left"/>
      <w:pPr>
        <w:ind w:left="5040" w:hanging="360"/>
      </w:pPr>
      <w:rPr>
        <w:rFonts w:ascii="Symbol" w:hAnsi="Symbol" w:hint="default"/>
      </w:rPr>
    </w:lvl>
    <w:lvl w:ilvl="7" w:tplc="9ABCC16A" w:tentative="1">
      <w:start w:val="1"/>
      <w:numFmt w:val="bullet"/>
      <w:lvlText w:val="o"/>
      <w:lvlJc w:val="left"/>
      <w:pPr>
        <w:ind w:left="5760" w:hanging="360"/>
      </w:pPr>
      <w:rPr>
        <w:rFonts w:ascii="Courier New" w:hAnsi="Courier New" w:cs="Courier New" w:hint="default"/>
      </w:rPr>
    </w:lvl>
    <w:lvl w:ilvl="8" w:tplc="90FCBE26" w:tentative="1">
      <w:start w:val="1"/>
      <w:numFmt w:val="bullet"/>
      <w:lvlText w:val=""/>
      <w:lvlJc w:val="left"/>
      <w:pPr>
        <w:ind w:left="6480" w:hanging="360"/>
      </w:pPr>
      <w:rPr>
        <w:rFonts w:ascii="Wingdings" w:hAnsi="Wingdings" w:hint="default"/>
      </w:rPr>
    </w:lvl>
  </w:abstractNum>
  <w:abstractNum w:abstractNumId="47" w15:restartNumberingAfterBreak="0">
    <w:nsid w:val="1CD95796"/>
    <w:multiLevelType w:val="multilevel"/>
    <w:tmpl w:val="D77E9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CFF1463"/>
    <w:multiLevelType w:val="hybridMultilevel"/>
    <w:tmpl w:val="865854AC"/>
    <w:lvl w:ilvl="0" w:tplc="3B685AAE">
      <w:start w:val="1"/>
      <w:numFmt w:val="bullet"/>
      <w:lvlText w:val=""/>
      <w:lvlJc w:val="left"/>
      <w:pPr>
        <w:ind w:left="720" w:hanging="360"/>
      </w:pPr>
      <w:rPr>
        <w:rFonts w:ascii="Symbol" w:hAnsi="Symbol" w:hint="default"/>
      </w:rPr>
    </w:lvl>
    <w:lvl w:ilvl="1" w:tplc="47760446" w:tentative="1">
      <w:start w:val="1"/>
      <w:numFmt w:val="bullet"/>
      <w:lvlText w:val="o"/>
      <w:lvlJc w:val="left"/>
      <w:pPr>
        <w:ind w:left="1440" w:hanging="360"/>
      </w:pPr>
      <w:rPr>
        <w:rFonts w:ascii="Courier New" w:hAnsi="Courier New" w:cs="Courier New" w:hint="default"/>
      </w:rPr>
    </w:lvl>
    <w:lvl w:ilvl="2" w:tplc="2C844978" w:tentative="1">
      <w:start w:val="1"/>
      <w:numFmt w:val="bullet"/>
      <w:lvlText w:val=""/>
      <w:lvlJc w:val="left"/>
      <w:pPr>
        <w:ind w:left="2160" w:hanging="360"/>
      </w:pPr>
      <w:rPr>
        <w:rFonts w:ascii="Wingdings" w:hAnsi="Wingdings" w:hint="default"/>
      </w:rPr>
    </w:lvl>
    <w:lvl w:ilvl="3" w:tplc="04AA5A0C" w:tentative="1">
      <w:start w:val="1"/>
      <w:numFmt w:val="bullet"/>
      <w:lvlText w:val=""/>
      <w:lvlJc w:val="left"/>
      <w:pPr>
        <w:ind w:left="2880" w:hanging="360"/>
      </w:pPr>
      <w:rPr>
        <w:rFonts w:ascii="Symbol" w:hAnsi="Symbol" w:hint="default"/>
      </w:rPr>
    </w:lvl>
    <w:lvl w:ilvl="4" w:tplc="EAF8C2B6" w:tentative="1">
      <w:start w:val="1"/>
      <w:numFmt w:val="bullet"/>
      <w:lvlText w:val="o"/>
      <w:lvlJc w:val="left"/>
      <w:pPr>
        <w:ind w:left="3600" w:hanging="360"/>
      </w:pPr>
      <w:rPr>
        <w:rFonts w:ascii="Courier New" w:hAnsi="Courier New" w:cs="Courier New" w:hint="default"/>
      </w:rPr>
    </w:lvl>
    <w:lvl w:ilvl="5" w:tplc="30B05A8E" w:tentative="1">
      <w:start w:val="1"/>
      <w:numFmt w:val="bullet"/>
      <w:lvlText w:val=""/>
      <w:lvlJc w:val="left"/>
      <w:pPr>
        <w:ind w:left="4320" w:hanging="360"/>
      </w:pPr>
      <w:rPr>
        <w:rFonts w:ascii="Wingdings" w:hAnsi="Wingdings" w:hint="default"/>
      </w:rPr>
    </w:lvl>
    <w:lvl w:ilvl="6" w:tplc="5EB0EB14" w:tentative="1">
      <w:start w:val="1"/>
      <w:numFmt w:val="bullet"/>
      <w:lvlText w:val=""/>
      <w:lvlJc w:val="left"/>
      <w:pPr>
        <w:ind w:left="5040" w:hanging="360"/>
      </w:pPr>
      <w:rPr>
        <w:rFonts w:ascii="Symbol" w:hAnsi="Symbol" w:hint="default"/>
      </w:rPr>
    </w:lvl>
    <w:lvl w:ilvl="7" w:tplc="DE88A532" w:tentative="1">
      <w:start w:val="1"/>
      <w:numFmt w:val="bullet"/>
      <w:lvlText w:val="o"/>
      <w:lvlJc w:val="left"/>
      <w:pPr>
        <w:ind w:left="5760" w:hanging="360"/>
      </w:pPr>
      <w:rPr>
        <w:rFonts w:ascii="Courier New" w:hAnsi="Courier New" w:cs="Courier New" w:hint="default"/>
      </w:rPr>
    </w:lvl>
    <w:lvl w:ilvl="8" w:tplc="FE06D204" w:tentative="1">
      <w:start w:val="1"/>
      <w:numFmt w:val="bullet"/>
      <w:lvlText w:val=""/>
      <w:lvlJc w:val="left"/>
      <w:pPr>
        <w:ind w:left="6480" w:hanging="360"/>
      </w:pPr>
      <w:rPr>
        <w:rFonts w:ascii="Wingdings" w:hAnsi="Wingdings" w:hint="default"/>
      </w:rPr>
    </w:lvl>
  </w:abstractNum>
  <w:abstractNum w:abstractNumId="49" w15:restartNumberingAfterBreak="0">
    <w:nsid w:val="1D05090C"/>
    <w:multiLevelType w:val="hybridMultilevel"/>
    <w:tmpl w:val="A78EA0FE"/>
    <w:lvl w:ilvl="0" w:tplc="5FD04CCC">
      <w:start w:val="1"/>
      <w:numFmt w:val="bullet"/>
      <w:lvlText w:val=""/>
      <w:lvlJc w:val="left"/>
      <w:pPr>
        <w:ind w:left="720" w:hanging="360"/>
      </w:pPr>
      <w:rPr>
        <w:rFonts w:ascii="Symbol" w:hAnsi="Symbol" w:hint="default"/>
      </w:rPr>
    </w:lvl>
    <w:lvl w:ilvl="1" w:tplc="AB124904" w:tentative="1">
      <w:start w:val="1"/>
      <w:numFmt w:val="bullet"/>
      <w:lvlText w:val="o"/>
      <w:lvlJc w:val="left"/>
      <w:pPr>
        <w:ind w:left="1440" w:hanging="360"/>
      </w:pPr>
      <w:rPr>
        <w:rFonts w:ascii="Courier New" w:hAnsi="Courier New" w:cs="Courier New" w:hint="default"/>
      </w:rPr>
    </w:lvl>
    <w:lvl w:ilvl="2" w:tplc="AA10A5AC" w:tentative="1">
      <w:start w:val="1"/>
      <w:numFmt w:val="bullet"/>
      <w:lvlText w:val=""/>
      <w:lvlJc w:val="left"/>
      <w:pPr>
        <w:ind w:left="2160" w:hanging="360"/>
      </w:pPr>
      <w:rPr>
        <w:rFonts w:ascii="Wingdings" w:hAnsi="Wingdings" w:hint="default"/>
      </w:rPr>
    </w:lvl>
    <w:lvl w:ilvl="3" w:tplc="5F1C31A0" w:tentative="1">
      <w:start w:val="1"/>
      <w:numFmt w:val="bullet"/>
      <w:lvlText w:val=""/>
      <w:lvlJc w:val="left"/>
      <w:pPr>
        <w:ind w:left="2880" w:hanging="360"/>
      </w:pPr>
      <w:rPr>
        <w:rFonts w:ascii="Symbol" w:hAnsi="Symbol" w:hint="default"/>
      </w:rPr>
    </w:lvl>
    <w:lvl w:ilvl="4" w:tplc="3DD8DFD0" w:tentative="1">
      <w:start w:val="1"/>
      <w:numFmt w:val="bullet"/>
      <w:lvlText w:val="o"/>
      <w:lvlJc w:val="left"/>
      <w:pPr>
        <w:ind w:left="3600" w:hanging="360"/>
      </w:pPr>
      <w:rPr>
        <w:rFonts w:ascii="Courier New" w:hAnsi="Courier New" w:cs="Courier New" w:hint="default"/>
      </w:rPr>
    </w:lvl>
    <w:lvl w:ilvl="5" w:tplc="BBC04A14" w:tentative="1">
      <w:start w:val="1"/>
      <w:numFmt w:val="bullet"/>
      <w:lvlText w:val=""/>
      <w:lvlJc w:val="left"/>
      <w:pPr>
        <w:ind w:left="4320" w:hanging="360"/>
      </w:pPr>
      <w:rPr>
        <w:rFonts w:ascii="Wingdings" w:hAnsi="Wingdings" w:hint="default"/>
      </w:rPr>
    </w:lvl>
    <w:lvl w:ilvl="6" w:tplc="41A6ED4E" w:tentative="1">
      <w:start w:val="1"/>
      <w:numFmt w:val="bullet"/>
      <w:lvlText w:val=""/>
      <w:lvlJc w:val="left"/>
      <w:pPr>
        <w:ind w:left="5040" w:hanging="360"/>
      </w:pPr>
      <w:rPr>
        <w:rFonts w:ascii="Symbol" w:hAnsi="Symbol" w:hint="default"/>
      </w:rPr>
    </w:lvl>
    <w:lvl w:ilvl="7" w:tplc="53BA58B4" w:tentative="1">
      <w:start w:val="1"/>
      <w:numFmt w:val="bullet"/>
      <w:lvlText w:val="o"/>
      <w:lvlJc w:val="left"/>
      <w:pPr>
        <w:ind w:left="5760" w:hanging="360"/>
      </w:pPr>
      <w:rPr>
        <w:rFonts w:ascii="Courier New" w:hAnsi="Courier New" w:cs="Courier New" w:hint="default"/>
      </w:rPr>
    </w:lvl>
    <w:lvl w:ilvl="8" w:tplc="68446AFC" w:tentative="1">
      <w:start w:val="1"/>
      <w:numFmt w:val="bullet"/>
      <w:lvlText w:val=""/>
      <w:lvlJc w:val="left"/>
      <w:pPr>
        <w:ind w:left="6480" w:hanging="360"/>
      </w:pPr>
      <w:rPr>
        <w:rFonts w:ascii="Wingdings" w:hAnsi="Wingdings" w:hint="default"/>
      </w:rPr>
    </w:lvl>
  </w:abstractNum>
  <w:abstractNum w:abstractNumId="50" w15:restartNumberingAfterBreak="0">
    <w:nsid w:val="1D421D13"/>
    <w:multiLevelType w:val="hybridMultilevel"/>
    <w:tmpl w:val="BD225A7E"/>
    <w:lvl w:ilvl="0" w:tplc="589606BC">
      <w:start w:val="1"/>
      <w:numFmt w:val="decimal"/>
      <w:lvlText w:val="%1."/>
      <w:lvlJc w:val="left"/>
      <w:pPr>
        <w:ind w:left="720" w:hanging="360"/>
      </w:pPr>
    </w:lvl>
    <w:lvl w:ilvl="1" w:tplc="9B463272" w:tentative="1">
      <w:start w:val="1"/>
      <w:numFmt w:val="lowerLetter"/>
      <w:lvlText w:val="%2."/>
      <w:lvlJc w:val="left"/>
      <w:pPr>
        <w:ind w:left="1440" w:hanging="360"/>
      </w:pPr>
    </w:lvl>
    <w:lvl w:ilvl="2" w:tplc="C7F0E9C6" w:tentative="1">
      <w:start w:val="1"/>
      <w:numFmt w:val="lowerRoman"/>
      <w:lvlText w:val="%3."/>
      <w:lvlJc w:val="right"/>
      <w:pPr>
        <w:ind w:left="2160" w:hanging="180"/>
      </w:pPr>
    </w:lvl>
    <w:lvl w:ilvl="3" w:tplc="083EAD86" w:tentative="1">
      <w:start w:val="1"/>
      <w:numFmt w:val="decimal"/>
      <w:lvlText w:val="%4."/>
      <w:lvlJc w:val="left"/>
      <w:pPr>
        <w:ind w:left="2880" w:hanging="360"/>
      </w:pPr>
    </w:lvl>
    <w:lvl w:ilvl="4" w:tplc="932A3942" w:tentative="1">
      <w:start w:val="1"/>
      <w:numFmt w:val="lowerLetter"/>
      <w:lvlText w:val="%5."/>
      <w:lvlJc w:val="left"/>
      <w:pPr>
        <w:ind w:left="3600" w:hanging="360"/>
      </w:pPr>
    </w:lvl>
    <w:lvl w:ilvl="5" w:tplc="EDF8EB38" w:tentative="1">
      <w:start w:val="1"/>
      <w:numFmt w:val="lowerRoman"/>
      <w:lvlText w:val="%6."/>
      <w:lvlJc w:val="right"/>
      <w:pPr>
        <w:ind w:left="4320" w:hanging="180"/>
      </w:pPr>
    </w:lvl>
    <w:lvl w:ilvl="6" w:tplc="600AB4B0" w:tentative="1">
      <w:start w:val="1"/>
      <w:numFmt w:val="decimal"/>
      <w:lvlText w:val="%7."/>
      <w:lvlJc w:val="left"/>
      <w:pPr>
        <w:ind w:left="5040" w:hanging="360"/>
      </w:pPr>
    </w:lvl>
    <w:lvl w:ilvl="7" w:tplc="7854CE5C" w:tentative="1">
      <w:start w:val="1"/>
      <w:numFmt w:val="lowerLetter"/>
      <w:lvlText w:val="%8."/>
      <w:lvlJc w:val="left"/>
      <w:pPr>
        <w:ind w:left="5760" w:hanging="360"/>
      </w:pPr>
    </w:lvl>
    <w:lvl w:ilvl="8" w:tplc="2D580EE8" w:tentative="1">
      <w:start w:val="1"/>
      <w:numFmt w:val="lowerRoman"/>
      <w:lvlText w:val="%9."/>
      <w:lvlJc w:val="right"/>
      <w:pPr>
        <w:ind w:left="6480" w:hanging="180"/>
      </w:pPr>
    </w:lvl>
  </w:abstractNum>
  <w:abstractNum w:abstractNumId="51" w15:restartNumberingAfterBreak="0">
    <w:nsid w:val="1F2638B5"/>
    <w:multiLevelType w:val="hybridMultilevel"/>
    <w:tmpl w:val="56740A6A"/>
    <w:lvl w:ilvl="0" w:tplc="006C82A4">
      <w:start w:val="1"/>
      <w:numFmt w:val="bullet"/>
      <w:lvlText w:val=""/>
      <w:lvlJc w:val="left"/>
      <w:pPr>
        <w:ind w:left="720" w:hanging="360"/>
      </w:pPr>
      <w:rPr>
        <w:rFonts w:ascii="Symbol" w:hAnsi="Symbol" w:hint="default"/>
      </w:rPr>
    </w:lvl>
    <w:lvl w:ilvl="1" w:tplc="684CA60E" w:tentative="1">
      <w:start w:val="1"/>
      <w:numFmt w:val="bullet"/>
      <w:lvlText w:val="o"/>
      <w:lvlJc w:val="left"/>
      <w:pPr>
        <w:ind w:left="1440" w:hanging="360"/>
      </w:pPr>
      <w:rPr>
        <w:rFonts w:ascii="Courier New" w:hAnsi="Courier New" w:cs="Courier New" w:hint="default"/>
      </w:rPr>
    </w:lvl>
    <w:lvl w:ilvl="2" w:tplc="0994DC12" w:tentative="1">
      <w:start w:val="1"/>
      <w:numFmt w:val="bullet"/>
      <w:lvlText w:val=""/>
      <w:lvlJc w:val="left"/>
      <w:pPr>
        <w:ind w:left="2160" w:hanging="360"/>
      </w:pPr>
      <w:rPr>
        <w:rFonts w:ascii="Wingdings" w:hAnsi="Wingdings" w:hint="default"/>
      </w:rPr>
    </w:lvl>
    <w:lvl w:ilvl="3" w:tplc="2B18A6F2" w:tentative="1">
      <w:start w:val="1"/>
      <w:numFmt w:val="bullet"/>
      <w:lvlText w:val=""/>
      <w:lvlJc w:val="left"/>
      <w:pPr>
        <w:ind w:left="2880" w:hanging="360"/>
      </w:pPr>
      <w:rPr>
        <w:rFonts w:ascii="Symbol" w:hAnsi="Symbol" w:hint="default"/>
      </w:rPr>
    </w:lvl>
    <w:lvl w:ilvl="4" w:tplc="2EB424CA" w:tentative="1">
      <w:start w:val="1"/>
      <w:numFmt w:val="bullet"/>
      <w:lvlText w:val="o"/>
      <w:lvlJc w:val="left"/>
      <w:pPr>
        <w:ind w:left="3600" w:hanging="360"/>
      </w:pPr>
      <w:rPr>
        <w:rFonts w:ascii="Courier New" w:hAnsi="Courier New" w:cs="Courier New" w:hint="default"/>
      </w:rPr>
    </w:lvl>
    <w:lvl w:ilvl="5" w:tplc="A8EA8AB0" w:tentative="1">
      <w:start w:val="1"/>
      <w:numFmt w:val="bullet"/>
      <w:lvlText w:val=""/>
      <w:lvlJc w:val="left"/>
      <w:pPr>
        <w:ind w:left="4320" w:hanging="360"/>
      </w:pPr>
      <w:rPr>
        <w:rFonts w:ascii="Wingdings" w:hAnsi="Wingdings" w:hint="default"/>
      </w:rPr>
    </w:lvl>
    <w:lvl w:ilvl="6" w:tplc="2DA0D80A" w:tentative="1">
      <w:start w:val="1"/>
      <w:numFmt w:val="bullet"/>
      <w:lvlText w:val=""/>
      <w:lvlJc w:val="left"/>
      <w:pPr>
        <w:ind w:left="5040" w:hanging="360"/>
      </w:pPr>
      <w:rPr>
        <w:rFonts w:ascii="Symbol" w:hAnsi="Symbol" w:hint="default"/>
      </w:rPr>
    </w:lvl>
    <w:lvl w:ilvl="7" w:tplc="7B2A9292" w:tentative="1">
      <w:start w:val="1"/>
      <w:numFmt w:val="bullet"/>
      <w:lvlText w:val="o"/>
      <w:lvlJc w:val="left"/>
      <w:pPr>
        <w:ind w:left="5760" w:hanging="360"/>
      </w:pPr>
      <w:rPr>
        <w:rFonts w:ascii="Courier New" w:hAnsi="Courier New" w:cs="Courier New" w:hint="default"/>
      </w:rPr>
    </w:lvl>
    <w:lvl w:ilvl="8" w:tplc="692C19DA" w:tentative="1">
      <w:start w:val="1"/>
      <w:numFmt w:val="bullet"/>
      <w:lvlText w:val=""/>
      <w:lvlJc w:val="left"/>
      <w:pPr>
        <w:ind w:left="6480" w:hanging="360"/>
      </w:pPr>
      <w:rPr>
        <w:rFonts w:ascii="Wingdings" w:hAnsi="Wingdings" w:hint="default"/>
      </w:rPr>
    </w:lvl>
  </w:abstractNum>
  <w:abstractNum w:abstractNumId="52" w15:restartNumberingAfterBreak="0">
    <w:nsid w:val="20907638"/>
    <w:multiLevelType w:val="multilevel"/>
    <w:tmpl w:val="383A8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1AB445B"/>
    <w:multiLevelType w:val="hybridMultilevel"/>
    <w:tmpl w:val="AD4CC012"/>
    <w:lvl w:ilvl="0" w:tplc="229C2B26">
      <w:start w:val="1"/>
      <w:numFmt w:val="bullet"/>
      <w:lvlText w:val=""/>
      <w:lvlJc w:val="left"/>
      <w:pPr>
        <w:ind w:left="720" w:hanging="360"/>
      </w:pPr>
      <w:rPr>
        <w:rFonts w:ascii="Symbol" w:hAnsi="Symbol" w:hint="default"/>
      </w:rPr>
    </w:lvl>
    <w:lvl w:ilvl="1" w:tplc="B7E0858A">
      <w:start w:val="6"/>
      <w:numFmt w:val="bullet"/>
      <w:lvlText w:val="•"/>
      <w:lvlJc w:val="left"/>
      <w:pPr>
        <w:ind w:left="1800" w:hanging="720"/>
      </w:pPr>
      <w:rPr>
        <w:rFonts w:ascii="Palatino Linotype" w:eastAsiaTheme="minorEastAsia" w:hAnsi="Palatino Linotype" w:cstheme="minorBidi" w:hint="default"/>
      </w:rPr>
    </w:lvl>
    <w:lvl w:ilvl="2" w:tplc="90908318" w:tentative="1">
      <w:start w:val="1"/>
      <w:numFmt w:val="bullet"/>
      <w:lvlText w:val=""/>
      <w:lvlJc w:val="left"/>
      <w:pPr>
        <w:ind w:left="2160" w:hanging="360"/>
      </w:pPr>
      <w:rPr>
        <w:rFonts w:ascii="Wingdings" w:hAnsi="Wingdings" w:hint="default"/>
      </w:rPr>
    </w:lvl>
    <w:lvl w:ilvl="3" w:tplc="9F2E3ABC" w:tentative="1">
      <w:start w:val="1"/>
      <w:numFmt w:val="bullet"/>
      <w:lvlText w:val=""/>
      <w:lvlJc w:val="left"/>
      <w:pPr>
        <w:ind w:left="2880" w:hanging="360"/>
      </w:pPr>
      <w:rPr>
        <w:rFonts w:ascii="Symbol" w:hAnsi="Symbol" w:hint="default"/>
      </w:rPr>
    </w:lvl>
    <w:lvl w:ilvl="4" w:tplc="924E4CA2" w:tentative="1">
      <w:start w:val="1"/>
      <w:numFmt w:val="bullet"/>
      <w:lvlText w:val="o"/>
      <w:lvlJc w:val="left"/>
      <w:pPr>
        <w:ind w:left="3600" w:hanging="360"/>
      </w:pPr>
      <w:rPr>
        <w:rFonts w:ascii="Courier New" w:hAnsi="Courier New" w:cs="Courier New" w:hint="default"/>
      </w:rPr>
    </w:lvl>
    <w:lvl w:ilvl="5" w:tplc="3042B978" w:tentative="1">
      <w:start w:val="1"/>
      <w:numFmt w:val="bullet"/>
      <w:lvlText w:val=""/>
      <w:lvlJc w:val="left"/>
      <w:pPr>
        <w:ind w:left="4320" w:hanging="360"/>
      </w:pPr>
      <w:rPr>
        <w:rFonts w:ascii="Wingdings" w:hAnsi="Wingdings" w:hint="default"/>
      </w:rPr>
    </w:lvl>
    <w:lvl w:ilvl="6" w:tplc="DBE23048" w:tentative="1">
      <w:start w:val="1"/>
      <w:numFmt w:val="bullet"/>
      <w:lvlText w:val=""/>
      <w:lvlJc w:val="left"/>
      <w:pPr>
        <w:ind w:left="5040" w:hanging="360"/>
      </w:pPr>
      <w:rPr>
        <w:rFonts w:ascii="Symbol" w:hAnsi="Symbol" w:hint="default"/>
      </w:rPr>
    </w:lvl>
    <w:lvl w:ilvl="7" w:tplc="B41AF77C" w:tentative="1">
      <w:start w:val="1"/>
      <w:numFmt w:val="bullet"/>
      <w:lvlText w:val="o"/>
      <w:lvlJc w:val="left"/>
      <w:pPr>
        <w:ind w:left="5760" w:hanging="360"/>
      </w:pPr>
      <w:rPr>
        <w:rFonts w:ascii="Courier New" w:hAnsi="Courier New" w:cs="Courier New" w:hint="default"/>
      </w:rPr>
    </w:lvl>
    <w:lvl w:ilvl="8" w:tplc="EF5AF082" w:tentative="1">
      <w:start w:val="1"/>
      <w:numFmt w:val="bullet"/>
      <w:lvlText w:val=""/>
      <w:lvlJc w:val="left"/>
      <w:pPr>
        <w:ind w:left="6480" w:hanging="360"/>
      </w:pPr>
      <w:rPr>
        <w:rFonts w:ascii="Wingdings" w:hAnsi="Wingdings" w:hint="default"/>
      </w:rPr>
    </w:lvl>
  </w:abstractNum>
  <w:abstractNum w:abstractNumId="54" w15:restartNumberingAfterBreak="0">
    <w:nsid w:val="21BD1062"/>
    <w:multiLevelType w:val="hybridMultilevel"/>
    <w:tmpl w:val="78165ACE"/>
    <w:lvl w:ilvl="0" w:tplc="41ACDD58">
      <w:start w:val="1"/>
      <w:numFmt w:val="decimal"/>
      <w:lvlText w:val="%1."/>
      <w:lvlJc w:val="left"/>
      <w:pPr>
        <w:ind w:left="720" w:hanging="360"/>
      </w:pPr>
    </w:lvl>
    <w:lvl w:ilvl="1" w:tplc="01A808D4">
      <w:start w:val="1"/>
      <w:numFmt w:val="lowerLetter"/>
      <w:lvlText w:val="%2."/>
      <w:lvlJc w:val="left"/>
      <w:pPr>
        <w:ind w:left="1440" w:hanging="360"/>
      </w:pPr>
    </w:lvl>
    <w:lvl w:ilvl="2" w:tplc="24CAA298">
      <w:start w:val="1"/>
      <w:numFmt w:val="lowerRoman"/>
      <w:lvlText w:val="%3."/>
      <w:lvlJc w:val="right"/>
      <w:pPr>
        <w:ind w:left="2160" w:hanging="180"/>
      </w:pPr>
    </w:lvl>
    <w:lvl w:ilvl="3" w:tplc="08223F20">
      <w:start w:val="1"/>
      <w:numFmt w:val="lowerLetter"/>
      <w:lvlText w:val="%4."/>
      <w:lvlJc w:val="left"/>
      <w:pPr>
        <w:ind w:left="3060" w:hanging="360"/>
      </w:pPr>
      <w:rPr>
        <w:rFonts w:ascii="Times New Roman" w:hAnsi="Times New Roman" w:cs="Times New Roman" w:hint="default"/>
        <w:b/>
        <w:bCs/>
        <w:i w:val="0"/>
        <w:color w:val="auto"/>
      </w:rPr>
    </w:lvl>
    <w:lvl w:ilvl="4" w:tplc="2282312A">
      <w:start w:val="1"/>
      <w:numFmt w:val="lowerLetter"/>
      <w:lvlText w:val="%5."/>
      <w:lvlJc w:val="left"/>
      <w:pPr>
        <w:ind w:left="3600" w:hanging="360"/>
      </w:pPr>
      <w:rPr>
        <w:rFonts w:hint="default"/>
        <w:b/>
        <w:i w:val="0"/>
        <w:u w:color="000000"/>
      </w:rPr>
    </w:lvl>
    <w:lvl w:ilvl="5" w:tplc="8EDAC734">
      <w:start w:val="1"/>
      <w:numFmt w:val="lowerRoman"/>
      <w:lvlText w:val="%6."/>
      <w:lvlJc w:val="right"/>
      <w:pPr>
        <w:ind w:left="4320" w:hanging="180"/>
      </w:pPr>
    </w:lvl>
    <w:lvl w:ilvl="6" w:tplc="D03C4CAC" w:tentative="1">
      <w:start w:val="1"/>
      <w:numFmt w:val="decimal"/>
      <w:lvlText w:val="%7."/>
      <w:lvlJc w:val="left"/>
      <w:pPr>
        <w:ind w:left="5040" w:hanging="360"/>
      </w:pPr>
    </w:lvl>
    <w:lvl w:ilvl="7" w:tplc="B47464A4" w:tentative="1">
      <w:start w:val="1"/>
      <w:numFmt w:val="lowerLetter"/>
      <w:lvlText w:val="%8."/>
      <w:lvlJc w:val="left"/>
      <w:pPr>
        <w:ind w:left="5760" w:hanging="360"/>
      </w:pPr>
    </w:lvl>
    <w:lvl w:ilvl="8" w:tplc="750E33AC" w:tentative="1">
      <w:start w:val="1"/>
      <w:numFmt w:val="lowerRoman"/>
      <w:lvlText w:val="%9."/>
      <w:lvlJc w:val="right"/>
      <w:pPr>
        <w:ind w:left="6480" w:hanging="180"/>
      </w:pPr>
    </w:lvl>
  </w:abstractNum>
  <w:abstractNum w:abstractNumId="55" w15:restartNumberingAfterBreak="0">
    <w:nsid w:val="2261B3F6"/>
    <w:multiLevelType w:val="hybridMultilevel"/>
    <w:tmpl w:val="FFFFFFFF"/>
    <w:lvl w:ilvl="0" w:tplc="963AA756">
      <w:start w:val="1"/>
      <w:numFmt w:val="bullet"/>
      <w:lvlText w:val=""/>
      <w:lvlJc w:val="left"/>
      <w:pPr>
        <w:ind w:left="720" w:hanging="360"/>
      </w:pPr>
      <w:rPr>
        <w:rFonts w:ascii="Symbol" w:hAnsi="Symbol" w:hint="default"/>
      </w:rPr>
    </w:lvl>
    <w:lvl w:ilvl="1" w:tplc="16BECE1A">
      <w:start w:val="1"/>
      <w:numFmt w:val="bullet"/>
      <w:lvlText w:val="o"/>
      <w:lvlJc w:val="left"/>
      <w:pPr>
        <w:ind w:left="1440" w:hanging="360"/>
      </w:pPr>
      <w:rPr>
        <w:rFonts w:ascii="Courier New" w:hAnsi="Courier New" w:hint="default"/>
      </w:rPr>
    </w:lvl>
    <w:lvl w:ilvl="2" w:tplc="41F85D46">
      <w:start w:val="1"/>
      <w:numFmt w:val="bullet"/>
      <w:lvlText w:val=""/>
      <w:lvlJc w:val="left"/>
      <w:pPr>
        <w:ind w:left="2160" w:hanging="360"/>
      </w:pPr>
      <w:rPr>
        <w:rFonts w:ascii="Wingdings" w:hAnsi="Wingdings" w:hint="default"/>
      </w:rPr>
    </w:lvl>
    <w:lvl w:ilvl="3" w:tplc="CD84CD66">
      <w:start w:val="1"/>
      <w:numFmt w:val="bullet"/>
      <w:lvlText w:val=""/>
      <w:lvlJc w:val="left"/>
      <w:pPr>
        <w:ind w:left="2880" w:hanging="360"/>
      </w:pPr>
      <w:rPr>
        <w:rFonts w:ascii="Symbol" w:hAnsi="Symbol" w:hint="default"/>
      </w:rPr>
    </w:lvl>
    <w:lvl w:ilvl="4" w:tplc="7EA2A3CC">
      <w:start w:val="1"/>
      <w:numFmt w:val="bullet"/>
      <w:lvlText w:val="o"/>
      <w:lvlJc w:val="left"/>
      <w:pPr>
        <w:ind w:left="3600" w:hanging="360"/>
      </w:pPr>
      <w:rPr>
        <w:rFonts w:ascii="Courier New" w:hAnsi="Courier New" w:hint="default"/>
      </w:rPr>
    </w:lvl>
    <w:lvl w:ilvl="5" w:tplc="68D656B6">
      <w:start w:val="1"/>
      <w:numFmt w:val="bullet"/>
      <w:lvlText w:val=""/>
      <w:lvlJc w:val="left"/>
      <w:pPr>
        <w:ind w:left="4320" w:hanging="360"/>
      </w:pPr>
      <w:rPr>
        <w:rFonts w:ascii="Wingdings" w:hAnsi="Wingdings" w:hint="default"/>
      </w:rPr>
    </w:lvl>
    <w:lvl w:ilvl="6" w:tplc="F880F60E">
      <w:start w:val="1"/>
      <w:numFmt w:val="bullet"/>
      <w:lvlText w:val=""/>
      <w:lvlJc w:val="left"/>
      <w:pPr>
        <w:ind w:left="5040" w:hanging="360"/>
      </w:pPr>
      <w:rPr>
        <w:rFonts w:ascii="Symbol" w:hAnsi="Symbol" w:hint="default"/>
      </w:rPr>
    </w:lvl>
    <w:lvl w:ilvl="7" w:tplc="0CC678B6">
      <w:start w:val="1"/>
      <w:numFmt w:val="bullet"/>
      <w:lvlText w:val="o"/>
      <w:lvlJc w:val="left"/>
      <w:pPr>
        <w:ind w:left="5760" w:hanging="360"/>
      </w:pPr>
      <w:rPr>
        <w:rFonts w:ascii="Courier New" w:hAnsi="Courier New" w:hint="default"/>
      </w:rPr>
    </w:lvl>
    <w:lvl w:ilvl="8" w:tplc="736087FA">
      <w:start w:val="1"/>
      <w:numFmt w:val="bullet"/>
      <w:lvlText w:val=""/>
      <w:lvlJc w:val="left"/>
      <w:pPr>
        <w:ind w:left="6480" w:hanging="360"/>
      </w:pPr>
      <w:rPr>
        <w:rFonts w:ascii="Wingdings" w:hAnsi="Wingdings" w:hint="default"/>
      </w:rPr>
    </w:lvl>
  </w:abstractNum>
  <w:abstractNum w:abstractNumId="56" w15:restartNumberingAfterBreak="0">
    <w:nsid w:val="2341395B"/>
    <w:multiLevelType w:val="hybridMultilevel"/>
    <w:tmpl w:val="EE643B7A"/>
    <w:lvl w:ilvl="0" w:tplc="8D3CB05A">
      <w:start w:val="1"/>
      <w:numFmt w:val="bullet"/>
      <w:lvlText w:val=""/>
      <w:lvlJc w:val="left"/>
      <w:pPr>
        <w:ind w:left="720" w:hanging="360"/>
      </w:pPr>
      <w:rPr>
        <w:rFonts w:ascii="Symbol" w:hAnsi="Symbol" w:hint="default"/>
      </w:rPr>
    </w:lvl>
    <w:lvl w:ilvl="1" w:tplc="EBBC160E" w:tentative="1">
      <w:start w:val="1"/>
      <w:numFmt w:val="bullet"/>
      <w:lvlText w:val="o"/>
      <w:lvlJc w:val="left"/>
      <w:pPr>
        <w:ind w:left="1440" w:hanging="360"/>
      </w:pPr>
      <w:rPr>
        <w:rFonts w:ascii="Courier New" w:hAnsi="Courier New" w:cs="Courier New" w:hint="default"/>
      </w:rPr>
    </w:lvl>
    <w:lvl w:ilvl="2" w:tplc="6570141A" w:tentative="1">
      <w:start w:val="1"/>
      <w:numFmt w:val="bullet"/>
      <w:lvlText w:val=""/>
      <w:lvlJc w:val="left"/>
      <w:pPr>
        <w:ind w:left="2160" w:hanging="360"/>
      </w:pPr>
      <w:rPr>
        <w:rFonts w:ascii="Wingdings" w:hAnsi="Wingdings" w:hint="default"/>
      </w:rPr>
    </w:lvl>
    <w:lvl w:ilvl="3" w:tplc="A20AD98A" w:tentative="1">
      <w:start w:val="1"/>
      <w:numFmt w:val="bullet"/>
      <w:lvlText w:val=""/>
      <w:lvlJc w:val="left"/>
      <w:pPr>
        <w:ind w:left="2880" w:hanging="360"/>
      </w:pPr>
      <w:rPr>
        <w:rFonts w:ascii="Symbol" w:hAnsi="Symbol" w:hint="default"/>
      </w:rPr>
    </w:lvl>
    <w:lvl w:ilvl="4" w:tplc="3FFAB4AA" w:tentative="1">
      <w:start w:val="1"/>
      <w:numFmt w:val="bullet"/>
      <w:lvlText w:val="o"/>
      <w:lvlJc w:val="left"/>
      <w:pPr>
        <w:ind w:left="3600" w:hanging="360"/>
      </w:pPr>
      <w:rPr>
        <w:rFonts w:ascii="Courier New" w:hAnsi="Courier New" w:cs="Courier New" w:hint="default"/>
      </w:rPr>
    </w:lvl>
    <w:lvl w:ilvl="5" w:tplc="640EC5EC" w:tentative="1">
      <w:start w:val="1"/>
      <w:numFmt w:val="bullet"/>
      <w:lvlText w:val=""/>
      <w:lvlJc w:val="left"/>
      <w:pPr>
        <w:ind w:left="4320" w:hanging="360"/>
      </w:pPr>
      <w:rPr>
        <w:rFonts w:ascii="Wingdings" w:hAnsi="Wingdings" w:hint="default"/>
      </w:rPr>
    </w:lvl>
    <w:lvl w:ilvl="6" w:tplc="7A569E4C" w:tentative="1">
      <w:start w:val="1"/>
      <w:numFmt w:val="bullet"/>
      <w:lvlText w:val=""/>
      <w:lvlJc w:val="left"/>
      <w:pPr>
        <w:ind w:left="5040" w:hanging="360"/>
      </w:pPr>
      <w:rPr>
        <w:rFonts w:ascii="Symbol" w:hAnsi="Symbol" w:hint="default"/>
      </w:rPr>
    </w:lvl>
    <w:lvl w:ilvl="7" w:tplc="76889BBE" w:tentative="1">
      <w:start w:val="1"/>
      <w:numFmt w:val="bullet"/>
      <w:lvlText w:val="o"/>
      <w:lvlJc w:val="left"/>
      <w:pPr>
        <w:ind w:left="5760" w:hanging="360"/>
      </w:pPr>
      <w:rPr>
        <w:rFonts w:ascii="Courier New" w:hAnsi="Courier New" w:cs="Courier New" w:hint="default"/>
      </w:rPr>
    </w:lvl>
    <w:lvl w:ilvl="8" w:tplc="5B5414C6" w:tentative="1">
      <w:start w:val="1"/>
      <w:numFmt w:val="bullet"/>
      <w:lvlText w:val=""/>
      <w:lvlJc w:val="left"/>
      <w:pPr>
        <w:ind w:left="6480" w:hanging="360"/>
      </w:pPr>
      <w:rPr>
        <w:rFonts w:ascii="Wingdings" w:hAnsi="Wingdings" w:hint="default"/>
      </w:rPr>
    </w:lvl>
  </w:abstractNum>
  <w:abstractNum w:abstractNumId="57" w15:restartNumberingAfterBreak="0">
    <w:nsid w:val="23A4091E"/>
    <w:multiLevelType w:val="hybridMultilevel"/>
    <w:tmpl w:val="02165BA8"/>
    <w:lvl w:ilvl="0" w:tplc="02745822">
      <w:start w:val="1"/>
      <w:numFmt w:val="bullet"/>
      <w:lvlText w:val=""/>
      <w:lvlJc w:val="left"/>
      <w:pPr>
        <w:ind w:left="720" w:hanging="360"/>
      </w:pPr>
      <w:rPr>
        <w:rFonts w:ascii="Symbol" w:hAnsi="Symbol" w:hint="default"/>
      </w:rPr>
    </w:lvl>
    <w:lvl w:ilvl="1" w:tplc="7D8E3150" w:tentative="1">
      <w:start w:val="1"/>
      <w:numFmt w:val="bullet"/>
      <w:lvlText w:val="o"/>
      <w:lvlJc w:val="left"/>
      <w:pPr>
        <w:ind w:left="1440" w:hanging="360"/>
      </w:pPr>
      <w:rPr>
        <w:rFonts w:ascii="Courier New" w:hAnsi="Courier New" w:cs="Courier New" w:hint="default"/>
      </w:rPr>
    </w:lvl>
    <w:lvl w:ilvl="2" w:tplc="5914D4A0" w:tentative="1">
      <w:start w:val="1"/>
      <w:numFmt w:val="bullet"/>
      <w:lvlText w:val=""/>
      <w:lvlJc w:val="left"/>
      <w:pPr>
        <w:ind w:left="2160" w:hanging="360"/>
      </w:pPr>
      <w:rPr>
        <w:rFonts w:ascii="Wingdings" w:hAnsi="Wingdings" w:hint="default"/>
      </w:rPr>
    </w:lvl>
    <w:lvl w:ilvl="3" w:tplc="953EE270" w:tentative="1">
      <w:start w:val="1"/>
      <w:numFmt w:val="bullet"/>
      <w:lvlText w:val=""/>
      <w:lvlJc w:val="left"/>
      <w:pPr>
        <w:ind w:left="2880" w:hanging="360"/>
      </w:pPr>
      <w:rPr>
        <w:rFonts w:ascii="Symbol" w:hAnsi="Symbol" w:hint="default"/>
      </w:rPr>
    </w:lvl>
    <w:lvl w:ilvl="4" w:tplc="81E248C6" w:tentative="1">
      <w:start w:val="1"/>
      <w:numFmt w:val="bullet"/>
      <w:lvlText w:val="o"/>
      <w:lvlJc w:val="left"/>
      <w:pPr>
        <w:ind w:left="3600" w:hanging="360"/>
      </w:pPr>
      <w:rPr>
        <w:rFonts w:ascii="Courier New" w:hAnsi="Courier New" w:cs="Courier New" w:hint="default"/>
      </w:rPr>
    </w:lvl>
    <w:lvl w:ilvl="5" w:tplc="514AF986" w:tentative="1">
      <w:start w:val="1"/>
      <w:numFmt w:val="bullet"/>
      <w:lvlText w:val=""/>
      <w:lvlJc w:val="left"/>
      <w:pPr>
        <w:ind w:left="4320" w:hanging="360"/>
      </w:pPr>
      <w:rPr>
        <w:rFonts w:ascii="Wingdings" w:hAnsi="Wingdings" w:hint="default"/>
      </w:rPr>
    </w:lvl>
    <w:lvl w:ilvl="6" w:tplc="33408D88" w:tentative="1">
      <w:start w:val="1"/>
      <w:numFmt w:val="bullet"/>
      <w:lvlText w:val=""/>
      <w:lvlJc w:val="left"/>
      <w:pPr>
        <w:ind w:left="5040" w:hanging="360"/>
      </w:pPr>
      <w:rPr>
        <w:rFonts w:ascii="Symbol" w:hAnsi="Symbol" w:hint="default"/>
      </w:rPr>
    </w:lvl>
    <w:lvl w:ilvl="7" w:tplc="1C844464" w:tentative="1">
      <w:start w:val="1"/>
      <w:numFmt w:val="bullet"/>
      <w:lvlText w:val="o"/>
      <w:lvlJc w:val="left"/>
      <w:pPr>
        <w:ind w:left="5760" w:hanging="360"/>
      </w:pPr>
      <w:rPr>
        <w:rFonts w:ascii="Courier New" w:hAnsi="Courier New" w:cs="Courier New" w:hint="default"/>
      </w:rPr>
    </w:lvl>
    <w:lvl w:ilvl="8" w:tplc="07F4671A" w:tentative="1">
      <w:start w:val="1"/>
      <w:numFmt w:val="bullet"/>
      <w:lvlText w:val=""/>
      <w:lvlJc w:val="left"/>
      <w:pPr>
        <w:ind w:left="6480" w:hanging="360"/>
      </w:pPr>
      <w:rPr>
        <w:rFonts w:ascii="Wingdings" w:hAnsi="Wingdings" w:hint="default"/>
      </w:rPr>
    </w:lvl>
  </w:abstractNum>
  <w:abstractNum w:abstractNumId="58" w15:restartNumberingAfterBreak="0">
    <w:nsid w:val="243D6AB7"/>
    <w:multiLevelType w:val="multilevel"/>
    <w:tmpl w:val="72D83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4AC0702"/>
    <w:multiLevelType w:val="hybridMultilevel"/>
    <w:tmpl w:val="F48893A4"/>
    <w:lvl w:ilvl="0" w:tplc="74EA9168">
      <w:start w:val="1"/>
      <w:numFmt w:val="decimal"/>
      <w:lvlText w:val="%1."/>
      <w:lvlJc w:val="left"/>
      <w:pPr>
        <w:ind w:left="720" w:hanging="360"/>
      </w:pPr>
    </w:lvl>
    <w:lvl w:ilvl="1" w:tplc="B5087AFE" w:tentative="1">
      <w:start w:val="1"/>
      <w:numFmt w:val="lowerLetter"/>
      <w:lvlText w:val="%2."/>
      <w:lvlJc w:val="left"/>
      <w:pPr>
        <w:ind w:left="1440" w:hanging="360"/>
      </w:pPr>
    </w:lvl>
    <w:lvl w:ilvl="2" w:tplc="ECFE6F10" w:tentative="1">
      <w:start w:val="1"/>
      <w:numFmt w:val="lowerRoman"/>
      <w:lvlText w:val="%3."/>
      <w:lvlJc w:val="right"/>
      <w:pPr>
        <w:ind w:left="2160" w:hanging="180"/>
      </w:pPr>
    </w:lvl>
    <w:lvl w:ilvl="3" w:tplc="5B4622BA" w:tentative="1">
      <w:start w:val="1"/>
      <w:numFmt w:val="decimal"/>
      <w:lvlText w:val="%4."/>
      <w:lvlJc w:val="left"/>
      <w:pPr>
        <w:ind w:left="2880" w:hanging="360"/>
      </w:pPr>
    </w:lvl>
    <w:lvl w:ilvl="4" w:tplc="B43C0C22" w:tentative="1">
      <w:start w:val="1"/>
      <w:numFmt w:val="lowerLetter"/>
      <w:lvlText w:val="%5."/>
      <w:lvlJc w:val="left"/>
      <w:pPr>
        <w:ind w:left="3600" w:hanging="360"/>
      </w:pPr>
    </w:lvl>
    <w:lvl w:ilvl="5" w:tplc="CA269036" w:tentative="1">
      <w:start w:val="1"/>
      <w:numFmt w:val="lowerRoman"/>
      <w:lvlText w:val="%6."/>
      <w:lvlJc w:val="right"/>
      <w:pPr>
        <w:ind w:left="4320" w:hanging="180"/>
      </w:pPr>
    </w:lvl>
    <w:lvl w:ilvl="6" w:tplc="F75646A6" w:tentative="1">
      <w:start w:val="1"/>
      <w:numFmt w:val="decimal"/>
      <w:lvlText w:val="%7."/>
      <w:lvlJc w:val="left"/>
      <w:pPr>
        <w:ind w:left="5040" w:hanging="360"/>
      </w:pPr>
    </w:lvl>
    <w:lvl w:ilvl="7" w:tplc="A308DA6A" w:tentative="1">
      <w:start w:val="1"/>
      <w:numFmt w:val="lowerLetter"/>
      <w:lvlText w:val="%8."/>
      <w:lvlJc w:val="left"/>
      <w:pPr>
        <w:ind w:left="5760" w:hanging="360"/>
      </w:pPr>
    </w:lvl>
    <w:lvl w:ilvl="8" w:tplc="B5CCEBD4" w:tentative="1">
      <w:start w:val="1"/>
      <w:numFmt w:val="lowerRoman"/>
      <w:lvlText w:val="%9."/>
      <w:lvlJc w:val="right"/>
      <w:pPr>
        <w:ind w:left="6480" w:hanging="180"/>
      </w:pPr>
    </w:lvl>
  </w:abstractNum>
  <w:abstractNum w:abstractNumId="60" w15:restartNumberingAfterBreak="0">
    <w:nsid w:val="251142B4"/>
    <w:multiLevelType w:val="hybridMultilevel"/>
    <w:tmpl w:val="7F8A576E"/>
    <w:lvl w:ilvl="0" w:tplc="902EBFB4">
      <w:start w:val="1"/>
      <w:numFmt w:val="bullet"/>
      <w:lvlText w:val=""/>
      <w:lvlJc w:val="left"/>
      <w:pPr>
        <w:ind w:left="360" w:hanging="360"/>
      </w:pPr>
      <w:rPr>
        <w:rFonts w:ascii="Symbol" w:hAnsi="Symbol" w:hint="default"/>
      </w:rPr>
    </w:lvl>
    <w:lvl w:ilvl="1" w:tplc="D844222C" w:tentative="1">
      <w:start w:val="1"/>
      <w:numFmt w:val="bullet"/>
      <w:lvlText w:val="o"/>
      <w:lvlJc w:val="left"/>
      <w:pPr>
        <w:ind w:left="1080" w:hanging="360"/>
      </w:pPr>
      <w:rPr>
        <w:rFonts w:ascii="Courier New" w:hAnsi="Courier New" w:cs="Courier New" w:hint="default"/>
      </w:rPr>
    </w:lvl>
    <w:lvl w:ilvl="2" w:tplc="43906D28" w:tentative="1">
      <w:start w:val="1"/>
      <w:numFmt w:val="bullet"/>
      <w:lvlText w:val=""/>
      <w:lvlJc w:val="left"/>
      <w:pPr>
        <w:ind w:left="1800" w:hanging="360"/>
      </w:pPr>
      <w:rPr>
        <w:rFonts w:ascii="Wingdings" w:hAnsi="Wingdings" w:hint="default"/>
      </w:rPr>
    </w:lvl>
    <w:lvl w:ilvl="3" w:tplc="33EC73FE" w:tentative="1">
      <w:start w:val="1"/>
      <w:numFmt w:val="bullet"/>
      <w:lvlText w:val=""/>
      <w:lvlJc w:val="left"/>
      <w:pPr>
        <w:ind w:left="2520" w:hanging="360"/>
      </w:pPr>
      <w:rPr>
        <w:rFonts w:ascii="Symbol" w:hAnsi="Symbol" w:hint="default"/>
      </w:rPr>
    </w:lvl>
    <w:lvl w:ilvl="4" w:tplc="3F480DF6" w:tentative="1">
      <w:start w:val="1"/>
      <w:numFmt w:val="bullet"/>
      <w:lvlText w:val="o"/>
      <w:lvlJc w:val="left"/>
      <w:pPr>
        <w:ind w:left="3240" w:hanging="360"/>
      </w:pPr>
      <w:rPr>
        <w:rFonts w:ascii="Courier New" w:hAnsi="Courier New" w:cs="Courier New" w:hint="default"/>
      </w:rPr>
    </w:lvl>
    <w:lvl w:ilvl="5" w:tplc="DF30F2CE" w:tentative="1">
      <w:start w:val="1"/>
      <w:numFmt w:val="bullet"/>
      <w:lvlText w:val=""/>
      <w:lvlJc w:val="left"/>
      <w:pPr>
        <w:ind w:left="3960" w:hanging="360"/>
      </w:pPr>
      <w:rPr>
        <w:rFonts w:ascii="Wingdings" w:hAnsi="Wingdings" w:hint="default"/>
      </w:rPr>
    </w:lvl>
    <w:lvl w:ilvl="6" w:tplc="5076228E" w:tentative="1">
      <w:start w:val="1"/>
      <w:numFmt w:val="bullet"/>
      <w:lvlText w:val=""/>
      <w:lvlJc w:val="left"/>
      <w:pPr>
        <w:ind w:left="4680" w:hanging="360"/>
      </w:pPr>
      <w:rPr>
        <w:rFonts w:ascii="Symbol" w:hAnsi="Symbol" w:hint="default"/>
      </w:rPr>
    </w:lvl>
    <w:lvl w:ilvl="7" w:tplc="F0BAD4E2" w:tentative="1">
      <w:start w:val="1"/>
      <w:numFmt w:val="bullet"/>
      <w:lvlText w:val="o"/>
      <w:lvlJc w:val="left"/>
      <w:pPr>
        <w:ind w:left="5400" w:hanging="360"/>
      </w:pPr>
      <w:rPr>
        <w:rFonts w:ascii="Courier New" w:hAnsi="Courier New" w:cs="Courier New" w:hint="default"/>
      </w:rPr>
    </w:lvl>
    <w:lvl w:ilvl="8" w:tplc="745A28E2" w:tentative="1">
      <w:start w:val="1"/>
      <w:numFmt w:val="bullet"/>
      <w:lvlText w:val=""/>
      <w:lvlJc w:val="left"/>
      <w:pPr>
        <w:ind w:left="6120" w:hanging="360"/>
      </w:pPr>
      <w:rPr>
        <w:rFonts w:ascii="Wingdings" w:hAnsi="Wingdings" w:hint="default"/>
      </w:rPr>
    </w:lvl>
  </w:abstractNum>
  <w:abstractNum w:abstractNumId="61" w15:restartNumberingAfterBreak="0">
    <w:nsid w:val="25F679D3"/>
    <w:multiLevelType w:val="hybridMultilevel"/>
    <w:tmpl w:val="B31852DC"/>
    <w:lvl w:ilvl="0" w:tplc="03CA9898">
      <w:start w:val="1"/>
      <w:numFmt w:val="bullet"/>
      <w:lvlText w:val=""/>
      <w:lvlJc w:val="left"/>
      <w:pPr>
        <w:ind w:left="720" w:hanging="360"/>
      </w:pPr>
      <w:rPr>
        <w:rFonts w:ascii="Symbol" w:hAnsi="Symbol" w:hint="default"/>
      </w:rPr>
    </w:lvl>
    <w:lvl w:ilvl="1" w:tplc="A4C6AD0A" w:tentative="1">
      <w:start w:val="1"/>
      <w:numFmt w:val="bullet"/>
      <w:lvlText w:val="o"/>
      <w:lvlJc w:val="left"/>
      <w:pPr>
        <w:ind w:left="1440" w:hanging="360"/>
      </w:pPr>
      <w:rPr>
        <w:rFonts w:ascii="Courier New" w:hAnsi="Courier New" w:cs="Courier New" w:hint="default"/>
      </w:rPr>
    </w:lvl>
    <w:lvl w:ilvl="2" w:tplc="0D0AB4D0" w:tentative="1">
      <w:start w:val="1"/>
      <w:numFmt w:val="bullet"/>
      <w:lvlText w:val=""/>
      <w:lvlJc w:val="left"/>
      <w:pPr>
        <w:ind w:left="2160" w:hanging="360"/>
      </w:pPr>
      <w:rPr>
        <w:rFonts w:ascii="Wingdings" w:hAnsi="Wingdings" w:hint="default"/>
      </w:rPr>
    </w:lvl>
    <w:lvl w:ilvl="3" w:tplc="086A2B70" w:tentative="1">
      <w:start w:val="1"/>
      <w:numFmt w:val="bullet"/>
      <w:lvlText w:val=""/>
      <w:lvlJc w:val="left"/>
      <w:pPr>
        <w:ind w:left="2880" w:hanging="360"/>
      </w:pPr>
      <w:rPr>
        <w:rFonts w:ascii="Symbol" w:hAnsi="Symbol" w:hint="default"/>
      </w:rPr>
    </w:lvl>
    <w:lvl w:ilvl="4" w:tplc="C3CAB096" w:tentative="1">
      <w:start w:val="1"/>
      <w:numFmt w:val="bullet"/>
      <w:lvlText w:val="o"/>
      <w:lvlJc w:val="left"/>
      <w:pPr>
        <w:ind w:left="3600" w:hanging="360"/>
      </w:pPr>
      <w:rPr>
        <w:rFonts w:ascii="Courier New" w:hAnsi="Courier New" w:cs="Courier New" w:hint="default"/>
      </w:rPr>
    </w:lvl>
    <w:lvl w:ilvl="5" w:tplc="DA7C88EA" w:tentative="1">
      <w:start w:val="1"/>
      <w:numFmt w:val="bullet"/>
      <w:lvlText w:val=""/>
      <w:lvlJc w:val="left"/>
      <w:pPr>
        <w:ind w:left="4320" w:hanging="360"/>
      </w:pPr>
      <w:rPr>
        <w:rFonts w:ascii="Wingdings" w:hAnsi="Wingdings" w:hint="default"/>
      </w:rPr>
    </w:lvl>
    <w:lvl w:ilvl="6" w:tplc="02FE2A28" w:tentative="1">
      <w:start w:val="1"/>
      <w:numFmt w:val="bullet"/>
      <w:lvlText w:val=""/>
      <w:lvlJc w:val="left"/>
      <w:pPr>
        <w:ind w:left="5040" w:hanging="360"/>
      </w:pPr>
      <w:rPr>
        <w:rFonts w:ascii="Symbol" w:hAnsi="Symbol" w:hint="default"/>
      </w:rPr>
    </w:lvl>
    <w:lvl w:ilvl="7" w:tplc="A95A88DE" w:tentative="1">
      <w:start w:val="1"/>
      <w:numFmt w:val="bullet"/>
      <w:lvlText w:val="o"/>
      <w:lvlJc w:val="left"/>
      <w:pPr>
        <w:ind w:left="5760" w:hanging="360"/>
      </w:pPr>
      <w:rPr>
        <w:rFonts w:ascii="Courier New" w:hAnsi="Courier New" w:cs="Courier New" w:hint="default"/>
      </w:rPr>
    </w:lvl>
    <w:lvl w:ilvl="8" w:tplc="18A60884" w:tentative="1">
      <w:start w:val="1"/>
      <w:numFmt w:val="bullet"/>
      <w:lvlText w:val=""/>
      <w:lvlJc w:val="left"/>
      <w:pPr>
        <w:ind w:left="6480" w:hanging="360"/>
      </w:pPr>
      <w:rPr>
        <w:rFonts w:ascii="Wingdings" w:hAnsi="Wingdings" w:hint="default"/>
      </w:rPr>
    </w:lvl>
  </w:abstractNum>
  <w:abstractNum w:abstractNumId="62" w15:restartNumberingAfterBreak="0">
    <w:nsid w:val="26E1491C"/>
    <w:multiLevelType w:val="multilevel"/>
    <w:tmpl w:val="0F904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71C17CD"/>
    <w:multiLevelType w:val="hybridMultilevel"/>
    <w:tmpl w:val="7A9415F0"/>
    <w:lvl w:ilvl="0" w:tplc="FB8E1854">
      <w:start w:val="1"/>
      <w:numFmt w:val="decimal"/>
      <w:lvlText w:val="%1."/>
      <w:lvlJc w:val="left"/>
      <w:pPr>
        <w:ind w:left="1080" w:hanging="360"/>
      </w:pPr>
    </w:lvl>
    <w:lvl w:ilvl="1" w:tplc="AA50685C" w:tentative="1">
      <w:start w:val="1"/>
      <w:numFmt w:val="lowerLetter"/>
      <w:lvlText w:val="%2."/>
      <w:lvlJc w:val="left"/>
      <w:pPr>
        <w:ind w:left="1800" w:hanging="360"/>
      </w:pPr>
    </w:lvl>
    <w:lvl w:ilvl="2" w:tplc="1B749158" w:tentative="1">
      <w:start w:val="1"/>
      <w:numFmt w:val="lowerRoman"/>
      <w:lvlText w:val="%3."/>
      <w:lvlJc w:val="right"/>
      <w:pPr>
        <w:ind w:left="2520" w:hanging="180"/>
      </w:pPr>
    </w:lvl>
    <w:lvl w:ilvl="3" w:tplc="63786556" w:tentative="1">
      <w:start w:val="1"/>
      <w:numFmt w:val="decimal"/>
      <w:lvlText w:val="%4."/>
      <w:lvlJc w:val="left"/>
      <w:pPr>
        <w:ind w:left="3240" w:hanging="360"/>
      </w:pPr>
    </w:lvl>
    <w:lvl w:ilvl="4" w:tplc="F3106132" w:tentative="1">
      <w:start w:val="1"/>
      <w:numFmt w:val="lowerLetter"/>
      <w:lvlText w:val="%5."/>
      <w:lvlJc w:val="left"/>
      <w:pPr>
        <w:ind w:left="3960" w:hanging="360"/>
      </w:pPr>
    </w:lvl>
    <w:lvl w:ilvl="5" w:tplc="484CEB44" w:tentative="1">
      <w:start w:val="1"/>
      <w:numFmt w:val="lowerRoman"/>
      <w:lvlText w:val="%6."/>
      <w:lvlJc w:val="right"/>
      <w:pPr>
        <w:ind w:left="4680" w:hanging="180"/>
      </w:pPr>
    </w:lvl>
    <w:lvl w:ilvl="6" w:tplc="19705030" w:tentative="1">
      <w:start w:val="1"/>
      <w:numFmt w:val="decimal"/>
      <w:lvlText w:val="%7."/>
      <w:lvlJc w:val="left"/>
      <w:pPr>
        <w:ind w:left="5400" w:hanging="360"/>
      </w:pPr>
    </w:lvl>
    <w:lvl w:ilvl="7" w:tplc="D57A3244" w:tentative="1">
      <w:start w:val="1"/>
      <w:numFmt w:val="lowerLetter"/>
      <w:lvlText w:val="%8."/>
      <w:lvlJc w:val="left"/>
      <w:pPr>
        <w:ind w:left="6120" w:hanging="360"/>
      </w:pPr>
    </w:lvl>
    <w:lvl w:ilvl="8" w:tplc="A47C960E" w:tentative="1">
      <w:start w:val="1"/>
      <w:numFmt w:val="lowerRoman"/>
      <w:lvlText w:val="%9."/>
      <w:lvlJc w:val="right"/>
      <w:pPr>
        <w:ind w:left="6840" w:hanging="180"/>
      </w:pPr>
    </w:lvl>
  </w:abstractNum>
  <w:abstractNum w:abstractNumId="64" w15:restartNumberingAfterBreak="0">
    <w:nsid w:val="275A6701"/>
    <w:multiLevelType w:val="hybridMultilevel"/>
    <w:tmpl w:val="E146CC2E"/>
    <w:lvl w:ilvl="0" w:tplc="05805748">
      <w:start w:val="1"/>
      <w:numFmt w:val="bullet"/>
      <w:lvlText w:val=""/>
      <w:lvlJc w:val="left"/>
      <w:pPr>
        <w:ind w:left="720" w:hanging="360"/>
      </w:pPr>
      <w:rPr>
        <w:rFonts w:ascii="Symbol" w:hAnsi="Symbol" w:hint="default"/>
      </w:rPr>
    </w:lvl>
    <w:lvl w:ilvl="1" w:tplc="CD90B3D4" w:tentative="1">
      <w:start w:val="1"/>
      <w:numFmt w:val="bullet"/>
      <w:lvlText w:val="o"/>
      <w:lvlJc w:val="left"/>
      <w:pPr>
        <w:ind w:left="1440" w:hanging="360"/>
      </w:pPr>
      <w:rPr>
        <w:rFonts w:ascii="Courier New" w:hAnsi="Courier New" w:cs="Courier New" w:hint="default"/>
      </w:rPr>
    </w:lvl>
    <w:lvl w:ilvl="2" w:tplc="447A7758" w:tentative="1">
      <w:start w:val="1"/>
      <w:numFmt w:val="bullet"/>
      <w:lvlText w:val=""/>
      <w:lvlJc w:val="left"/>
      <w:pPr>
        <w:ind w:left="2160" w:hanging="360"/>
      </w:pPr>
      <w:rPr>
        <w:rFonts w:ascii="Wingdings" w:hAnsi="Wingdings" w:hint="default"/>
      </w:rPr>
    </w:lvl>
    <w:lvl w:ilvl="3" w:tplc="D764C332" w:tentative="1">
      <w:start w:val="1"/>
      <w:numFmt w:val="bullet"/>
      <w:lvlText w:val=""/>
      <w:lvlJc w:val="left"/>
      <w:pPr>
        <w:ind w:left="2880" w:hanging="360"/>
      </w:pPr>
      <w:rPr>
        <w:rFonts w:ascii="Symbol" w:hAnsi="Symbol" w:hint="default"/>
      </w:rPr>
    </w:lvl>
    <w:lvl w:ilvl="4" w:tplc="E10AF1BA" w:tentative="1">
      <w:start w:val="1"/>
      <w:numFmt w:val="bullet"/>
      <w:lvlText w:val="o"/>
      <w:lvlJc w:val="left"/>
      <w:pPr>
        <w:ind w:left="3600" w:hanging="360"/>
      </w:pPr>
      <w:rPr>
        <w:rFonts w:ascii="Courier New" w:hAnsi="Courier New" w:cs="Courier New" w:hint="default"/>
      </w:rPr>
    </w:lvl>
    <w:lvl w:ilvl="5" w:tplc="19D8F690" w:tentative="1">
      <w:start w:val="1"/>
      <w:numFmt w:val="bullet"/>
      <w:lvlText w:val=""/>
      <w:lvlJc w:val="left"/>
      <w:pPr>
        <w:ind w:left="4320" w:hanging="360"/>
      </w:pPr>
      <w:rPr>
        <w:rFonts w:ascii="Wingdings" w:hAnsi="Wingdings" w:hint="default"/>
      </w:rPr>
    </w:lvl>
    <w:lvl w:ilvl="6" w:tplc="9F364AC2" w:tentative="1">
      <w:start w:val="1"/>
      <w:numFmt w:val="bullet"/>
      <w:lvlText w:val=""/>
      <w:lvlJc w:val="left"/>
      <w:pPr>
        <w:ind w:left="5040" w:hanging="360"/>
      </w:pPr>
      <w:rPr>
        <w:rFonts w:ascii="Symbol" w:hAnsi="Symbol" w:hint="default"/>
      </w:rPr>
    </w:lvl>
    <w:lvl w:ilvl="7" w:tplc="734ED836" w:tentative="1">
      <w:start w:val="1"/>
      <w:numFmt w:val="bullet"/>
      <w:lvlText w:val="o"/>
      <w:lvlJc w:val="left"/>
      <w:pPr>
        <w:ind w:left="5760" w:hanging="360"/>
      </w:pPr>
      <w:rPr>
        <w:rFonts w:ascii="Courier New" w:hAnsi="Courier New" w:cs="Courier New" w:hint="default"/>
      </w:rPr>
    </w:lvl>
    <w:lvl w:ilvl="8" w:tplc="114C0706" w:tentative="1">
      <w:start w:val="1"/>
      <w:numFmt w:val="bullet"/>
      <w:lvlText w:val=""/>
      <w:lvlJc w:val="left"/>
      <w:pPr>
        <w:ind w:left="6480" w:hanging="360"/>
      </w:pPr>
      <w:rPr>
        <w:rFonts w:ascii="Wingdings" w:hAnsi="Wingdings" w:hint="default"/>
      </w:rPr>
    </w:lvl>
  </w:abstractNum>
  <w:abstractNum w:abstractNumId="65" w15:restartNumberingAfterBreak="0">
    <w:nsid w:val="27A230F6"/>
    <w:multiLevelType w:val="hybridMultilevel"/>
    <w:tmpl w:val="FED01DDE"/>
    <w:lvl w:ilvl="0" w:tplc="9CC47B0C">
      <w:start w:val="1"/>
      <w:numFmt w:val="bullet"/>
      <w:lvlText w:val=""/>
      <w:lvlJc w:val="left"/>
      <w:pPr>
        <w:ind w:left="720" w:hanging="360"/>
      </w:pPr>
      <w:rPr>
        <w:rFonts w:ascii="Symbol" w:hAnsi="Symbol" w:hint="default"/>
      </w:rPr>
    </w:lvl>
    <w:lvl w:ilvl="1" w:tplc="138AE42C" w:tentative="1">
      <w:start w:val="1"/>
      <w:numFmt w:val="bullet"/>
      <w:lvlText w:val="o"/>
      <w:lvlJc w:val="left"/>
      <w:pPr>
        <w:ind w:left="1440" w:hanging="360"/>
      </w:pPr>
      <w:rPr>
        <w:rFonts w:ascii="Courier New" w:hAnsi="Courier New" w:cs="Courier New" w:hint="default"/>
      </w:rPr>
    </w:lvl>
    <w:lvl w:ilvl="2" w:tplc="04686814" w:tentative="1">
      <w:start w:val="1"/>
      <w:numFmt w:val="bullet"/>
      <w:lvlText w:val=""/>
      <w:lvlJc w:val="left"/>
      <w:pPr>
        <w:ind w:left="2160" w:hanging="360"/>
      </w:pPr>
      <w:rPr>
        <w:rFonts w:ascii="Wingdings" w:hAnsi="Wingdings" w:hint="default"/>
      </w:rPr>
    </w:lvl>
    <w:lvl w:ilvl="3" w:tplc="58205F64" w:tentative="1">
      <w:start w:val="1"/>
      <w:numFmt w:val="bullet"/>
      <w:lvlText w:val=""/>
      <w:lvlJc w:val="left"/>
      <w:pPr>
        <w:ind w:left="2880" w:hanging="360"/>
      </w:pPr>
      <w:rPr>
        <w:rFonts w:ascii="Symbol" w:hAnsi="Symbol" w:hint="default"/>
      </w:rPr>
    </w:lvl>
    <w:lvl w:ilvl="4" w:tplc="0DE4498E" w:tentative="1">
      <w:start w:val="1"/>
      <w:numFmt w:val="bullet"/>
      <w:lvlText w:val="o"/>
      <w:lvlJc w:val="left"/>
      <w:pPr>
        <w:ind w:left="3600" w:hanging="360"/>
      </w:pPr>
      <w:rPr>
        <w:rFonts w:ascii="Courier New" w:hAnsi="Courier New" w:cs="Courier New" w:hint="default"/>
      </w:rPr>
    </w:lvl>
    <w:lvl w:ilvl="5" w:tplc="30720B60" w:tentative="1">
      <w:start w:val="1"/>
      <w:numFmt w:val="bullet"/>
      <w:lvlText w:val=""/>
      <w:lvlJc w:val="left"/>
      <w:pPr>
        <w:ind w:left="4320" w:hanging="360"/>
      </w:pPr>
      <w:rPr>
        <w:rFonts w:ascii="Wingdings" w:hAnsi="Wingdings" w:hint="default"/>
      </w:rPr>
    </w:lvl>
    <w:lvl w:ilvl="6" w:tplc="DDEA1976" w:tentative="1">
      <w:start w:val="1"/>
      <w:numFmt w:val="bullet"/>
      <w:lvlText w:val=""/>
      <w:lvlJc w:val="left"/>
      <w:pPr>
        <w:ind w:left="5040" w:hanging="360"/>
      </w:pPr>
      <w:rPr>
        <w:rFonts w:ascii="Symbol" w:hAnsi="Symbol" w:hint="default"/>
      </w:rPr>
    </w:lvl>
    <w:lvl w:ilvl="7" w:tplc="19A668F0" w:tentative="1">
      <w:start w:val="1"/>
      <w:numFmt w:val="bullet"/>
      <w:lvlText w:val="o"/>
      <w:lvlJc w:val="left"/>
      <w:pPr>
        <w:ind w:left="5760" w:hanging="360"/>
      </w:pPr>
      <w:rPr>
        <w:rFonts w:ascii="Courier New" w:hAnsi="Courier New" w:cs="Courier New" w:hint="default"/>
      </w:rPr>
    </w:lvl>
    <w:lvl w:ilvl="8" w:tplc="3404D14A" w:tentative="1">
      <w:start w:val="1"/>
      <w:numFmt w:val="bullet"/>
      <w:lvlText w:val=""/>
      <w:lvlJc w:val="left"/>
      <w:pPr>
        <w:ind w:left="6480" w:hanging="360"/>
      </w:pPr>
      <w:rPr>
        <w:rFonts w:ascii="Wingdings" w:hAnsi="Wingdings" w:hint="default"/>
      </w:rPr>
    </w:lvl>
  </w:abstractNum>
  <w:abstractNum w:abstractNumId="66" w15:restartNumberingAfterBreak="0">
    <w:nsid w:val="27FE010B"/>
    <w:multiLevelType w:val="hybridMultilevel"/>
    <w:tmpl w:val="4E48AA2C"/>
    <w:lvl w:ilvl="0" w:tplc="336C1842">
      <w:start w:val="1"/>
      <w:numFmt w:val="decimal"/>
      <w:lvlText w:val="%1."/>
      <w:lvlJc w:val="left"/>
      <w:pPr>
        <w:ind w:left="720" w:hanging="360"/>
      </w:pPr>
    </w:lvl>
    <w:lvl w:ilvl="1" w:tplc="DE8A1350" w:tentative="1">
      <w:start w:val="1"/>
      <w:numFmt w:val="lowerLetter"/>
      <w:lvlText w:val="%2."/>
      <w:lvlJc w:val="left"/>
      <w:pPr>
        <w:ind w:left="1440" w:hanging="360"/>
      </w:pPr>
    </w:lvl>
    <w:lvl w:ilvl="2" w:tplc="28DE39E0" w:tentative="1">
      <w:start w:val="1"/>
      <w:numFmt w:val="lowerRoman"/>
      <w:lvlText w:val="%3."/>
      <w:lvlJc w:val="right"/>
      <w:pPr>
        <w:ind w:left="2160" w:hanging="180"/>
      </w:pPr>
    </w:lvl>
    <w:lvl w:ilvl="3" w:tplc="937466A6" w:tentative="1">
      <w:start w:val="1"/>
      <w:numFmt w:val="decimal"/>
      <w:lvlText w:val="%4."/>
      <w:lvlJc w:val="left"/>
      <w:pPr>
        <w:ind w:left="2880" w:hanging="360"/>
      </w:pPr>
    </w:lvl>
    <w:lvl w:ilvl="4" w:tplc="7B6EAE40" w:tentative="1">
      <w:start w:val="1"/>
      <w:numFmt w:val="lowerLetter"/>
      <w:lvlText w:val="%5."/>
      <w:lvlJc w:val="left"/>
      <w:pPr>
        <w:ind w:left="3600" w:hanging="360"/>
      </w:pPr>
    </w:lvl>
    <w:lvl w:ilvl="5" w:tplc="3E0248DA" w:tentative="1">
      <w:start w:val="1"/>
      <w:numFmt w:val="lowerRoman"/>
      <w:lvlText w:val="%6."/>
      <w:lvlJc w:val="right"/>
      <w:pPr>
        <w:ind w:left="4320" w:hanging="180"/>
      </w:pPr>
    </w:lvl>
    <w:lvl w:ilvl="6" w:tplc="4E520806" w:tentative="1">
      <w:start w:val="1"/>
      <w:numFmt w:val="decimal"/>
      <w:lvlText w:val="%7."/>
      <w:lvlJc w:val="left"/>
      <w:pPr>
        <w:ind w:left="5040" w:hanging="360"/>
      </w:pPr>
    </w:lvl>
    <w:lvl w:ilvl="7" w:tplc="2FBCB2A4" w:tentative="1">
      <w:start w:val="1"/>
      <w:numFmt w:val="lowerLetter"/>
      <w:lvlText w:val="%8."/>
      <w:lvlJc w:val="left"/>
      <w:pPr>
        <w:ind w:left="5760" w:hanging="360"/>
      </w:pPr>
    </w:lvl>
    <w:lvl w:ilvl="8" w:tplc="D382A568" w:tentative="1">
      <w:start w:val="1"/>
      <w:numFmt w:val="lowerRoman"/>
      <w:lvlText w:val="%9."/>
      <w:lvlJc w:val="right"/>
      <w:pPr>
        <w:ind w:left="6480" w:hanging="180"/>
      </w:pPr>
    </w:lvl>
  </w:abstractNum>
  <w:abstractNum w:abstractNumId="67" w15:restartNumberingAfterBreak="0">
    <w:nsid w:val="2893503C"/>
    <w:multiLevelType w:val="hybridMultilevel"/>
    <w:tmpl w:val="1354E474"/>
    <w:lvl w:ilvl="0" w:tplc="DA847C2E">
      <w:start w:val="1"/>
      <w:numFmt w:val="decimal"/>
      <w:lvlText w:val="%1."/>
      <w:lvlJc w:val="left"/>
      <w:pPr>
        <w:ind w:left="720" w:hanging="360"/>
      </w:pPr>
    </w:lvl>
    <w:lvl w:ilvl="1" w:tplc="7766165C" w:tentative="1">
      <w:start w:val="1"/>
      <w:numFmt w:val="lowerLetter"/>
      <w:lvlText w:val="%2."/>
      <w:lvlJc w:val="left"/>
      <w:pPr>
        <w:ind w:left="1440" w:hanging="360"/>
      </w:pPr>
    </w:lvl>
    <w:lvl w:ilvl="2" w:tplc="4256392C" w:tentative="1">
      <w:start w:val="1"/>
      <w:numFmt w:val="lowerRoman"/>
      <w:lvlText w:val="%3."/>
      <w:lvlJc w:val="right"/>
      <w:pPr>
        <w:ind w:left="2160" w:hanging="180"/>
      </w:pPr>
    </w:lvl>
    <w:lvl w:ilvl="3" w:tplc="CB96C306" w:tentative="1">
      <w:start w:val="1"/>
      <w:numFmt w:val="decimal"/>
      <w:lvlText w:val="%4."/>
      <w:lvlJc w:val="left"/>
      <w:pPr>
        <w:ind w:left="2880" w:hanging="360"/>
      </w:pPr>
    </w:lvl>
    <w:lvl w:ilvl="4" w:tplc="3FF4FED2" w:tentative="1">
      <w:start w:val="1"/>
      <w:numFmt w:val="lowerLetter"/>
      <w:lvlText w:val="%5."/>
      <w:lvlJc w:val="left"/>
      <w:pPr>
        <w:ind w:left="3600" w:hanging="360"/>
      </w:pPr>
    </w:lvl>
    <w:lvl w:ilvl="5" w:tplc="437A04F8" w:tentative="1">
      <w:start w:val="1"/>
      <w:numFmt w:val="lowerRoman"/>
      <w:lvlText w:val="%6."/>
      <w:lvlJc w:val="right"/>
      <w:pPr>
        <w:ind w:left="4320" w:hanging="180"/>
      </w:pPr>
    </w:lvl>
    <w:lvl w:ilvl="6" w:tplc="EAAA0DE8" w:tentative="1">
      <w:start w:val="1"/>
      <w:numFmt w:val="decimal"/>
      <w:lvlText w:val="%7."/>
      <w:lvlJc w:val="left"/>
      <w:pPr>
        <w:ind w:left="5040" w:hanging="360"/>
      </w:pPr>
    </w:lvl>
    <w:lvl w:ilvl="7" w:tplc="E970F518" w:tentative="1">
      <w:start w:val="1"/>
      <w:numFmt w:val="lowerLetter"/>
      <w:lvlText w:val="%8."/>
      <w:lvlJc w:val="left"/>
      <w:pPr>
        <w:ind w:left="5760" w:hanging="360"/>
      </w:pPr>
    </w:lvl>
    <w:lvl w:ilvl="8" w:tplc="25EAD45E" w:tentative="1">
      <w:start w:val="1"/>
      <w:numFmt w:val="lowerRoman"/>
      <w:lvlText w:val="%9."/>
      <w:lvlJc w:val="right"/>
      <w:pPr>
        <w:ind w:left="6480" w:hanging="180"/>
      </w:pPr>
    </w:lvl>
  </w:abstractNum>
  <w:abstractNum w:abstractNumId="68" w15:restartNumberingAfterBreak="0">
    <w:nsid w:val="28950921"/>
    <w:multiLevelType w:val="multilevel"/>
    <w:tmpl w:val="D934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93F0C9D"/>
    <w:multiLevelType w:val="multilevel"/>
    <w:tmpl w:val="33B0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AF83075"/>
    <w:multiLevelType w:val="hybridMultilevel"/>
    <w:tmpl w:val="720CA0BA"/>
    <w:lvl w:ilvl="0" w:tplc="69960AB6">
      <w:start w:val="1"/>
      <w:numFmt w:val="lowerRoman"/>
      <w:lvlText w:val="%1."/>
      <w:lvlJc w:val="right"/>
      <w:pPr>
        <w:ind w:left="1080" w:hanging="360"/>
      </w:pPr>
    </w:lvl>
    <w:lvl w:ilvl="1" w:tplc="42F8B99E" w:tentative="1">
      <w:start w:val="1"/>
      <w:numFmt w:val="lowerLetter"/>
      <w:lvlText w:val="%2."/>
      <w:lvlJc w:val="left"/>
      <w:pPr>
        <w:ind w:left="1800" w:hanging="360"/>
      </w:pPr>
    </w:lvl>
    <w:lvl w:ilvl="2" w:tplc="8C482540" w:tentative="1">
      <w:start w:val="1"/>
      <w:numFmt w:val="lowerRoman"/>
      <w:lvlText w:val="%3."/>
      <w:lvlJc w:val="right"/>
      <w:pPr>
        <w:ind w:left="2520" w:hanging="180"/>
      </w:pPr>
    </w:lvl>
    <w:lvl w:ilvl="3" w:tplc="6C043A74" w:tentative="1">
      <w:start w:val="1"/>
      <w:numFmt w:val="decimal"/>
      <w:lvlText w:val="%4."/>
      <w:lvlJc w:val="left"/>
      <w:pPr>
        <w:ind w:left="3240" w:hanging="360"/>
      </w:pPr>
    </w:lvl>
    <w:lvl w:ilvl="4" w:tplc="E306DB0C" w:tentative="1">
      <w:start w:val="1"/>
      <w:numFmt w:val="lowerLetter"/>
      <w:lvlText w:val="%5."/>
      <w:lvlJc w:val="left"/>
      <w:pPr>
        <w:ind w:left="3960" w:hanging="360"/>
      </w:pPr>
    </w:lvl>
    <w:lvl w:ilvl="5" w:tplc="1E9245B2" w:tentative="1">
      <w:start w:val="1"/>
      <w:numFmt w:val="lowerRoman"/>
      <w:lvlText w:val="%6."/>
      <w:lvlJc w:val="right"/>
      <w:pPr>
        <w:ind w:left="4680" w:hanging="180"/>
      </w:pPr>
    </w:lvl>
    <w:lvl w:ilvl="6" w:tplc="4496AF7A" w:tentative="1">
      <w:start w:val="1"/>
      <w:numFmt w:val="decimal"/>
      <w:lvlText w:val="%7."/>
      <w:lvlJc w:val="left"/>
      <w:pPr>
        <w:ind w:left="5400" w:hanging="360"/>
      </w:pPr>
    </w:lvl>
    <w:lvl w:ilvl="7" w:tplc="8E98FD54" w:tentative="1">
      <w:start w:val="1"/>
      <w:numFmt w:val="lowerLetter"/>
      <w:lvlText w:val="%8."/>
      <w:lvlJc w:val="left"/>
      <w:pPr>
        <w:ind w:left="6120" w:hanging="360"/>
      </w:pPr>
    </w:lvl>
    <w:lvl w:ilvl="8" w:tplc="12269854" w:tentative="1">
      <w:start w:val="1"/>
      <w:numFmt w:val="lowerRoman"/>
      <w:lvlText w:val="%9."/>
      <w:lvlJc w:val="right"/>
      <w:pPr>
        <w:ind w:left="6840" w:hanging="180"/>
      </w:pPr>
    </w:lvl>
  </w:abstractNum>
  <w:abstractNum w:abstractNumId="71" w15:restartNumberingAfterBreak="0">
    <w:nsid w:val="2B7FE016"/>
    <w:multiLevelType w:val="hybridMultilevel"/>
    <w:tmpl w:val="66A414E4"/>
    <w:lvl w:ilvl="0" w:tplc="127EBA18">
      <w:start w:val="2"/>
      <w:numFmt w:val="decimal"/>
      <w:lvlText w:val="%1."/>
      <w:lvlJc w:val="left"/>
      <w:pPr>
        <w:ind w:left="720" w:hanging="360"/>
      </w:pPr>
      <w:rPr>
        <w:rFonts w:ascii="Aptos" w:hAnsi="Aptos" w:hint="default"/>
      </w:rPr>
    </w:lvl>
    <w:lvl w:ilvl="1" w:tplc="E1421B34">
      <w:start w:val="1"/>
      <w:numFmt w:val="lowerLetter"/>
      <w:lvlText w:val="%2."/>
      <w:lvlJc w:val="left"/>
      <w:pPr>
        <w:ind w:left="1440" w:hanging="360"/>
      </w:pPr>
    </w:lvl>
    <w:lvl w:ilvl="2" w:tplc="23CA5C98">
      <w:start w:val="1"/>
      <w:numFmt w:val="lowerRoman"/>
      <w:lvlText w:val="%3."/>
      <w:lvlJc w:val="right"/>
      <w:pPr>
        <w:ind w:left="2160" w:hanging="180"/>
      </w:pPr>
    </w:lvl>
    <w:lvl w:ilvl="3" w:tplc="9A66BF54">
      <w:start w:val="1"/>
      <w:numFmt w:val="decimal"/>
      <w:lvlText w:val="%4."/>
      <w:lvlJc w:val="left"/>
      <w:pPr>
        <w:ind w:left="2880" w:hanging="360"/>
      </w:pPr>
    </w:lvl>
    <w:lvl w:ilvl="4" w:tplc="74CAF59A">
      <w:start w:val="1"/>
      <w:numFmt w:val="lowerLetter"/>
      <w:lvlText w:val="%5."/>
      <w:lvlJc w:val="left"/>
      <w:pPr>
        <w:ind w:left="3600" w:hanging="360"/>
      </w:pPr>
    </w:lvl>
    <w:lvl w:ilvl="5" w:tplc="A81A701E">
      <w:start w:val="1"/>
      <w:numFmt w:val="lowerRoman"/>
      <w:lvlText w:val="%6."/>
      <w:lvlJc w:val="right"/>
      <w:pPr>
        <w:ind w:left="4320" w:hanging="180"/>
      </w:pPr>
    </w:lvl>
    <w:lvl w:ilvl="6" w:tplc="A32A2A3A">
      <w:start w:val="1"/>
      <w:numFmt w:val="decimal"/>
      <w:lvlText w:val="%7."/>
      <w:lvlJc w:val="left"/>
      <w:pPr>
        <w:ind w:left="5040" w:hanging="360"/>
      </w:pPr>
    </w:lvl>
    <w:lvl w:ilvl="7" w:tplc="5D76D886">
      <w:start w:val="1"/>
      <w:numFmt w:val="lowerLetter"/>
      <w:lvlText w:val="%8."/>
      <w:lvlJc w:val="left"/>
      <w:pPr>
        <w:ind w:left="5760" w:hanging="360"/>
      </w:pPr>
    </w:lvl>
    <w:lvl w:ilvl="8" w:tplc="44BAEBAA">
      <w:start w:val="1"/>
      <w:numFmt w:val="lowerRoman"/>
      <w:lvlText w:val="%9."/>
      <w:lvlJc w:val="right"/>
      <w:pPr>
        <w:ind w:left="6480" w:hanging="180"/>
      </w:pPr>
    </w:lvl>
  </w:abstractNum>
  <w:abstractNum w:abstractNumId="72" w15:restartNumberingAfterBreak="0">
    <w:nsid w:val="2C660091"/>
    <w:multiLevelType w:val="multilevel"/>
    <w:tmpl w:val="C372A562"/>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Aptos" w:eastAsia="Times New Roman" w:hAnsi="Aptos" w:cstheme="minorBidi" w:hint="default"/>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3" w15:restartNumberingAfterBreak="0">
    <w:nsid w:val="2CA91038"/>
    <w:multiLevelType w:val="hybridMultilevel"/>
    <w:tmpl w:val="EC9A55E6"/>
    <w:lvl w:ilvl="0" w:tplc="1BC003F2">
      <w:start w:val="1"/>
      <w:numFmt w:val="bullet"/>
      <w:lvlText w:val=""/>
      <w:lvlJc w:val="left"/>
      <w:pPr>
        <w:ind w:left="720" w:hanging="360"/>
      </w:pPr>
      <w:rPr>
        <w:rFonts w:ascii="Symbol" w:hAnsi="Symbol" w:hint="default"/>
      </w:rPr>
    </w:lvl>
    <w:lvl w:ilvl="1" w:tplc="B914B810" w:tentative="1">
      <w:start w:val="1"/>
      <w:numFmt w:val="bullet"/>
      <w:lvlText w:val="o"/>
      <w:lvlJc w:val="left"/>
      <w:pPr>
        <w:ind w:left="1440" w:hanging="360"/>
      </w:pPr>
      <w:rPr>
        <w:rFonts w:ascii="Courier New" w:hAnsi="Courier New" w:cs="Courier New" w:hint="default"/>
      </w:rPr>
    </w:lvl>
    <w:lvl w:ilvl="2" w:tplc="BDA2A438" w:tentative="1">
      <w:start w:val="1"/>
      <w:numFmt w:val="bullet"/>
      <w:lvlText w:val=""/>
      <w:lvlJc w:val="left"/>
      <w:pPr>
        <w:ind w:left="2160" w:hanging="360"/>
      </w:pPr>
      <w:rPr>
        <w:rFonts w:ascii="Wingdings" w:hAnsi="Wingdings" w:hint="default"/>
      </w:rPr>
    </w:lvl>
    <w:lvl w:ilvl="3" w:tplc="60BEB144" w:tentative="1">
      <w:start w:val="1"/>
      <w:numFmt w:val="bullet"/>
      <w:lvlText w:val=""/>
      <w:lvlJc w:val="left"/>
      <w:pPr>
        <w:ind w:left="2880" w:hanging="360"/>
      </w:pPr>
      <w:rPr>
        <w:rFonts w:ascii="Symbol" w:hAnsi="Symbol" w:hint="default"/>
      </w:rPr>
    </w:lvl>
    <w:lvl w:ilvl="4" w:tplc="01708370" w:tentative="1">
      <w:start w:val="1"/>
      <w:numFmt w:val="bullet"/>
      <w:lvlText w:val="o"/>
      <w:lvlJc w:val="left"/>
      <w:pPr>
        <w:ind w:left="3600" w:hanging="360"/>
      </w:pPr>
      <w:rPr>
        <w:rFonts w:ascii="Courier New" w:hAnsi="Courier New" w:cs="Courier New" w:hint="default"/>
      </w:rPr>
    </w:lvl>
    <w:lvl w:ilvl="5" w:tplc="FFAE76BE" w:tentative="1">
      <w:start w:val="1"/>
      <w:numFmt w:val="bullet"/>
      <w:lvlText w:val=""/>
      <w:lvlJc w:val="left"/>
      <w:pPr>
        <w:ind w:left="4320" w:hanging="360"/>
      </w:pPr>
      <w:rPr>
        <w:rFonts w:ascii="Wingdings" w:hAnsi="Wingdings" w:hint="default"/>
      </w:rPr>
    </w:lvl>
    <w:lvl w:ilvl="6" w:tplc="DBFCFFD0" w:tentative="1">
      <w:start w:val="1"/>
      <w:numFmt w:val="bullet"/>
      <w:lvlText w:val=""/>
      <w:lvlJc w:val="left"/>
      <w:pPr>
        <w:ind w:left="5040" w:hanging="360"/>
      </w:pPr>
      <w:rPr>
        <w:rFonts w:ascii="Symbol" w:hAnsi="Symbol" w:hint="default"/>
      </w:rPr>
    </w:lvl>
    <w:lvl w:ilvl="7" w:tplc="6370427E" w:tentative="1">
      <w:start w:val="1"/>
      <w:numFmt w:val="bullet"/>
      <w:lvlText w:val="o"/>
      <w:lvlJc w:val="left"/>
      <w:pPr>
        <w:ind w:left="5760" w:hanging="360"/>
      </w:pPr>
      <w:rPr>
        <w:rFonts w:ascii="Courier New" w:hAnsi="Courier New" w:cs="Courier New" w:hint="default"/>
      </w:rPr>
    </w:lvl>
    <w:lvl w:ilvl="8" w:tplc="5232BF00" w:tentative="1">
      <w:start w:val="1"/>
      <w:numFmt w:val="bullet"/>
      <w:lvlText w:val=""/>
      <w:lvlJc w:val="left"/>
      <w:pPr>
        <w:ind w:left="6480" w:hanging="360"/>
      </w:pPr>
      <w:rPr>
        <w:rFonts w:ascii="Wingdings" w:hAnsi="Wingdings" w:hint="default"/>
      </w:rPr>
    </w:lvl>
  </w:abstractNum>
  <w:abstractNum w:abstractNumId="74" w15:restartNumberingAfterBreak="0">
    <w:nsid w:val="2D3742AB"/>
    <w:multiLevelType w:val="hybridMultilevel"/>
    <w:tmpl w:val="D6AAB3D2"/>
    <w:lvl w:ilvl="0" w:tplc="2C9CA240">
      <w:start w:val="1"/>
      <w:numFmt w:val="bullet"/>
      <w:lvlText w:val=""/>
      <w:lvlJc w:val="left"/>
      <w:pPr>
        <w:ind w:left="720" w:hanging="360"/>
      </w:pPr>
      <w:rPr>
        <w:rFonts w:ascii="Symbol" w:hAnsi="Symbol" w:hint="default"/>
      </w:rPr>
    </w:lvl>
    <w:lvl w:ilvl="1" w:tplc="0826D89E" w:tentative="1">
      <w:start w:val="1"/>
      <w:numFmt w:val="bullet"/>
      <w:lvlText w:val="o"/>
      <w:lvlJc w:val="left"/>
      <w:pPr>
        <w:ind w:left="1440" w:hanging="360"/>
      </w:pPr>
      <w:rPr>
        <w:rFonts w:ascii="Courier New" w:hAnsi="Courier New" w:cs="Courier New" w:hint="default"/>
      </w:rPr>
    </w:lvl>
    <w:lvl w:ilvl="2" w:tplc="C1E639DC" w:tentative="1">
      <w:start w:val="1"/>
      <w:numFmt w:val="bullet"/>
      <w:lvlText w:val=""/>
      <w:lvlJc w:val="left"/>
      <w:pPr>
        <w:ind w:left="2160" w:hanging="360"/>
      </w:pPr>
      <w:rPr>
        <w:rFonts w:ascii="Wingdings" w:hAnsi="Wingdings" w:hint="default"/>
      </w:rPr>
    </w:lvl>
    <w:lvl w:ilvl="3" w:tplc="F580E2A0" w:tentative="1">
      <w:start w:val="1"/>
      <w:numFmt w:val="bullet"/>
      <w:lvlText w:val=""/>
      <w:lvlJc w:val="left"/>
      <w:pPr>
        <w:ind w:left="2880" w:hanging="360"/>
      </w:pPr>
      <w:rPr>
        <w:rFonts w:ascii="Symbol" w:hAnsi="Symbol" w:hint="default"/>
      </w:rPr>
    </w:lvl>
    <w:lvl w:ilvl="4" w:tplc="CC5C94EE" w:tentative="1">
      <w:start w:val="1"/>
      <w:numFmt w:val="bullet"/>
      <w:lvlText w:val="o"/>
      <w:lvlJc w:val="left"/>
      <w:pPr>
        <w:ind w:left="3600" w:hanging="360"/>
      </w:pPr>
      <w:rPr>
        <w:rFonts w:ascii="Courier New" w:hAnsi="Courier New" w:cs="Courier New" w:hint="default"/>
      </w:rPr>
    </w:lvl>
    <w:lvl w:ilvl="5" w:tplc="15F46F04" w:tentative="1">
      <w:start w:val="1"/>
      <w:numFmt w:val="bullet"/>
      <w:lvlText w:val=""/>
      <w:lvlJc w:val="left"/>
      <w:pPr>
        <w:ind w:left="4320" w:hanging="360"/>
      </w:pPr>
      <w:rPr>
        <w:rFonts w:ascii="Wingdings" w:hAnsi="Wingdings" w:hint="default"/>
      </w:rPr>
    </w:lvl>
    <w:lvl w:ilvl="6" w:tplc="6D98D1A0" w:tentative="1">
      <w:start w:val="1"/>
      <w:numFmt w:val="bullet"/>
      <w:lvlText w:val=""/>
      <w:lvlJc w:val="left"/>
      <w:pPr>
        <w:ind w:left="5040" w:hanging="360"/>
      </w:pPr>
      <w:rPr>
        <w:rFonts w:ascii="Symbol" w:hAnsi="Symbol" w:hint="default"/>
      </w:rPr>
    </w:lvl>
    <w:lvl w:ilvl="7" w:tplc="8DE410AE" w:tentative="1">
      <w:start w:val="1"/>
      <w:numFmt w:val="bullet"/>
      <w:lvlText w:val="o"/>
      <w:lvlJc w:val="left"/>
      <w:pPr>
        <w:ind w:left="5760" w:hanging="360"/>
      </w:pPr>
      <w:rPr>
        <w:rFonts w:ascii="Courier New" w:hAnsi="Courier New" w:cs="Courier New" w:hint="default"/>
      </w:rPr>
    </w:lvl>
    <w:lvl w:ilvl="8" w:tplc="3EC0C644" w:tentative="1">
      <w:start w:val="1"/>
      <w:numFmt w:val="bullet"/>
      <w:lvlText w:val=""/>
      <w:lvlJc w:val="left"/>
      <w:pPr>
        <w:ind w:left="6480" w:hanging="360"/>
      </w:pPr>
      <w:rPr>
        <w:rFonts w:ascii="Wingdings" w:hAnsi="Wingdings" w:hint="default"/>
      </w:rPr>
    </w:lvl>
  </w:abstractNum>
  <w:abstractNum w:abstractNumId="75" w15:restartNumberingAfterBreak="0">
    <w:nsid w:val="2D5006E8"/>
    <w:multiLevelType w:val="hybridMultilevel"/>
    <w:tmpl w:val="389AD0F4"/>
    <w:lvl w:ilvl="0" w:tplc="F6BAC90E">
      <w:numFmt w:val="bullet"/>
      <w:lvlText w:val="•"/>
      <w:lvlJc w:val="left"/>
      <w:pPr>
        <w:ind w:left="720" w:hanging="360"/>
      </w:pPr>
      <w:rPr>
        <w:rFonts w:hint="default"/>
      </w:rPr>
    </w:lvl>
    <w:lvl w:ilvl="1" w:tplc="A0349416" w:tentative="1">
      <w:start w:val="1"/>
      <w:numFmt w:val="bullet"/>
      <w:lvlText w:val="o"/>
      <w:lvlJc w:val="left"/>
      <w:pPr>
        <w:ind w:left="1440" w:hanging="360"/>
      </w:pPr>
      <w:rPr>
        <w:rFonts w:ascii="Courier New" w:hAnsi="Courier New" w:cs="Courier New" w:hint="default"/>
      </w:rPr>
    </w:lvl>
    <w:lvl w:ilvl="2" w:tplc="734CC8E2" w:tentative="1">
      <w:start w:val="1"/>
      <w:numFmt w:val="bullet"/>
      <w:lvlText w:val=""/>
      <w:lvlJc w:val="left"/>
      <w:pPr>
        <w:ind w:left="2160" w:hanging="360"/>
      </w:pPr>
      <w:rPr>
        <w:rFonts w:ascii="Wingdings" w:hAnsi="Wingdings" w:hint="default"/>
      </w:rPr>
    </w:lvl>
    <w:lvl w:ilvl="3" w:tplc="020E2F28" w:tentative="1">
      <w:start w:val="1"/>
      <w:numFmt w:val="bullet"/>
      <w:lvlText w:val=""/>
      <w:lvlJc w:val="left"/>
      <w:pPr>
        <w:ind w:left="2880" w:hanging="360"/>
      </w:pPr>
      <w:rPr>
        <w:rFonts w:ascii="Symbol" w:hAnsi="Symbol" w:hint="default"/>
      </w:rPr>
    </w:lvl>
    <w:lvl w:ilvl="4" w:tplc="785008F6" w:tentative="1">
      <w:start w:val="1"/>
      <w:numFmt w:val="bullet"/>
      <w:lvlText w:val="o"/>
      <w:lvlJc w:val="left"/>
      <w:pPr>
        <w:ind w:left="3600" w:hanging="360"/>
      </w:pPr>
      <w:rPr>
        <w:rFonts w:ascii="Courier New" w:hAnsi="Courier New" w:cs="Courier New" w:hint="default"/>
      </w:rPr>
    </w:lvl>
    <w:lvl w:ilvl="5" w:tplc="159E8B54" w:tentative="1">
      <w:start w:val="1"/>
      <w:numFmt w:val="bullet"/>
      <w:lvlText w:val=""/>
      <w:lvlJc w:val="left"/>
      <w:pPr>
        <w:ind w:left="4320" w:hanging="360"/>
      </w:pPr>
      <w:rPr>
        <w:rFonts w:ascii="Wingdings" w:hAnsi="Wingdings" w:hint="default"/>
      </w:rPr>
    </w:lvl>
    <w:lvl w:ilvl="6" w:tplc="7F9E607E" w:tentative="1">
      <w:start w:val="1"/>
      <w:numFmt w:val="bullet"/>
      <w:lvlText w:val=""/>
      <w:lvlJc w:val="left"/>
      <w:pPr>
        <w:ind w:left="5040" w:hanging="360"/>
      </w:pPr>
      <w:rPr>
        <w:rFonts w:ascii="Symbol" w:hAnsi="Symbol" w:hint="default"/>
      </w:rPr>
    </w:lvl>
    <w:lvl w:ilvl="7" w:tplc="56E4D756" w:tentative="1">
      <w:start w:val="1"/>
      <w:numFmt w:val="bullet"/>
      <w:lvlText w:val="o"/>
      <w:lvlJc w:val="left"/>
      <w:pPr>
        <w:ind w:left="5760" w:hanging="360"/>
      </w:pPr>
      <w:rPr>
        <w:rFonts w:ascii="Courier New" w:hAnsi="Courier New" w:cs="Courier New" w:hint="default"/>
      </w:rPr>
    </w:lvl>
    <w:lvl w:ilvl="8" w:tplc="A0CE93D0" w:tentative="1">
      <w:start w:val="1"/>
      <w:numFmt w:val="bullet"/>
      <w:lvlText w:val=""/>
      <w:lvlJc w:val="left"/>
      <w:pPr>
        <w:ind w:left="6480" w:hanging="360"/>
      </w:pPr>
      <w:rPr>
        <w:rFonts w:ascii="Wingdings" w:hAnsi="Wingdings" w:hint="default"/>
      </w:rPr>
    </w:lvl>
  </w:abstractNum>
  <w:abstractNum w:abstractNumId="76" w15:restartNumberingAfterBreak="0">
    <w:nsid w:val="2DE7566A"/>
    <w:multiLevelType w:val="hybridMultilevel"/>
    <w:tmpl w:val="49CA2DDE"/>
    <w:lvl w:ilvl="0" w:tplc="83FA90D6">
      <w:start w:val="1"/>
      <w:numFmt w:val="decimal"/>
      <w:lvlText w:val="%1."/>
      <w:lvlJc w:val="left"/>
      <w:pPr>
        <w:ind w:left="720" w:hanging="360"/>
      </w:pPr>
      <w:rPr>
        <w:rFonts w:ascii="Aptos" w:hAnsi="Aptos" w:hint="default"/>
      </w:rPr>
    </w:lvl>
    <w:lvl w:ilvl="1" w:tplc="CDEA3114">
      <w:start w:val="1"/>
      <w:numFmt w:val="lowerLetter"/>
      <w:lvlText w:val="%2."/>
      <w:lvlJc w:val="left"/>
      <w:pPr>
        <w:ind w:left="1440" w:hanging="360"/>
      </w:pPr>
    </w:lvl>
    <w:lvl w:ilvl="2" w:tplc="2F16DF16">
      <w:start w:val="1"/>
      <w:numFmt w:val="lowerRoman"/>
      <w:lvlText w:val="%3."/>
      <w:lvlJc w:val="right"/>
      <w:pPr>
        <w:ind w:left="2160" w:hanging="180"/>
      </w:pPr>
    </w:lvl>
    <w:lvl w:ilvl="3" w:tplc="E326D94A">
      <w:start w:val="1"/>
      <w:numFmt w:val="decimal"/>
      <w:lvlText w:val="%4."/>
      <w:lvlJc w:val="left"/>
      <w:pPr>
        <w:ind w:left="2880" w:hanging="360"/>
      </w:pPr>
    </w:lvl>
    <w:lvl w:ilvl="4" w:tplc="802A6364">
      <w:start w:val="1"/>
      <w:numFmt w:val="lowerLetter"/>
      <w:lvlText w:val="%5."/>
      <w:lvlJc w:val="left"/>
      <w:pPr>
        <w:ind w:left="3600" w:hanging="360"/>
      </w:pPr>
    </w:lvl>
    <w:lvl w:ilvl="5" w:tplc="526C4E22">
      <w:start w:val="1"/>
      <w:numFmt w:val="lowerRoman"/>
      <w:lvlText w:val="%6."/>
      <w:lvlJc w:val="right"/>
      <w:pPr>
        <w:ind w:left="4320" w:hanging="180"/>
      </w:pPr>
    </w:lvl>
    <w:lvl w:ilvl="6" w:tplc="DDCC9392">
      <w:start w:val="1"/>
      <w:numFmt w:val="decimal"/>
      <w:lvlText w:val="%7."/>
      <w:lvlJc w:val="left"/>
      <w:pPr>
        <w:ind w:left="5040" w:hanging="360"/>
      </w:pPr>
    </w:lvl>
    <w:lvl w:ilvl="7" w:tplc="B7A6F9DA">
      <w:start w:val="1"/>
      <w:numFmt w:val="lowerLetter"/>
      <w:lvlText w:val="%8."/>
      <w:lvlJc w:val="left"/>
      <w:pPr>
        <w:ind w:left="5760" w:hanging="360"/>
      </w:pPr>
    </w:lvl>
    <w:lvl w:ilvl="8" w:tplc="D99CB4D6">
      <w:start w:val="1"/>
      <w:numFmt w:val="lowerRoman"/>
      <w:lvlText w:val="%9."/>
      <w:lvlJc w:val="right"/>
      <w:pPr>
        <w:ind w:left="6480" w:hanging="180"/>
      </w:pPr>
    </w:lvl>
  </w:abstractNum>
  <w:abstractNum w:abstractNumId="77" w15:restartNumberingAfterBreak="0">
    <w:nsid w:val="2EEF4912"/>
    <w:multiLevelType w:val="multilevel"/>
    <w:tmpl w:val="D3E6A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F0D3249"/>
    <w:multiLevelType w:val="multilevel"/>
    <w:tmpl w:val="95F6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2F6A26E0"/>
    <w:multiLevelType w:val="hybridMultilevel"/>
    <w:tmpl w:val="53D6A79A"/>
    <w:lvl w:ilvl="0" w:tplc="B1DA6B1C">
      <w:numFmt w:val="bullet"/>
      <w:lvlText w:val="•"/>
      <w:lvlJc w:val="left"/>
      <w:pPr>
        <w:ind w:left="720" w:hanging="360"/>
      </w:pPr>
      <w:rPr>
        <w:rFonts w:hint="default"/>
      </w:rPr>
    </w:lvl>
    <w:lvl w:ilvl="1" w:tplc="9CC0EE3A" w:tentative="1">
      <w:start w:val="1"/>
      <w:numFmt w:val="bullet"/>
      <w:lvlText w:val="o"/>
      <w:lvlJc w:val="left"/>
      <w:pPr>
        <w:ind w:left="1440" w:hanging="360"/>
      </w:pPr>
      <w:rPr>
        <w:rFonts w:ascii="Courier New" w:hAnsi="Courier New" w:cs="Courier New" w:hint="default"/>
      </w:rPr>
    </w:lvl>
    <w:lvl w:ilvl="2" w:tplc="C9B6F69E" w:tentative="1">
      <w:start w:val="1"/>
      <w:numFmt w:val="bullet"/>
      <w:lvlText w:val=""/>
      <w:lvlJc w:val="left"/>
      <w:pPr>
        <w:ind w:left="2160" w:hanging="360"/>
      </w:pPr>
      <w:rPr>
        <w:rFonts w:ascii="Wingdings" w:hAnsi="Wingdings" w:hint="default"/>
      </w:rPr>
    </w:lvl>
    <w:lvl w:ilvl="3" w:tplc="8BDAB92C" w:tentative="1">
      <w:start w:val="1"/>
      <w:numFmt w:val="bullet"/>
      <w:lvlText w:val=""/>
      <w:lvlJc w:val="left"/>
      <w:pPr>
        <w:ind w:left="2880" w:hanging="360"/>
      </w:pPr>
      <w:rPr>
        <w:rFonts w:ascii="Symbol" w:hAnsi="Symbol" w:hint="default"/>
      </w:rPr>
    </w:lvl>
    <w:lvl w:ilvl="4" w:tplc="84D0B73A" w:tentative="1">
      <w:start w:val="1"/>
      <w:numFmt w:val="bullet"/>
      <w:lvlText w:val="o"/>
      <w:lvlJc w:val="left"/>
      <w:pPr>
        <w:ind w:left="3600" w:hanging="360"/>
      </w:pPr>
      <w:rPr>
        <w:rFonts w:ascii="Courier New" w:hAnsi="Courier New" w:cs="Courier New" w:hint="default"/>
      </w:rPr>
    </w:lvl>
    <w:lvl w:ilvl="5" w:tplc="CCDEF558" w:tentative="1">
      <w:start w:val="1"/>
      <w:numFmt w:val="bullet"/>
      <w:lvlText w:val=""/>
      <w:lvlJc w:val="left"/>
      <w:pPr>
        <w:ind w:left="4320" w:hanging="360"/>
      </w:pPr>
      <w:rPr>
        <w:rFonts w:ascii="Wingdings" w:hAnsi="Wingdings" w:hint="default"/>
      </w:rPr>
    </w:lvl>
    <w:lvl w:ilvl="6" w:tplc="D5ACE5A2" w:tentative="1">
      <w:start w:val="1"/>
      <w:numFmt w:val="bullet"/>
      <w:lvlText w:val=""/>
      <w:lvlJc w:val="left"/>
      <w:pPr>
        <w:ind w:left="5040" w:hanging="360"/>
      </w:pPr>
      <w:rPr>
        <w:rFonts w:ascii="Symbol" w:hAnsi="Symbol" w:hint="default"/>
      </w:rPr>
    </w:lvl>
    <w:lvl w:ilvl="7" w:tplc="0ECAB42E" w:tentative="1">
      <w:start w:val="1"/>
      <w:numFmt w:val="bullet"/>
      <w:lvlText w:val="o"/>
      <w:lvlJc w:val="left"/>
      <w:pPr>
        <w:ind w:left="5760" w:hanging="360"/>
      </w:pPr>
      <w:rPr>
        <w:rFonts w:ascii="Courier New" w:hAnsi="Courier New" w:cs="Courier New" w:hint="default"/>
      </w:rPr>
    </w:lvl>
    <w:lvl w:ilvl="8" w:tplc="D4C8820E" w:tentative="1">
      <w:start w:val="1"/>
      <w:numFmt w:val="bullet"/>
      <w:lvlText w:val=""/>
      <w:lvlJc w:val="left"/>
      <w:pPr>
        <w:ind w:left="6480" w:hanging="360"/>
      </w:pPr>
      <w:rPr>
        <w:rFonts w:ascii="Wingdings" w:hAnsi="Wingdings" w:hint="default"/>
      </w:rPr>
    </w:lvl>
  </w:abstractNum>
  <w:abstractNum w:abstractNumId="80" w15:restartNumberingAfterBreak="0">
    <w:nsid w:val="30753FC8"/>
    <w:multiLevelType w:val="multilevel"/>
    <w:tmpl w:val="2CA4D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309F1280"/>
    <w:multiLevelType w:val="multilevel"/>
    <w:tmpl w:val="FE5C9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2826DC1"/>
    <w:multiLevelType w:val="multilevel"/>
    <w:tmpl w:val="CB44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3200B02"/>
    <w:multiLevelType w:val="hybridMultilevel"/>
    <w:tmpl w:val="822082EA"/>
    <w:lvl w:ilvl="0" w:tplc="0B82D316">
      <w:start w:val="1"/>
      <w:numFmt w:val="bullet"/>
      <w:lvlText w:val=""/>
      <w:lvlJc w:val="left"/>
      <w:pPr>
        <w:ind w:left="720" w:hanging="360"/>
      </w:pPr>
      <w:rPr>
        <w:rFonts w:ascii="Symbol" w:hAnsi="Symbol" w:hint="default"/>
        <w:color w:val="FFFFFF" w:themeColor="background1"/>
      </w:rPr>
    </w:lvl>
    <w:lvl w:ilvl="1" w:tplc="B336AF0E" w:tentative="1">
      <w:start w:val="1"/>
      <w:numFmt w:val="bullet"/>
      <w:lvlText w:val="o"/>
      <w:lvlJc w:val="left"/>
      <w:pPr>
        <w:ind w:left="1440" w:hanging="360"/>
      </w:pPr>
      <w:rPr>
        <w:rFonts w:ascii="Courier New" w:hAnsi="Courier New" w:cs="Courier New" w:hint="default"/>
      </w:rPr>
    </w:lvl>
    <w:lvl w:ilvl="2" w:tplc="5226EE26" w:tentative="1">
      <w:start w:val="1"/>
      <w:numFmt w:val="bullet"/>
      <w:lvlText w:val=""/>
      <w:lvlJc w:val="left"/>
      <w:pPr>
        <w:ind w:left="2160" w:hanging="360"/>
      </w:pPr>
      <w:rPr>
        <w:rFonts w:ascii="Wingdings" w:hAnsi="Wingdings" w:hint="default"/>
      </w:rPr>
    </w:lvl>
    <w:lvl w:ilvl="3" w:tplc="D26AACCA" w:tentative="1">
      <w:start w:val="1"/>
      <w:numFmt w:val="bullet"/>
      <w:lvlText w:val=""/>
      <w:lvlJc w:val="left"/>
      <w:pPr>
        <w:ind w:left="2880" w:hanging="360"/>
      </w:pPr>
      <w:rPr>
        <w:rFonts w:ascii="Symbol" w:hAnsi="Symbol" w:hint="default"/>
      </w:rPr>
    </w:lvl>
    <w:lvl w:ilvl="4" w:tplc="64E62DD8" w:tentative="1">
      <w:start w:val="1"/>
      <w:numFmt w:val="bullet"/>
      <w:lvlText w:val="o"/>
      <w:lvlJc w:val="left"/>
      <w:pPr>
        <w:ind w:left="3600" w:hanging="360"/>
      </w:pPr>
      <w:rPr>
        <w:rFonts w:ascii="Courier New" w:hAnsi="Courier New" w:cs="Courier New" w:hint="default"/>
      </w:rPr>
    </w:lvl>
    <w:lvl w:ilvl="5" w:tplc="0E841EF6" w:tentative="1">
      <w:start w:val="1"/>
      <w:numFmt w:val="bullet"/>
      <w:lvlText w:val=""/>
      <w:lvlJc w:val="left"/>
      <w:pPr>
        <w:ind w:left="4320" w:hanging="360"/>
      </w:pPr>
      <w:rPr>
        <w:rFonts w:ascii="Wingdings" w:hAnsi="Wingdings" w:hint="default"/>
      </w:rPr>
    </w:lvl>
    <w:lvl w:ilvl="6" w:tplc="43E63A48" w:tentative="1">
      <w:start w:val="1"/>
      <w:numFmt w:val="bullet"/>
      <w:lvlText w:val=""/>
      <w:lvlJc w:val="left"/>
      <w:pPr>
        <w:ind w:left="5040" w:hanging="360"/>
      </w:pPr>
      <w:rPr>
        <w:rFonts w:ascii="Symbol" w:hAnsi="Symbol" w:hint="default"/>
      </w:rPr>
    </w:lvl>
    <w:lvl w:ilvl="7" w:tplc="49CEF0BA" w:tentative="1">
      <w:start w:val="1"/>
      <w:numFmt w:val="bullet"/>
      <w:lvlText w:val="o"/>
      <w:lvlJc w:val="left"/>
      <w:pPr>
        <w:ind w:left="5760" w:hanging="360"/>
      </w:pPr>
      <w:rPr>
        <w:rFonts w:ascii="Courier New" w:hAnsi="Courier New" w:cs="Courier New" w:hint="default"/>
      </w:rPr>
    </w:lvl>
    <w:lvl w:ilvl="8" w:tplc="B5945F70" w:tentative="1">
      <w:start w:val="1"/>
      <w:numFmt w:val="bullet"/>
      <w:lvlText w:val=""/>
      <w:lvlJc w:val="left"/>
      <w:pPr>
        <w:ind w:left="6480" w:hanging="360"/>
      </w:pPr>
      <w:rPr>
        <w:rFonts w:ascii="Wingdings" w:hAnsi="Wingdings" w:hint="default"/>
      </w:rPr>
    </w:lvl>
  </w:abstractNum>
  <w:abstractNum w:abstractNumId="84" w15:restartNumberingAfterBreak="0">
    <w:nsid w:val="333C4ACD"/>
    <w:multiLevelType w:val="hybridMultilevel"/>
    <w:tmpl w:val="DCF2BCC8"/>
    <w:lvl w:ilvl="0" w:tplc="73BECAD2">
      <w:start w:val="1"/>
      <w:numFmt w:val="bullet"/>
      <w:lvlText w:val=""/>
      <w:lvlJc w:val="left"/>
      <w:pPr>
        <w:ind w:left="720" w:hanging="360"/>
      </w:pPr>
      <w:rPr>
        <w:rFonts w:ascii="Symbol" w:hAnsi="Symbol" w:hint="default"/>
      </w:rPr>
    </w:lvl>
    <w:lvl w:ilvl="1" w:tplc="904E80DC" w:tentative="1">
      <w:start w:val="1"/>
      <w:numFmt w:val="bullet"/>
      <w:lvlText w:val="o"/>
      <w:lvlJc w:val="left"/>
      <w:pPr>
        <w:ind w:left="1440" w:hanging="360"/>
      </w:pPr>
      <w:rPr>
        <w:rFonts w:ascii="Courier New" w:hAnsi="Courier New" w:cs="Courier New" w:hint="default"/>
      </w:rPr>
    </w:lvl>
    <w:lvl w:ilvl="2" w:tplc="DB76D492" w:tentative="1">
      <w:start w:val="1"/>
      <w:numFmt w:val="bullet"/>
      <w:lvlText w:val=""/>
      <w:lvlJc w:val="left"/>
      <w:pPr>
        <w:ind w:left="2160" w:hanging="360"/>
      </w:pPr>
      <w:rPr>
        <w:rFonts w:ascii="Wingdings" w:hAnsi="Wingdings" w:hint="default"/>
      </w:rPr>
    </w:lvl>
    <w:lvl w:ilvl="3" w:tplc="755A78F8" w:tentative="1">
      <w:start w:val="1"/>
      <w:numFmt w:val="bullet"/>
      <w:lvlText w:val=""/>
      <w:lvlJc w:val="left"/>
      <w:pPr>
        <w:ind w:left="2880" w:hanging="360"/>
      </w:pPr>
      <w:rPr>
        <w:rFonts w:ascii="Symbol" w:hAnsi="Symbol" w:hint="default"/>
      </w:rPr>
    </w:lvl>
    <w:lvl w:ilvl="4" w:tplc="30E07108" w:tentative="1">
      <w:start w:val="1"/>
      <w:numFmt w:val="bullet"/>
      <w:lvlText w:val="o"/>
      <w:lvlJc w:val="left"/>
      <w:pPr>
        <w:ind w:left="3600" w:hanging="360"/>
      </w:pPr>
      <w:rPr>
        <w:rFonts w:ascii="Courier New" w:hAnsi="Courier New" w:cs="Courier New" w:hint="default"/>
      </w:rPr>
    </w:lvl>
    <w:lvl w:ilvl="5" w:tplc="AD66AB56" w:tentative="1">
      <w:start w:val="1"/>
      <w:numFmt w:val="bullet"/>
      <w:lvlText w:val=""/>
      <w:lvlJc w:val="left"/>
      <w:pPr>
        <w:ind w:left="4320" w:hanging="360"/>
      </w:pPr>
      <w:rPr>
        <w:rFonts w:ascii="Wingdings" w:hAnsi="Wingdings" w:hint="default"/>
      </w:rPr>
    </w:lvl>
    <w:lvl w:ilvl="6" w:tplc="6CE280D2" w:tentative="1">
      <w:start w:val="1"/>
      <w:numFmt w:val="bullet"/>
      <w:lvlText w:val=""/>
      <w:lvlJc w:val="left"/>
      <w:pPr>
        <w:ind w:left="5040" w:hanging="360"/>
      </w:pPr>
      <w:rPr>
        <w:rFonts w:ascii="Symbol" w:hAnsi="Symbol" w:hint="default"/>
      </w:rPr>
    </w:lvl>
    <w:lvl w:ilvl="7" w:tplc="8A7E9D60" w:tentative="1">
      <w:start w:val="1"/>
      <w:numFmt w:val="bullet"/>
      <w:lvlText w:val="o"/>
      <w:lvlJc w:val="left"/>
      <w:pPr>
        <w:ind w:left="5760" w:hanging="360"/>
      </w:pPr>
      <w:rPr>
        <w:rFonts w:ascii="Courier New" w:hAnsi="Courier New" w:cs="Courier New" w:hint="default"/>
      </w:rPr>
    </w:lvl>
    <w:lvl w:ilvl="8" w:tplc="0AC0B90C" w:tentative="1">
      <w:start w:val="1"/>
      <w:numFmt w:val="bullet"/>
      <w:lvlText w:val=""/>
      <w:lvlJc w:val="left"/>
      <w:pPr>
        <w:ind w:left="6480" w:hanging="360"/>
      </w:pPr>
      <w:rPr>
        <w:rFonts w:ascii="Wingdings" w:hAnsi="Wingdings" w:hint="default"/>
      </w:rPr>
    </w:lvl>
  </w:abstractNum>
  <w:abstractNum w:abstractNumId="85" w15:restartNumberingAfterBreak="0">
    <w:nsid w:val="33CF5CD9"/>
    <w:multiLevelType w:val="hybridMultilevel"/>
    <w:tmpl w:val="5DA641E8"/>
    <w:lvl w:ilvl="0" w:tplc="0356532A">
      <w:start w:val="1"/>
      <w:numFmt w:val="decimal"/>
      <w:lvlText w:val="%1."/>
      <w:lvlJc w:val="left"/>
      <w:pPr>
        <w:ind w:left="720" w:hanging="360"/>
      </w:pPr>
    </w:lvl>
    <w:lvl w:ilvl="1" w:tplc="DEB2D5D0" w:tentative="1">
      <w:start w:val="1"/>
      <w:numFmt w:val="lowerLetter"/>
      <w:lvlText w:val="%2."/>
      <w:lvlJc w:val="left"/>
      <w:pPr>
        <w:ind w:left="1440" w:hanging="360"/>
      </w:pPr>
    </w:lvl>
    <w:lvl w:ilvl="2" w:tplc="1C94BBF2" w:tentative="1">
      <w:start w:val="1"/>
      <w:numFmt w:val="lowerRoman"/>
      <w:lvlText w:val="%3."/>
      <w:lvlJc w:val="right"/>
      <w:pPr>
        <w:ind w:left="2160" w:hanging="180"/>
      </w:pPr>
    </w:lvl>
    <w:lvl w:ilvl="3" w:tplc="D3C23450" w:tentative="1">
      <w:start w:val="1"/>
      <w:numFmt w:val="decimal"/>
      <w:lvlText w:val="%4."/>
      <w:lvlJc w:val="left"/>
      <w:pPr>
        <w:ind w:left="2880" w:hanging="360"/>
      </w:pPr>
    </w:lvl>
    <w:lvl w:ilvl="4" w:tplc="70BC4F16" w:tentative="1">
      <w:start w:val="1"/>
      <w:numFmt w:val="lowerLetter"/>
      <w:lvlText w:val="%5."/>
      <w:lvlJc w:val="left"/>
      <w:pPr>
        <w:ind w:left="3600" w:hanging="360"/>
      </w:pPr>
    </w:lvl>
    <w:lvl w:ilvl="5" w:tplc="75409278" w:tentative="1">
      <w:start w:val="1"/>
      <w:numFmt w:val="lowerRoman"/>
      <w:lvlText w:val="%6."/>
      <w:lvlJc w:val="right"/>
      <w:pPr>
        <w:ind w:left="4320" w:hanging="180"/>
      </w:pPr>
    </w:lvl>
    <w:lvl w:ilvl="6" w:tplc="8EB2B590" w:tentative="1">
      <w:start w:val="1"/>
      <w:numFmt w:val="decimal"/>
      <w:lvlText w:val="%7."/>
      <w:lvlJc w:val="left"/>
      <w:pPr>
        <w:ind w:left="5040" w:hanging="360"/>
      </w:pPr>
    </w:lvl>
    <w:lvl w:ilvl="7" w:tplc="D0248130" w:tentative="1">
      <w:start w:val="1"/>
      <w:numFmt w:val="lowerLetter"/>
      <w:lvlText w:val="%8."/>
      <w:lvlJc w:val="left"/>
      <w:pPr>
        <w:ind w:left="5760" w:hanging="360"/>
      </w:pPr>
    </w:lvl>
    <w:lvl w:ilvl="8" w:tplc="B57A9306" w:tentative="1">
      <w:start w:val="1"/>
      <w:numFmt w:val="lowerRoman"/>
      <w:lvlText w:val="%9."/>
      <w:lvlJc w:val="right"/>
      <w:pPr>
        <w:ind w:left="6480" w:hanging="180"/>
      </w:pPr>
    </w:lvl>
  </w:abstractNum>
  <w:abstractNum w:abstractNumId="86" w15:restartNumberingAfterBreak="0">
    <w:nsid w:val="3473559D"/>
    <w:multiLevelType w:val="multilevel"/>
    <w:tmpl w:val="70F49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49C7FA9"/>
    <w:multiLevelType w:val="hybridMultilevel"/>
    <w:tmpl w:val="A854179E"/>
    <w:lvl w:ilvl="0" w:tplc="C0226338">
      <w:start w:val="1"/>
      <w:numFmt w:val="bullet"/>
      <w:lvlText w:val=""/>
      <w:lvlJc w:val="left"/>
      <w:pPr>
        <w:ind w:left="720" w:hanging="360"/>
      </w:pPr>
      <w:rPr>
        <w:rFonts w:ascii="Symbol" w:hAnsi="Symbol" w:hint="default"/>
      </w:rPr>
    </w:lvl>
    <w:lvl w:ilvl="1" w:tplc="C3449950" w:tentative="1">
      <w:start w:val="1"/>
      <w:numFmt w:val="bullet"/>
      <w:lvlText w:val="o"/>
      <w:lvlJc w:val="left"/>
      <w:pPr>
        <w:ind w:left="1440" w:hanging="360"/>
      </w:pPr>
      <w:rPr>
        <w:rFonts w:ascii="Courier New" w:hAnsi="Courier New" w:cs="Courier New" w:hint="default"/>
      </w:rPr>
    </w:lvl>
    <w:lvl w:ilvl="2" w:tplc="289C3A66" w:tentative="1">
      <w:start w:val="1"/>
      <w:numFmt w:val="bullet"/>
      <w:lvlText w:val=""/>
      <w:lvlJc w:val="left"/>
      <w:pPr>
        <w:ind w:left="2160" w:hanging="360"/>
      </w:pPr>
      <w:rPr>
        <w:rFonts w:ascii="Wingdings" w:hAnsi="Wingdings" w:hint="default"/>
      </w:rPr>
    </w:lvl>
    <w:lvl w:ilvl="3" w:tplc="C72C8E52" w:tentative="1">
      <w:start w:val="1"/>
      <w:numFmt w:val="bullet"/>
      <w:lvlText w:val=""/>
      <w:lvlJc w:val="left"/>
      <w:pPr>
        <w:ind w:left="2880" w:hanging="360"/>
      </w:pPr>
      <w:rPr>
        <w:rFonts w:ascii="Symbol" w:hAnsi="Symbol" w:hint="default"/>
      </w:rPr>
    </w:lvl>
    <w:lvl w:ilvl="4" w:tplc="7B12E844" w:tentative="1">
      <w:start w:val="1"/>
      <w:numFmt w:val="bullet"/>
      <w:lvlText w:val="o"/>
      <w:lvlJc w:val="left"/>
      <w:pPr>
        <w:ind w:left="3600" w:hanging="360"/>
      </w:pPr>
      <w:rPr>
        <w:rFonts w:ascii="Courier New" w:hAnsi="Courier New" w:cs="Courier New" w:hint="default"/>
      </w:rPr>
    </w:lvl>
    <w:lvl w:ilvl="5" w:tplc="00087D40" w:tentative="1">
      <w:start w:val="1"/>
      <w:numFmt w:val="bullet"/>
      <w:lvlText w:val=""/>
      <w:lvlJc w:val="left"/>
      <w:pPr>
        <w:ind w:left="4320" w:hanging="360"/>
      </w:pPr>
      <w:rPr>
        <w:rFonts w:ascii="Wingdings" w:hAnsi="Wingdings" w:hint="default"/>
      </w:rPr>
    </w:lvl>
    <w:lvl w:ilvl="6" w:tplc="9E9E803A" w:tentative="1">
      <w:start w:val="1"/>
      <w:numFmt w:val="bullet"/>
      <w:lvlText w:val=""/>
      <w:lvlJc w:val="left"/>
      <w:pPr>
        <w:ind w:left="5040" w:hanging="360"/>
      </w:pPr>
      <w:rPr>
        <w:rFonts w:ascii="Symbol" w:hAnsi="Symbol" w:hint="default"/>
      </w:rPr>
    </w:lvl>
    <w:lvl w:ilvl="7" w:tplc="D4AA348C" w:tentative="1">
      <w:start w:val="1"/>
      <w:numFmt w:val="bullet"/>
      <w:lvlText w:val="o"/>
      <w:lvlJc w:val="left"/>
      <w:pPr>
        <w:ind w:left="5760" w:hanging="360"/>
      </w:pPr>
      <w:rPr>
        <w:rFonts w:ascii="Courier New" w:hAnsi="Courier New" w:cs="Courier New" w:hint="default"/>
      </w:rPr>
    </w:lvl>
    <w:lvl w:ilvl="8" w:tplc="6CB01894" w:tentative="1">
      <w:start w:val="1"/>
      <w:numFmt w:val="bullet"/>
      <w:lvlText w:val=""/>
      <w:lvlJc w:val="left"/>
      <w:pPr>
        <w:ind w:left="6480" w:hanging="360"/>
      </w:pPr>
      <w:rPr>
        <w:rFonts w:ascii="Wingdings" w:hAnsi="Wingdings" w:hint="default"/>
      </w:rPr>
    </w:lvl>
  </w:abstractNum>
  <w:abstractNum w:abstractNumId="88" w15:restartNumberingAfterBreak="0">
    <w:nsid w:val="3589774E"/>
    <w:multiLevelType w:val="hybridMultilevel"/>
    <w:tmpl w:val="8294E698"/>
    <w:lvl w:ilvl="0" w:tplc="AAB80934">
      <w:start w:val="1"/>
      <w:numFmt w:val="bullet"/>
      <w:lvlText w:val=""/>
      <w:lvlJc w:val="left"/>
      <w:pPr>
        <w:ind w:left="720" w:hanging="360"/>
      </w:pPr>
      <w:rPr>
        <w:rFonts w:ascii="Symbol" w:hAnsi="Symbol" w:hint="default"/>
      </w:rPr>
    </w:lvl>
    <w:lvl w:ilvl="1" w:tplc="75B87844" w:tentative="1">
      <w:start w:val="1"/>
      <w:numFmt w:val="bullet"/>
      <w:lvlText w:val="o"/>
      <w:lvlJc w:val="left"/>
      <w:pPr>
        <w:ind w:left="1440" w:hanging="360"/>
      </w:pPr>
      <w:rPr>
        <w:rFonts w:ascii="Courier New" w:hAnsi="Courier New" w:cs="Courier New" w:hint="default"/>
      </w:rPr>
    </w:lvl>
    <w:lvl w:ilvl="2" w:tplc="6F384FDA" w:tentative="1">
      <w:start w:val="1"/>
      <w:numFmt w:val="bullet"/>
      <w:lvlText w:val=""/>
      <w:lvlJc w:val="left"/>
      <w:pPr>
        <w:ind w:left="2160" w:hanging="360"/>
      </w:pPr>
      <w:rPr>
        <w:rFonts w:ascii="Wingdings" w:hAnsi="Wingdings" w:hint="default"/>
      </w:rPr>
    </w:lvl>
    <w:lvl w:ilvl="3" w:tplc="D1DC6520" w:tentative="1">
      <w:start w:val="1"/>
      <w:numFmt w:val="bullet"/>
      <w:lvlText w:val=""/>
      <w:lvlJc w:val="left"/>
      <w:pPr>
        <w:ind w:left="2880" w:hanging="360"/>
      </w:pPr>
      <w:rPr>
        <w:rFonts w:ascii="Symbol" w:hAnsi="Symbol" w:hint="default"/>
      </w:rPr>
    </w:lvl>
    <w:lvl w:ilvl="4" w:tplc="E0F6F0AC" w:tentative="1">
      <w:start w:val="1"/>
      <w:numFmt w:val="bullet"/>
      <w:lvlText w:val="o"/>
      <w:lvlJc w:val="left"/>
      <w:pPr>
        <w:ind w:left="3600" w:hanging="360"/>
      </w:pPr>
      <w:rPr>
        <w:rFonts w:ascii="Courier New" w:hAnsi="Courier New" w:cs="Courier New" w:hint="default"/>
      </w:rPr>
    </w:lvl>
    <w:lvl w:ilvl="5" w:tplc="A7CA6CB4" w:tentative="1">
      <w:start w:val="1"/>
      <w:numFmt w:val="bullet"/>
      <w:lvlText w:val=""/>
      <w:lvlJc w:val="left"/>
      <w:pPr>
        <w:ind w:left="4320" w:hanging="360"/>
      </w:pPr>
      <w:rPr>
        <w:rFonts w:ascii="Wingdings" w:hAnsi="Wingdings" w:hint="default"/>
      </w:rPr>
    </w:lvl>
    <w:lvl w:ilvl="6" w:tplc="BEE84C5E" w:tentative="1">
      <w:start w:val="1"/>
      <w:numFmt w:val="bullet"/>
      <w:lvlText w:val=""/>
      <w:lvlJc w:val="left"/>
      <w:pPr>
        <w:ind w:left="5040" w:hanging="360"/>
      </w:pPr>
      <w:rPr>
        <w:rFonts w:ascii="Symbol" w:hAnsi="Symbol" w:hint="default"/>
      </w:rPr>
    </w:lvl>
    <w:lvl w:ilvl="7" w:tplc="147A02AC" w:tentative="1">
      <w:start w:val="1"/>
      <w:numFmt w:val="bullet"/>
      <w:lvlText w:val="o"/>
      <w:lvlJc w:val="left"/>
      <w:pPr>
        <w:ind w:left="5760" w:hanging="360"/>
      </w:pPr>
      <w:rPr>
        <w:rFonts w:ascii="Courier New" w:hAnsi="Courier New" w:cs="Courier New" w:hint="default"/>
      </w:rPr>
    </w:lvl>
    <w:lvl w:ilvl="8" w:tplc="C49E9ACE" w:tentative="1">
      <w:start w:val="1"/>
      <w:numFmt w:val="bullet"/>
      <w:lvlText w:val=""/>
      <w:lvlJc w:val="left"/>
      <w:pPr>
        <w:ind w:left="6480" w:hanging="360"/>
      </w:pPr>
      <w:rPr>
        <w:rFonts w:ascii="Wingdings" w:hAnsi="Wingdings" w:hint="default"/>
      </w:rPr>
    </w:lvl>
  </w:abstractNum>
  <w:abstractNum w:abstractNumId="89" w15:restartNumberingAfterBreak="0">
    <w:nsid w:val="35A413B7"/>
    <w:multiLevelType w:val="hybridMultilevel"/>
    <w:tmpl w:val="0168664A"/>
    <w:lvl w:ilvl="0" w:tplc="633449EA">
      <w:start w:val="1"/>
      <w:numFmt w:val="lowerRoman"/>
      <w:lvlText w:val="%1."/>
      <w:lvlJc w:val="right"/>
      <w:pPr>
        <w:ind w:left="1080" w:hanging="360"/>
      </w:pPr>
    </w:lvl>
    <w:lvl w:ilvl="1" w:tplc="FA1A4704" w:tentative="1">
      <w:start w:val="1"/>
      <w:numFmt w:val="lowerLetter"/>
      <w:lvlText w:val="%2."/>
      <w:lvlJc w:val="left"/>
      <w:pPr>
        <w:ind w:left="1800" w:hanging="360"/>
      </w:pPr>
    </w:lvl>
    <w:lvl w:ilvl="2" w:tplc="F3FA70D8" w:tentative="1">
      <w:start w:val="1"/>
      <w:numFmt w:val="lowerRoman"/>
      <w:lvlText w:val="%3."/>
      <w:lvlJc w:val="right"/>
      <w:pPr>
        <w:ind w:left="2520" w:hanging="180"/>
      </w:pPr>
    </w:lvl>
    <w:lvl w:ilvl="3" w:tplc="95E8546E" w:tentative="1">
      <w:start w:val="1"/>
      <w:numFmt w:val="decimal"/>
      <w:lvlText w:val="%4."/>
      <w:lvlJc w:val="left"/>
      <w:pPr>
        <w:ind w:left="3240" w:hanging="360"/>
      </w:pPr>
    </w:lvl>
    <w:lvl w:ilvl="4" w:tplc="5BD43D8E" w:tentative="1">
      <w:start w:val="1"/>
      <w:numFmt w:val="lowerLetter"/>
      <w:lvlText w:val="%5."/>
      <w:lvlJc w:val="left"/>
      <w:pPr>
        <w:ind w:left="3960" w:hanging="360"/>
      </w:pPr>
    </w:lvl>
    <w:lvl w:ilvl="5" w:tplc="B96E3C72" w:tentative="1">
      <w:start w:val="1"/>
      <w:numFmt w:val="lowerRoman"/>
      <w:lvlText w:val="%6."/>
      <w:lvlJc w:val="right"/>
      <w:pPr>
        <w:ind w:left="4680" w:hanging="180"/>
      </w:pPr>
    </w:lvl>
    <w:lvl w:ilvl="6" w:tplc="667ADDA4" w:tentative="1">
      <w:start w:val="1"/>
      <w:numFmt w:val="decimal"/>
      <w:lvlText w:val="%7."/>
      <w:lvlJc w:val="left"/>
      <w:pPr>
        <w:ind w:left="5400" w:hanging="360"/>
      </w:pPr>
    </w:lvl>
    <w:lvl w:ilvl="7" w:tplc="57CEFB88" w:tentative="1">
      <w:start w:val="1"/>
      <w:numFmt w:val="lowerLetter"/>
      <w:lvlText w:val="%8."/>
      <w:lvlJc w:val="left"/>
      <w:pPr>
        <w:ind w:left="6120" w:hanging="360"/>
      </w:pPr>
    </w:lvl>
    <w:lvl w:ilvl="8" w:tplc="510EF6E8" w:tentative="1">
      <w:start w:val="1"/>
      <w:numFmt w:val="lowerRoman"/>
      <w:lvlText w:val="%9."/>
      <w:lvlJc w:val="right"/>
      <w:pPr>
        <w:ind w:left="6840" w:hanging="180"/>
      </w:pPr>
    </w:lvl>
  </w:abstractNum>
  <w:abstractNum w:abstractNumId="90" w15:restartNumberingAfterBreak="0">
    <w:nsid w:val="363A0199"/>
    <w:multiLevelType w:val="hybridMultilevel"/>
    <w:tmpl w:val="176833C8"/>
    <w:lvl w:ilvl="0" w:tplc="D41A7620">
      <w:start w:val="1"/>
      <w:numFmt w:val="bullet"/>
      <w:lvlText w:val=""/>
      <w:lvlJc w:val="left"/>
      <w:pPr>
        <w:ind w:left="720" w:hanging="360"/>
      </w:pPr>
      <w:rPr>
        <w:rFonts w:ascii="Symbol" w:hAnsi="Symbol" w:hint="default"/>
      </w:rPr>
    </w:lvl>
    <w:lvl w:ilvl="1" w:tplc="1060AF0A" w:tentative="1">
      <w:start w:val="1"/>
      <w:numFmt w:val="bullet"/>
      <w:lvlText w:val="o"/>
      <w:lvlJc w:val="left"/>
      <w:pPr>
        <w:ind w:left="1440" w:hanging="360"/>
      </w:pPr>
      <w:rPr>
        <w:rFonts w:ascii="Courier New" w:hAnsi="Courier New" w:cs="Courier New" w:hint="default"/>
      </w:rPr>
    </w:lvl>
    <w:lvl w:ilvl="2" w:tplc="A9B06122" w:tentative="1">
      <w:start w:val="1"/>
      <w:numFmt w:val="bullet"/>
      <w:lvlText w:val=""/>
      <w:lvlJc w:val="left"/>
      <w:pPr>
        <w:ind w:left="2160" w:hanging="360"/>
      </w:pPr>
      <w:rPr>
        <w:rFonts w:ascii="Wingdings" w:hAnsi="Wingdings" w:hint="default"/>
      </w:rPr>
    </w:lvl>
    <w:lvl w:ilvl="3" w:tplc="AF12BF22" w:tentative="1">
      <w:start w:val="1"/>
      <w:numFmt w:val="bullet"/>
      <w:lvlText w:val=""/>
      <w:lvlJc w:val="left"/>
      <w:pPr>
        <w:ind w:left="2880" w:hanging="360"/>
      </w:pPr>
      <w:rPr>
        <w:rFonts w:ascii="Symbol" w:hAnsi="Symbol" w:hint="default"/>
      </w:rPr>
    </w:lvl>
    <w:lvl w:ilvl="4" w:tplc="ED6E3F4A" w:tentative="1">
      <w:start w:val="1"/>
      <w:numFmt w:val="bullet"/>
      <w:lvlText w:val="o"/>
      <w:lvlJc w:val="left"/>
      <w:pPr>
        <w:ind w:left="3600" w:hanging="360"/>
      </w:pPr>
      <w:rPr>
        <w:rFonts w:ascii="Courier New" w:hAnsi="Courier New" w:cs="Courier New" w:hint="default"/>
      </w:rPr>
    </w:lvl>
    <w:lvl w:ilvl="5" w:tplc="6BFE4C2A" w:tentative="1">
      <w:start w:val="1"/>
      <w:numFmt w:val="bullet"/>
      <w:lvlText w:val=""/>
      <w:lvlJc w:val="left"/>
      <w:pPr>
        <w:ind w:left="4320" w:hanging="360"/>
      </w:pPr>
      <w:rPr>
        <w:rFonts w:ascii="Wingdings" w:hAnsi="Wingdings" w:hint="default"/>
      </w:rPr>
    </w:lvl>
    <w:lvl w:ilvl="6" w:tplc="39C24CC4" w:tentative="1">
      <w:start w:val="1"/>
      <w:numFmt w:val="bullet"/>
      <w:lvlText w:val=""/>
      <w:lvlJc w:val="left"/>
      <w:pPr>
        <w:ind w:left="5040" w:hanging="360"/>
      </w:pPr>
      <w:rPr>
        <w:rFonts w:ascii="Symbol" w:hAnsi="Symbol" w:hint="default"/>
      </w:rPr>
    </w:lvl>
    <w:lvl w:ilvl="7" w:tplc="5E72D400" w:tentative="1">
      <w:start w:val="1"/>
      <w:numFmt w:val="bullet"/>
      <w:lvlText w:val="o"/>
      <w:lvlJc w:val="left"/>
      <w:pPr>
        <w:ind w:left="5760" w:hanging="360"/>
      </w:pPr>
      <w:rPr>
        <w:rFonts w:ascii="Courier New" w:hAnsi="Courier New" w:cs="Courier New" w:hint="default"/>
      </w:rPr>
    </w:lvl>
    <w:lvl w:ilvl="8" w:tplc="8E362C80" w:tentative="1">
      <w:start w:val="1"/>
      <w:numFmt w:val="bullet"/>
      <w:lvlText w:val=""/>
      <w:lvlJc w:val="left"/>
      <w:pPr>
        <w:ind w:left="6480" w:hanging="360"/>
      </w:pPr>
      <w:rPr>
        <w:rFonts w:ascii="Wingdings" w:hAnsi="Wingdings" w:hint="default"/>
      </w:rPr>
    </w:lvl>
  </w:abstractNum>
  <w:abstractNum w:abstractNumId="91" w15:restartNumberingAfterBreak="0">
    <w:nsid w:val="364A641A"/>
    <w:multiLevelType w:val="hybridMultilevel"/>
    <w:tmpl w:val="293E8562"/>
    <w:lvl w:ilvl="0" w:tplc="6172C436">
      <w:start w:val="1"/>
      <w:numFmt w:val="bullet"/>
      <w:lvlText w:val=""/>
      <w:lvlJc w:val="left"/>
      <w:pPr>
        <w:ind w:left="720" w:hanging="360"/>
      </w:pPr>
      <w:rPr>
        <w:rFonts w:ascii="Symbol" w:hAnsi="Symbol" w:hint="default"/>
      </w:rPr>
    </w:lvl>
    <w:lvl w:ilvl="1" w:tplc="F6B2AC40" w:tentative="1">
      <w:start w:val="1"/>
      <w:numFmt w:val="bullet"/>
      <w:lvlText w:val="o"/>
      <w:lvlJc w:val="left"/>
      <w:pPr>
        <w:ind w:left="1440" w:hanging="360"/>
      </w:pPr>
      <w:rPr>
        <w:rFonts w:ascii="Courier New" w:hAnsi="Courier New" w:cs="Courier New" w:hint="default"/>
      </w:rPr>
    </w:lvl>
    <w:lvl w:ilvl="2" w:tplc="A8A2BCA8" w:tentative="1">
      <w:start w:val="1"/>
      <w:numFmt w:val="bullet"/>
      <w:lvlText w:val=""/>
      <w:lvlJc w:val="left"/>
      <w:pPr>
        <w:ind w:left="2160" w:hanging="360"/>
      </w:pPr>
      <w:rPr>
        <w:rFonts w:ascii="Wingdings" w:hAnsi="Wingdings" w:hint="default"/>
      </w:rPr>
    </w:lvl>
    <w:lvl w:ilvl="3" w:tplc="051ECF68" w:tentative="1">
      <w:start w:val="1"/>
      <w:numFmt w:val="bullet"/>
      <w:lvlText w:val=""/>
      <w:lvlJc w:val="left"/>
      <w:pPr>
        <w:ind w:left="2880" w:hanging="360"/>
      </w:pPr>
      <w:rPr>
        <w:rFonts w:ascii="Symbol" w:hAnsi="Symbol" w:hint="default"/>
      </w:rPr>
    </w:lvl>
    <w:lvl w:ilvl="4" w:tplc="6AD2855E" w:tentative="1">
      <w:start w:val="1"/>
      <w:numFmt w:val="bullet"/>
      <w:lvlText w:val="o"/>
      <w:lvlJc w:val="left"/>
      <w:pPr>
        <w:ind w:left="3600" w:hanging="360"/>
      </w:pPr>
      <w:rPr>
        <w:rFonts w:ascii="Courier New" w:hAnsi="Courier New" w:cs="Courier New" w:hint="default"/>
      </w:rPr>
    </w:lvl>
    <w:lvl w:ilvl="5" w:tplc="E558EAAE" w:tentative="1">
      <w:start w:val="1"/>
      <w:numFmt w:val="bullet"/>
      <w:lvlText w:val=""/>
      <w:lvlJc w:val="left"/>
      <w:pPr>
        <w:ind w:left="4320" w:hanging="360"/>
      </w:pPr>
      <w:rPr>
        <w:rFonts w:ascii="Wingdings" w:hAnsi="Wingdings" w:hint="default"/>
      </w:rPr>
    </w:lvl>
    <w:lvl w:ilvl="6" w:tplc="C7C0CA2E" w:tentative="1">
      <w:start w:val="1"/>
      <w:numFmt w:val="bullet"/>
      <w:lvlText w:val=""/>
      <w:lvlJc w:val="left"/>
      <w:pPr>
        <w:ind w:left="5040" w:hanging="360"/>
      </w:pPr>
      <w:rPr>
        <w:rFonts w:ascii="Symbol" w:hAnsi="Symbol" w:hint="default"/>
      </w:rPr>
    </w:lvl>
    <w:lvl w:ilvl="7" w:tplc="C9F09D6C" w:tentative="1">
      <w:start w:val="1"/>
      <w:numFmt w:val="bullet"/>
      <w:lvlText w:val="o"/>
      <w:lvlJc w:val="left"/>
      <w:pPr>
        <w:ind w:left="5760" w:hanging="360"/>
      </w:pPr>
      <w:rPr>
        <w:rFonts w:ascii="Courier New" w:hAnsi="Courier New" w:cs="Courier New" w:hint="default"/>
      </w:rPr>
    </w:lvl>
    <w:lvl w:ilvl="8" w:tplc="D2383464" w:tentative="1">
      <w:start w:val="1"/>
      <w:numFmt w:val="bullet"/>
      <w:lvlText w:val=""/>
      <w:lvlJc w:val="left"/>
      <w:pPr>
        <w:ind w:left="6480" w:hanging="360"/>
      </w:pPr>
      <w:rPr>
        <w:rFonts w:ascii="Wingdings" w:hAnsi="Wingdings" w:hint="default"/>
      </w:rPr>
    </w:lvl>
  </w:abstractNum>
  <w:abstractNum w:abstractNumId="92" w15:restartNumberingAfterBreak="0">
    <w:nsid w:val="36A04AEC"/>
    <w:multiLevelType w:val="hybridMultilevel"/>
    <w:tmpl w:val="2098BFFC"/>
    <w:lvl w:ilvl="0" w:tplc="9ACE61DE">
      <w:start w:val="1"/>
      <w:numFmt w:val="decimal"/>
      <w:lvlText w:val="%1."/>
      <w:lvlJc w:val="left"/>
      <w:pPr>
        <w:ind w:left="720" w:hanging="360"/>
      </w:pPr>
    </w:lvl>
    <w:lvl w:ilvl="1" w:tplc="1D98A9C8" w:tentative="1">
      <w:start w:val="1"/>
      <w:numFmt w:val="lowerLetter"/>
      <w:lvlText w:val="%2."/>
      <w:lvlJc w:val="left"/>
      <w:pPr>
        <w:ind w:left="1440" w:hanging="360"/>
      </w:pPr>
    </w:lvl>
    <w:lvl w:ilvl="2" w:tplc="FC7A8DF0" w:tentative="1">
      <w:start w:val="1"/>
      <w:numFmt w:val="lowerRoman"/>
      <w:lvlText w:val="%3."/>
      <w:lvlJc w:val="right"/>
      <w:pPr>
        <w:ind w:left="2160" w:hanging="180"/>
      </w:pPr>
    </w:lvl>
    <w:lvl w:ilvl="3" w:tplc="A2BEF088" w:tentative="1">
      <w:start w:val="1"/>
      <w:numFmt w:val="decimal"/>
      <w:lvlText w:val="%4."/>
      <w:lvlJc w:val="left"/>
      <w:pPr>
        <w:ind w:left="2880" w:hanging="360"/>
      </w:pPr>
    </w:lvl>
    <w:lvl w:ilvl="4" w:tplc="3D425B3E" w:tentative="1">
      <w:start w:val="1"/>
      <w:numFmt w:val="lowerLetter"/>
      <w:lvlText w:val="%5."/>
      <w:lvlJc w:val="left"/>
      <w:pPr>
        <w:ind w:left="3600" w:hanging="360"/>
      </w:pPr>
    </w:lvl>
    <w:lvl w:ilvl="5" w:tplc="BF0A7BE6" w:tentative="1">
      <w:start w:val="1"/>
      <w:numFmt w:val="lowerRoman"/>
      <w:lvlText w:val="%6."/>
      <w:lvlJc w:val="right"/>
      <w:pPr>
        <w:ind w:left="4320" w:hanging="180"/>
      </w:pPr>
    </w:lvl>
    <w:lvl w:ilvl="6" w:tplc="B80E9A1E" w:tentative="1">
      <w:start w:val="1"/>
      <w:numFmt w:val="decimal"/>
      <w:lvlText w:val="%7."/>
      <w:lvlJc w:val="left"/>
      <w:pPr>
        <w:ind w:left="5040" w:hanging="360"/>
      </w:pPr>
    </w:lvl>
    <w:lvl w:ilvl="7" w:tplc="059C70C8" w:tentative="1">
      <w:start w:val="1"/>
      <w:numFmt w:val="lowerLetter"/>
      <w:lvlText w:val="%8."/>
      <w:lvlJc w:val="left"/>
      <w:pPr>
        <w:ind w:left="5760" w:hanging="360"/>
      </w:pPr>
    </w:lvl>
    <w:lvl w:ilvl="8" w:tplc="2A16DE9C" w:tentative="1">
      <w:start w:val="1"/>
      <w:numFmt w:val="lowerRoman"/>
      <w:lvlText w:val="%9."/>
      <w:lvlJc w:val="right"/>
      <w:pPr>
        <w:ind w:left="6480" w:hanging="180"/>
      </w:pPr>
    </w:lvl>
  </w:abstractNum>
  <w:abstractNum w:abstractNumId="93" w15:restartNumberingAfterBreak="0">
    <w:nsid w:val="37626545"/>
    <w:multiLevelType w:val="hybridMultilevel"/>
    <w:tmpl w:val="8B3C0DD2"/>
    <w:lvl w:ilvl="0" w:tplc="09AC809A">
      <w:start w:val="1"/>
      <w:numFmt w:val="bullet"/>
      <w:lvlText w:val=""/>
      <w:lvlJc w:val="left"/>
      <w:pPr>
        <w:ind w:left="720" w:hanging="360"/>
      </w:pPr>
      <w:rPr>
        <w:rFonts w:ascii="Symbol" w:hAnsi="Symbol" w:hint="default"/>
      </w:rPr>
    </w:lvl>
    <w:lvl w:ilvl="1" w:tplc="01626846" w:tentative="1">
      <w:start w:val="1"/>
      <w:numFmt w:val="bullet"/>
      <w:lvlText w:val="o"/>
      <w:lvlJc w:val="left"/>
      <w:pPr>
        <w:ind w:left="1440" w:hanging="360"/>
      </w:pPr>
      <w:rPr>
        <w:rFonts w:ascii="Courier New" w:hAnsi="Courier New" w:cs="Courier New" w:hint="default"/>
      </w:rPr>
    </w:lvl>
    <w:lvl w:ilvl="2" w:tplc="D51E657A" w:tentative="1">
      <w:start w:val="1"/>
      <w:numFmt w:val="bullet"/>
      <w:lvlText w:val=""/>
      <w:lvlJc w:val="left"/>
      <w:pPr>
        <w:ind w:left="2160" w:hanging="360"/>
      </w:pPr>
      <w:rPr>
        <w:rFonts w:ascii="Wingdings" w:hAnsi="Wingdings" w:hint="default"/>
      </w:rPr>
    </w:lvl>
    <w:lvl w:ilvl="3" w:tplc="8FD2D798" w:tentative="1">
      <w:start w:val="1"/>
      <w:numFmt w:val="bullet"/>
      <w:lvlText w:val=""/>
      <w:lvlJc w:val="left"/>
      <w:pPr>
        <w:ind w:left="2880" w:hanging="360"/>
      </w:pPr>
      <w:rPr>
        <w:rFonts w:ascii="Symbol" w:hAnsi="Symbol" w:hint="default"/>
      </w:rPr>
    </w:lvl>
    <w:lvl w:ilvl="4" w:tplc="62246E76" w:tentative="1">
      <w:start w:val="1"/>
      <w:numFmt w:val="bullet"/>
      <w:lvlText w:val="o"/>
      <w:lvlJc w:val="left"/>
      <w:pPr>
        <w:ind w:left="3600" w:hanging="360"/>
      </w:pPr>
      <w:rPr>
        <w:rFonts w:ascii="Courier New" w:hAnsi="Courier New" w:cs="Courier New" w:hint="default"/>
      </w:rPr>
    </w:lvl>
    <w:lvl w:ilvl="5" w:tplc="1600707E" w:tentative="1">
      <w:start w:val="1"/>
      <w:numFmt w:val="bullet"/>
      <w:lvlText w:val=""/>
      <w:lvlJc w:val="left"/>
      <w:pPr>
        <w:ind w:left="4320" w:hanging="360"/>
      </w:pPr>
      <w:rPr>
        <w:rFonts w:ascii="Wingdings" w:hAnsi="Wingdings" w:hint="default"/>
      </w:rPr>
    </w:lvl>
    <w:lvl w:ilvl="6" w:tplc="02141E24" w:tentative="1">
      <w:start w:val="1"/>
      <w:numFmt w:val="bullet"/>
      <w:lvlText w:val=""/>
      <w:lvlJc w:val="left"/>
      <w:pPr>
        <w:ind w:left="5040" w:hanging="360"/>
      </w:pPr>
      <w:rPr>
        <w:rFonts w:ascii="Symbol" w:hAnsi="Symbol" w:hint="default"/>
      </w:rPr>
    </w:lvl>
    <w:lvl w:ilvl="7" w:tplc="BC4AD274" w:tentative="1">
      <w:start w:val="1"/>
      <w:numFmt w:val="bullet"/>
      <w:lvlText w:val="o"/>
      <w:lvlJc w:val="left"/>
      <w:pPr>
        <w:ind w:left="5760" w:hanging="360"/>
      </w:pPr>
      <w:rPr>
        <w:rFonts w:ascii="Courier New" w:hAnsi="Courier New" w:cs="Courier New" w:hint="default"/>
      </w:rPr>
    </w:lvl>
    <w:lvl w:ilvl="8" w:tplc="375AC7D4" w:tentative="1">
      <w:start w:val="1"/>
      <w:numFmt w:val="bullet"/>
      <w:lvlText w:val=""/>
      <w:lvlJc w:val="left"/>
      <w:pPr>
        <w:ind w:left="6480" w:hanging="360"/>
      </w:pPr>
      <w:rPr>
        <w:rFonts w:ascii="Wingdings" w:hAnsi="Wingdings" w:hint="default"/>
      </w:rPr>
    </w:lvl>
  </w:abstractNum>
  <w:abstractNum w:abstractNumId="94" w15:restartNumberingAfterBreak="0">
    <w:nsid w:val="388261AB"/>
    <w:multiLevelType w:val="hybridMultilevel"/>
    <w:tmpl w:val="FFFFFFFF"/>
    <w:lvl w:ilvl="0" w:tplc="FDFA1312">
      <w:start w:val="1"/>
      <w:numFmt w:val="bullet"/>
      <w:lvlText w:val=""/>
      <w:lvlJc w:val="left"/>
      <w:pPr>
        <w:ind w:left="720" w:hanging="360"/>
      </w:pPr>
      <w:rPr>
        <w:rFonts w:ascii="Symbol" w:hAnsi="Symbol" w:hint="default"/>
      </w:rPr>
    </w:lvl>
    <w:lvl w:ilvl="1" w:tplc="09B4A198">
      <w:start w:val="1"/>
      <w:numFmt w:val="bullet"/>
      <w:lvlText w:val="o"/>
      <w:lvlJc w:val="left"/>
      <w:pPr>
        <w:ind w:left="1440" w:hanging="360"/>
      </w:pPr>
      <w:rPr>
        <w:rFonts w:ascii="Courier New" w:hAnsi="Courier New" w:hint="default"/>
      </w:rPr>
    </w:lvl>
    <w:lvl w:ilvl="2" w:tplc="ED78959C">
      <w:start w:val="1"/>
      <w:numFmt w:val="bullet"/>
      <w:lvlText w:val=""/>
      <w:lvlJc w:val="left"/>
      <w:pPr>
        <w:ind w:left="2160" w:hanging="360"/>
      </w:pPr>
      <w:rPr>
        <w:rFonts w:ascii="Wingdings" w:hAnsi="Wingdings" w:hint="default"/>
      </w:rPr>
    </w:lvl>
    <w:lvl w:ilvl="3" w:tplc="EFF8B21E">
      <w:start w:val="1"/>
      <w:numFmt w:val="bullet"/>
      <w:lvlText w:val=""/>
      <w:lvlJc w:val="left"/>
      <w:pPr>
        <w:ind w:left="2880" w:hanging="360"/>
      </w:pPr>
      <w:rPr>
        <w:rFonts w:ascii="Symbol" w:hAnsi="Symbol" w:hint="default"/>
      </w:rPr>
    </w:lvl>
    <w:lvl w:ilvl="4" w:tplc="DF5C8EFC">
      <w:start w:val="1"/>
      <w:numFmt w:val="bullet"/>
      <w:lvlText w:val="o"/>
      <w:lvlJc w:val="left"/>
      <w:pPr>
        <w:ind w:left="3600" w:hanging="360"/>
      </w:pPr>
      <w:rPr>
        <w:rFonts w:ascii="Courier New" w:hAnsi="Courier New" w:hint="default"/>
      </w:rPr>
    </w:lvl>
    <w:lvl w:ilvl="5" w:tplc="D0DAEC2C">
      <w:start w:val="1"/>
      <w:numFmt w:val="bullet"/>
      <w:lvlText w:val=""/>
      <w:lvlJc w:val="left"/>
      <w:pPr>
        <w:ind w:left="4320" w:hanging="360"/>
      </w:pPr>
      <w:rPr>
        <w:rFonts w:ascii="Wingdings" w:hAnsi="Wingdings" w:hint="default"/>
      </w:rPr>
    </w:lvl>
    <w:lvl w:ilvl="6" w:tplc="0BDEBC06">
      <w:start w:val="1"/>
      <w:numFmt w:val="bullet"/>
      <w:lvlText w:val=""/>
      <w:lvlJc w:val="left"/>
      <w:pPr>
        <w:ind w:left="5040" w:hanging="360"/>
      </w:pPr>
      <w:rPr>
        <w:rFonts w:ascii="Symbol" w:hAnsi="Symbol" w:hint="default"/>
      </w:rPr>
    </w:lvl>
    <w:lvl w:ilvl="7" w:tplc="E5F0CB0E">
      <w:start w:val="1"/>
      <w:numFmt w:val="bullet"/>
      <w:lvlText w:val="o"/>
      <w:lvlJc w:val="left"/>
      <w:pPr>
        <w:ind w:left="5760" w:hanging="360"/>
      </w:pPr>
      <w:rPr>
        <w:rFonts w:ascii="Courier New" w:hAnsi="Courier New" w:hint="default"/>
      </w:rPr>
    </w:lvl>
    <w:lvl w:ilvl="8" w:tplc="650E67EC">
      <w:start w:val="1"/>
      <w:numFmt w:val="bullet"/>
      <w:lvlText w:val=""/>
      <w:lvlJc w:val="left"/>
      <w:pPr>
        <w:ind w:left="6480" w:hanging="360"/>
      </w:pPr>
      <w:rPr>
        <w:rFonts w:ascii="Wingdings" w:hAnsi="Wingdings" w:hint="default"/>
      </w:rPr>
    </w:lvl>
  </w:abstractNum>
  <w:abstractNum w:abstractNumId="95" w15:restartNumberingAfterBreak="0">
    <w:nsid w:val="38944428"/>
    <w:multiLevelType w:val="hybridMultilevel"/>
    <w:tmpl w:val="CDDE682C"/>
    <w:lvl w:ilvl="0" w:tplc="0A54A118">
      <w:start w:val="1"/>
      <w:numFmt w:val="bullet"/>
      <w:lvlText w:val=""/>
      <w:lvlJc w:val="left"/>
      <w:pPr>
        <w:ind w:left="720" w:hanging="360"/>
      </w:pPr>
      <w:rPr>
        <w:rFonts w:ascii="Symbol" w:hAnsi="Symbol" w:hint="default"/>
      </w:rPr>
    </w:lvl>
    <w:lvl w:ilvl="1" w:tplc="A1F491F2" w:tentative="1">
      <w:start w:val="1"/>
      <w:numFmt w:val="bullet"/>
      <w:lvlText w:val="o"/>
      <w:lvlJc w:val="left"/>
      <w:pPr>
        <w:ind w:left="1440" w:hanging="360"/>
      </w:pPr>
      <w:rPr>
        <w:rFonts w:ascii="Courier New" w:hAnsi="Courier New" w:cs="Courier New" w:hint="default"/>
      </w:rPr>
    </w:lvl>
    <w:lvl w:ilvl="2" w:tplc="90E63890" w:tentative="1">
      <w:start w:val="1"/>
      <w:numFmt w:val="bullet"/>
      <w:lvlText w:val=""/>
      <w:lvlJc w:val="left"/>
      <w:pPr>
        <w:ind w:left="2160" w:hanging="360"/>
      </w:pPr>
      <w:rPr>
        <w:rFonts w:ascii="Wingdings" w:hAnsi="Wingdings" w:hint="default"/>
      </w:rPr>
    </w:lvl>
    <w:lvl w:ilvl="3" w:tplc="35740D66" w:tentative="1">
      <w:start w:val="1"/>
      <w:numFmt w:val="bullet"/>
      <w:lvlText w:val=""/>
      <w:lvlJc w:val="left"/>
      <w:pPr>
        <w:ind w:left="2880" w:hanging="360"/>
      </w:pPr>
      <w:rPr>
        <w:rFonts w:ascii="Symbol" w:hAnsi="Symbol" w:hint="default"/>
      </w:rPr>
    </w:lvl>
    <w:lvl w:ilvl="4" w:tplc="503EBCD4" w:tentative="1">
      <w:start w:val="1"/>
      <w:numFmt w:val="bullet"/>
      <w:lvlText w:val="o"/>
      <w:lvlJc w:val="left"/>
      <w:pPr>
        <w:ind w:left="3600" w:hanging="360"/>
      </w:pPr>
      <w:rPr>
        <w:rFonts w:ascii="Courier New" w:hAnsi="Courier New" w:cs="Courier New" w:hint="default"/>
      </w:rPr>
    </w:lvl>
    <w:lvl w:ilvl="5" w:tplc="A7001C82" w:tentative="1">
      <w:start w:val="1"/>
      <w:numFmt w:val="bullet"/>
      <w:lvlText w:val=""/>
      <w:lvlJc w:val="left"/>
      <w:pPr>
        <w:ind w:left="4320" w:hanging="360"/>
      </w:pPr>
      <w:rPr>
        <w:rFonts w:ascii="Wingdings" w:hAnsi="Wingdings" w:hint="default"/>
      </w:rPr>
    </w:lvl>
    <w:lvl w:ilvl="6" w:tplc="17B4B714" w:tentative="1">
      <w:start w:val="1"/>
      <w:numFmt w:val="bullet"/>
      <w:lvlText w:val=""/>
      <w:lvlJc w:val="left"/>
      <w:pPr>
        <w:ind w:left="5040" w:hanging="360"/>
      </w:pPr>
      <w:rPr>
        <w:rFonts w:ascii="Symbol" w:hAnsi="Symbol" w:hint="default"/>
      </w:rPr>
    </w:lvl>
    <w:lvl w:ilvl="7" w:tplc="17C41916" w:tentative="1">
      <w:start w:val="1"/>
      <w:numFmt w:val="bullet"/>
      <w:lvlText w:val="o"/>
      <w:lvlJc w:val="left"/>
      <w:pPr>
        <w:ind w:left="5760" w:hanging="360"/>
      </w:pPr>
      <w:rPr>
        <w:rFonts w:ascii="Courier New" w:hAnsi="Courier New" w:cs="Courier New" w:hint="default"/>
      </w:rPr>
    </w:lvl>
    <w:lvl w:ilvl="8" w:tplc="ABFE9ADA" w:tentative="1">
      <w:start w:val="1"/>
      <w:numFmt w:val="bullet"/>
      <w:lvlText w:val=""/>
      <w:lvlJc w:val="left"/>
      <w:pPr>
        <w:ind w:left="6480" w:hanging="360"/>
      </w:pPr>
      <w:rPr>
        <w:rFonts w:ascii="Wingdings" w:hAnsi="Wingdings" w:hint="default"/>
      </w:rPr>
    </w:lvl>
  </w:abstractNum>
  <w:abstractNum w:abstractNumId="96" w15:restartNumberingAfterBreak="0">
    <w:nsid w:val="38A67952"/>
    <w:multiLevelType w:val="hybridMultilevel"/>
    <w:tmpl w:val="00D08C2E"/>
    <w:lvl w:ilvl="0" w:tplc="D17C3CDE">
      <w:start w:val="1"/>
      <w:numFmt w:val="bullet"/>
      <w:lvlText w:val=""/>
      <w:lvlJc w:val="left"/>
      <w:pPr>
        <w:ind w:left="720" w:hanging="360"/>
      </w:pPr>
      <w:rPr>
        <w:rFonts w:ascii="Symbol" w:hAnsi="Symbol" w:hint="default"/>
      </w:rPr>
    </w:lvl>
    <w:lvl w:ilvl="1" w:tplc="9ED24808" w:tentative="1">
      <w:start w:val="1"/>
      <w:numFmt w:val="bullet"/>
      <w:lvlText w:val="o"/>
      <w:lvlJc w:val="left"/>
      <w:pPr>
        <w:ind w:left="1440" w:hanging="360"/>
      </w:pPr>
      <w:rPr>
        <w:rFonts w:ascii="Courier New" w:hAnsi="Courier New" w:cs="Courier New" w:hint="default"/>
      </w:rPr>
    </w:lvl>
    <w:lvl w:ilvl="2" w:tplc="EB98E242" w:tentative="1">
      <w:start w:val="1"/>
      <w:numFmt w:val="bullet"/>
      <w:lvlText w:val=""/>
      <w:lvlJc w:val="left"/>
      <w:pPr>
        <w:ind w:left="2160" w:hanging="360"/>
      </w:pPr>
      <w:rPr>
        <w:rFonts w:ascii="Wingdings" w:hAnsi="Wingdings" w:hint="default"/>
      </w:rPr>
    </w:lvl>
    <w:lvl w:ilvl="3" w:tplc="98821A70" w:tentative="1">
      <w:start w:val="1"/>
      <w:numFmt w:val="bullet"/>
      <w:lvlText w:val=""/>
      <w:lvlJc w:val="left"/>
      <w:pPr>
        <w:ind w:left="2880" w:hanging="360"/>
      </w:pPr>
      <w:rPr>
        <w:rFonts w:ascii="Symbol" w:hAnsi="Symbol" w:hint="default"/>
      </w:rPr>
    </w:lvl>
    <w:lvl w:ilvl="4" w:tplc="C44C110C" w:tentative="1">
      <w:start w:val="1"/>
      <w:numFmt w:val="bullet"/>
      <w:lvlText w:val="o"/>
      <w:lvlJc w:val="left"/>
      <w:pPr>
        <w:ind w:left="3600" w:hanging="360"/>
      </w:pPr>
      <w:rPr>
        <w:rFonts w:ascii="Courier New" w:hAnsi="Courier New" w:cs="Courier New" w:hint="default"/>
      </w:rPr>
    </w:lvl>
    <w:lvl w:ilvl="5" w:tplc="472CF71E" w:tentative="1">
      <w:start w:val="1"/>
      <w:numFmt w:val="bullet"/>
      <w:lvlText w:val=""/>
      <w:lvlJc w:val="left"/>
      <w:pPr>
        <w:ind w:left="4320" w:hanging="360"/>
      </w:pPr>
      <w:rPr>
        <w:rFonts w:ascii="Wingdings" w:hAnsi="Wingdings" w:hint="default"/>
      </w:rPr>
    </w:lvl>
    <w:lvl w:ilvl="6" w:tplc="CE1A7160" w:tentative="1">
      <w:start w:val="1"/>
      <w:numFmt w:val="bullet"/>
      <w:lvlText w:val=""/>
      <w:lvlJc w:val="left"/>
      <w:pPr>
        <w:ind w:left="5040" w:hanging="360"/>
      </w:pPr>
      <w:rPr>
        <w:rFonts w:ascii="Symbol" w:hAnsi="Symbol" w:hint="default"/>
      </w:rPr>
    </w:lvl>
    <w:lvl w:ilvl="7" w:tplc="F296F320" w:tentative="1">
      <w:start w:val="1"/>
      <w:numFmt w:val="bullet"/>
      <w:lvlText w:val="o"/>
      <w:lvlJc w:val="left"/>
      <w:pPr>
        <w:ind w:left="5760" w:hanging="360"/>
      </w:pPr>
      <w:rPr>
        <w:rFonts w:ascii="Courier New" w:hAnsi="Courier New" w:cs="Courier New" w:hint="default"/>
      </w:rPr>
    </w:lvl>
    <w:lvl w:ilvl="8" w:tplc="9FE24468" w:tentative="1">
      <w:start w:val="1"/>
      <w:numFmt w:val="bullet"/>
      <w:lvlText w:val=""/>
      <w:lvlJc w:val="left"/>
      <w:pPr>
        <w:ind w:left="6480" w:hanging="360"/>
      </w:pPr>
      <w:rPr>
        <w:rFonts w:ascii="Wingdings" w:hAnsi="Wingdings" w:hint="default"/>
      </w:rPr>
    </w:lvl>
  </w:abstractNum>
  <w:abstractNum w:abstractNumId="97" w15:restartNumberingAfterBreak="0">
    <w:nsid w:val="396E68ED"/>
    <w:multiLevelType w:val="hybridMultilevel"/>
    <w:tmpl w:val="11E28640"/>
    <w:styleLink w:val="CurrentList3"/>
    <w:lvl w:ilvl="0" w:tplc="F02C67C2">
      <w:start w:val="1"/>
      <w:numFmt w:val="bullet"/>
      <w:lvlText w:val=""/>
      <w:lvlJc w:val="left"/>
      <w:pPr>
        <w:ind w:left="720" w:hanging="360"/>
      </w:pPr>
      <w:rPr>
        <w:rFonts w:ascii="Symbol" w:hAnsi="Symbol" w:hint="default"/>
      </w:rPr>
    </w:lvl>
    <w:lvl w:ilvl="1" w:tplc="F32C915A" w:tentative="1">
      <w:start w:val="1"/>
      <w:numFmt w:val="bullet"/>
      <w:lvlText w:val="o"/>
      <w:lvlJc w:val="left"/>
      <w:pPr>
        <w:ind w:left="1440" w:hanging="360"/>
      </w:pPr>
      <w:rPr>
        <w:rFonts w:ascii="Courier New" w:hAnsi="Courier New" w:cs="Courier New" w:hint="default"/>
      </w:rPr>
    </w:lvl>
    <w:lvl w:ilvl="2" w:tplc="A9DC10DA" w:tentative="1">
      <w:start w:val="1"/>
      <w:numFmt w:val="bullet"/>
      <w:lvlText w:val=""/>
      <w:lvlJc w:val="left"/>
      <w:pPr>
        <w:ind w:left="2160" w:hanging="360"/>
      </w:pPr>
      <w:rPr>
        <w:rFonts w:ascii="Wingdings" w:hAnsi="Wingdings" w:hint="default"/>
      </w:rPr>
    </w:lvl>
    <w:lvl w:ilvl="3" w:tplc="F23ED5BC" w:tentative="1">
      <w:start w:val="1"/>
      <w:numFmt w:val="bullet"/>
      <w:lvlText w:val=""/>
      <w:lvlJc w:val="left"/>
      <w:pPr>
        <w:ind w:left="2880" w:hanging="360"/>
      </w:pPr>
      <w:rPr>
        <w:rFonts w:ascii="Symbol" w:hAnsi="Symbol" w:hint="default"/>
      </w:rPr>
    </w:lvl>
    <w:lvl w:ilvl="4" w:tplc="239EE1A6" w:tentative="1">
      <w:start w:val="1"/>
      <w:numFmt w:val="bullet"/>
      <w:lvlText w:val="o"/>
      <w:lvlJc w:val="left"/>
      <w:pPr>
        <w:ind w:left="3600" w:hanging="360"/>
      </w:pPr>
      <w:rPr>
        <w:rFonts w:ascii="Courier New" w:hAnsi="Courier New" w:cs="Courier New" w:hint="default"/>
      </w:rPr>
    </w:lvl>
    <w:lvl w:ilvl="5" w:tplc="52502CA0" w:tentative="1">
      <w:start w:val="1"/>
      <w:numFmt w:val="bullet"/>
      <w:lvlText w:val=""/>
      <w:lvlJc w:val="left"/>
      <w:pPr>
        <w:ind w:left="4320" w:hanging="360"/>
      </w:pPr>
      <w:rPr>
        <w:rFonts w:ascii="Wingdings" w:hAnsi="Wingdings" w:hint="default"/>
      </w:rPr>
    </w:lvl>
    <w:lvl w:ilvl="6" w:tplc="5A783BFE" w:tentative="1">
      <w:start w:val="1"/>
      <w:numFmt w:val="bullet"/>
      <w:lvlText w:val=""/>
      <w:lvlJc w:val="left"/>
      <w:pPr>
        <w:ind w:left="5040" w:hanging="360"/>
      </w:pPr>
      <w:rPr>
        <w:rFonts w:ascii="Symbol" w:hAnsi="Symbol" w:hint="default"/>
      </w:rPr>
    </w:lvl>
    <w:lvl w:ilvl="7" w:tplc="08A27B44" w:tentative="1">
      <w:start w:val="1"/>
      <w:numFmt w:val="bullet"/>
      <w:lvlText w:val="o"/>
      <w:lvlJc w:val="left"/>
      <w:pPr>
        <w:ind w:left="5760" w:hanging="360"/>
      </w:pPr>
      <w:rPr>
        <w:rFonts w:ascii="Courier New" w:hAnsi="Courier New" w:cs="Courier New" w:hint="default"/>
      </w:rPr>
    </w:lvl>
    <w:lvl w:ilvl="8" w:tplc="404AC3CA" w:tentative="1">
      <w:start w:val="1"/>
      <w:numFmt w:val="bullet"/>
      <w:lvlText w:val=""/>
      <w:lvlJc w:val="left"/>
      <w:pPr>
        <w:ind w:left="6480" w:hanging="360"/>
      </w:pPr>
      <w:rPr>
        <w:rFonts w:ascii="Wingdings" w:hAnsi="Wingdings" w:hint="default"/>
      </w:rPr>
    </w:lvl>
  </w:abstractNum>
  <w:abstractNum w:abstractNumId="98" w15:restartNumberingAfterBreak="0">
    <w:nsid w:val="3B1D0123"/>
    <w:multiLevelType w:val="hybridMultilevel"/>
    <w:tmpl w:val="1C4281EE"/>
    <w:lvl w:ilvl="0" w:tplc="2EB091F2">
      <w:start w:val="1"/>
      <w:numFmt w:val="lowerLetter"/>
      <w:lvlText w:val="%1."/>
      <w:lvlJc w:val="left"/>
      <w:pPr>
        <w:ind w:left="1080" w:hanging="360"/>
      </w:pPr>
    </w:lvl>
    <w:lvl w:ilvl="1" w:tplc="5C406FC2" w:tentative="1">
      <w:start w:val="1"/>
      <w:numFmt w:val="lowerLetter"/>
      <w:lvlText w:val="%2."/>
      <w:lvlJc w:val="left"/>
      <w:pPr>
        <w:ind w:left="1800" w:hanging="360"/>
      </w:pPr>
    </w:lvl>
    <w:lvl w:ilvl="2" w:tplc="C8364488">
      <w:start w:val="1"/>
      <w:numFmt w:val="lowerRoman"/>
      <w:lvlText w:val="%3."/>
      <w:lvlJc w:val="right"/>
      <w:pPr>
        <w:ind w:left="2520" w:hanging="180"/>
      </w:pPr>
    </w:lvl>
    <w:lvl w:ilvl="3" w:tplc="A02C30A2" w:tentative="1">
      <w:start w:val="1"/>
      <w:numFmt w:val="decimal"/>
      <w:lvlText w:val="%4."/>
      <w:lvlJc w:val="left"/>
      <w:pPr>
        <w:ind w:left="3240" w:hanging="360"/>
      </w:pPr>
    </w:lvl>
    <w:lvl w:ilvl="4" w:tplc="439C0B56" w:tentative="1">
      <w:start w:val="1"/>
      <w:numFmt w:val="lowerLetter"/>
      <w:lvlText w:val="%5."/>
      <w:lvlJc w:val="left"/>
      <w:pPr>
        <w:ind w:left="3960" w:hanging="360"/>
      </w:pPr>
    </w:lvl>
    <w:lvl w:ilvl="5" w:tplc="450C5BA4" w:tentative="1">
      <w:start w:val="1"/>
      <w:numFmt w:val="lowerRoman"/>
      <w:lvlText w:val="%6."/>
      <w:lvlJc w:val="right"/>
      <w:pPr>
        <w:ind w:left="4680" w:hanging="180"/>
      </w:pPr>
    </w:lvl>
    <w:lvl w:ilvl="6" w:tplc="23027110" w:tentative="1">
      <w:start w:val="1"/>
      <w:numFmt w:val="decimal"/>
      <w:lvlText w:val="%7."/>
      <w:lvlJc w:val="left"/>
      <w:pPr>
        <w:ind w:left="5400" w:hanging="360"/>
      </w:pPr>
    </w:lvl>
    <w:lvl w:ilvl="7" w:tplc="FF46E6FE" w:tentative="1">
      <w:start w:val="1"/>
      <w:numFmt w:val="lowerLetter"/>
      <w:lvlText w:val="%8."/>
      <w:lvlJc w:val="left"/>
      <w:pPr>
        <w:ind w:left="6120" w:hanging="360"/>
      </w:pPr>
    </w:lvl>
    <w:lvl w:ilvl="8" w:tplc="6136C948" w:tentative="1">
      <w:start w:val="1"/>
      <w:numFmt w:val="lowerRoman"/>
      <w:lvlText w:val="%9."/>
      <w:lvlJc w:val="right"/>
      <w:pPr>
        <w:ind w:left="6840" w:hanging="180"/>
      </w:pPr>
    </w:lvl>
  </w:abstractNum>
  <w:abstractNum w:abstractNumId="99" w15:restartNumberingAfterBreak="0">
    <w:nsid w:val="3C1D63F9"/>
    <w:multiLevelType w:val="multilevel"/>
    <w:tmpl w:val="3E5A8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C403274"/>
    <w:multiLevelType w:val="hybridMultilevel"/>
    <w:tmpl w:val="900CB222"/>
    <w:lvl w:ilvl="0" w:tplc="5AF60360">
      <w:start w:val="1"/>
      <w:numFmt w:val="bullet"/>
      <w:lvlText w:val=""/>
      <w:lvlJc w:val="left"/>
      <w:pPr>
        <w:ind w:left="720" w:hanging="360"/>
      </w:pPr>
      <w:rPr>
        <w:rFonts w:ascii="Symbol" w:hAnsi="Symbol" w:hint="default"/>
      </w:rPr>
    </w:lvl>
    <w:lvl w:ilvl="1" w:tplc="F85683AC" w:tentative="1">
      <w:start w:val="1"/>
      <w:numFmt w:val="bullet"/>
      <w:lvlText w:val="o"/>
      <w:lvlJc w:val="left"/>
      <w:pPr>
        <w:ind w:left="1440" w:hanging="360"/>
      </w:pPr>
      <w:rPr>
        <w:rFonts w:ascii="Courier New" w:hAnsi="Courier New" w:cs="Courier New" w:hint="default"/>
      </w:rPr>
    </w:lvl>
    <w:lvl w:ilvl="2" w:tplc="C104276C" w:tentative="1">
      <w:start w:val="1"/>
      <w:numFmt w:val="bullet"/>
      <w:lvlText w:val=""/>
      <w:lvlJc w:val="left"/>
      <w:pPr>
        <w:ind w:left="2160" w:hanging="360"/>
      </w:pPr>
      <w:rPr>
        <w:rFonts w:ascii="Wingdings" w:hAnsi="Wingdings" w:hint="default"/>
      </w:rPr>
    </w:lvl>
    <w:lvl w:ilvl="3" w:tplc="D3841FF0" w:tentative="1">
      <w:start w:val="1"/>
      <w:numFmt w:val="bullet"/>
      <w:lvlText w:val=""/>
      <w:lvlJc w:val="left"/>
      <w:pPr>
        <w:ind w:left="2880" w:hanging="360"/>
      </w:pPr>
      <w:rPr>
        <w:rFonts w:ascii="Symbol" w:hAnsi="Symbol" w:hint="default"/>
      </w:rPr>
    </w:lvl>
    <w:lvl w:ilvl="4" w:tplc="BE22B8AA" w:tentative="1">
      <w:start w:val="1"/>
      <w:numFmt w:val="bullet"/>
      <w:lvlText w:val="o"/>
      <w:lvlJc w:val="left"/>
      <w:pPr>
        <w:ind w:left="3600" w:hanging="360"/>
      </w:pPr>
      <w:rPr>
        <w:rFonts w:ascii="Courier New" w:hAnsi="Courier New" w:cs="Courier New" w:hint="default"/>
      </w:rPr>
    </w:lvl>
    <w:lvl w:ilvl="5" w:tplc="EAE86926" w:tentative="1">
      <w:start w:val="1"/>
      <w:numFmt w:val="bullet"/>
      <w:lvlText w:val=""/>
      <w:lvlJc w:val="left"/>
      <w:pPr>
        <w:ind w:left="4320" w:hanging="360"/>
      </w:pPr>
      <w:rPr>
        <w:rFonts w:ascii="Wingdings" w:hAnsi="Wingdings" w:hint="default"/>
      </w:rPr>
    </w:lvl>
    <w:lvl w:ilvl="6" w:tplc="33129B9A" w:tentative="1">
      <w:start w:val="1"/>
      <w:numFmt w:val="bullet"/>
      <w:lvlText w:val=""/>
      <w:lvlJc w:val="left"/>
      <w:pPr>
        <w:ind w:left="5040" w:hanging="360"/>
      </w:pPr>
      <w:rPr>
        <w:rFonts w:ascii="Symbol" w:hAnsi="Symbol" w:hint="default"/>
      </w:rPr>
    </w:lvl>
    <w:lvl w:ilvl="7" w:tplc="F04051C6" w:tentative="1">
      <w:start w:val="1"/>
      <w:numFmt w:val="bullet"/>
      <w:lvlText w:val="o"/>
      <w:lvlJc w:val="left"/>
      <w:pPr>
        <w:ind w:left="5760" w:hanging="360"/>
      </w:pPr>
      <w:rPr>
        <w:rFonts w:ascii="Courier New" w:hAnsi="Courier New" w:cs="Courier New" w:hint="default"/>
      </w:rPr>
    </w:lvl>
    <w:lvl w:ilvl="8" w:tplc="9460C26E" w:tentative="1">
      <w:start w:val="1"/>
      <w:numFmt w:val="bullet"/>
      <w:lvlText w:val=""/>
      <w:lvlJc w:val="left"/>
      <w:pPr>
        <w:ind w:left="6480" w:hanging="360"/>
      </w:pPr>
      <w:rPr>
        <w:rFonts w:ascii="Wingdings" w:hAnsi="Wingdings" w:hint="default"/>
      </w:rPr>
    </w:lvl>
  </w:abstractNum>
  <w:abstractNum w:abstractNumId="101" w15:restartNumberingAfterBreak="0">
    <w:nsid w:val="3DA05993"/>
    <w:multiLevelType w:val="hybridMultilevel"/>
    <w:tmpl w:val="266A0806"/>
    <w:lvl w:ilvl="0" w:tplc="C03E8DAC">
      <w:start w:val="1"/>
      <w:numFmt w:val="bullet"/>
      <w:lvlText w:val=""/>
      <w:lvlJc w:val="left"/>
      <w:pPr>
        <w:ind w:left="720" w:hanging="360"/>
      </w:pPr>
      <w:rPr>
        <w:rFonts w:ascii="Symbol" w:hAnsi="Symbol" w:hint="default"/>
      </w:rPr>
    </w:lvl>
    <w:lvl w:ilvl="1" w:tplc="6D40B0C0" w:tentative="1">
      <w:start w:val="1"/>
      <w:numFmt w:val="bullet"/>
      <w:lvlText w:val="o"/>
      <w:lvlJc w:val="left"/>
      <w:pPr>
        <w:ind w:left="1440" w:hanging="360"/>
      </w:pPr>
      <w:rPr>
        <w:rFonts w:ascii="Courier New" w:hAnsi="Courier New" w:cs="Courier New" w:hint="default"/>
      </w:rPr>
    </w:lvl>
    <w:lvl w:ilvl="2" w:tplc="2348F780" w:tentative="1">
      <w:start w:val="1"/>
      <w:numFmt w:val="bullet"/>
      <w:lvlText w:val=""/>
      <w:lvlJc w:val="left"/>
      <w:pPr>
        <w:ind w:left="2160" w:hanging="360"/>
      </w:pPr>
      <w:rPr>
        <w:rFonts w:ascii="Wingdings" w:hAnsi="Wingdings" w:hint="default"/>
      </w:rPr>
    </w:lvl>
    <w:lvl w:ilvl="3" w:tplc="9134004C" w:tentative="1">
      <w:start w:val="1"/>
      <w:numFmt w:val="bullet"/>
      <w:lvlText w:val=""/>
      <w:lvlJc w:val="left"/>
      <w:pPr>
        <w:ind w:left="2880" w:hanging="360"/>
      </w:pPr>
      <w:rPr>
        <w:rFonts w:ascii="Symbol" w:hAnsi="Symbol" w:hint="default"/>
      </w:rPr>
    </w:lvl>
    <w:lvl w:ilvl="4" w:tplc="9E9AE14E" w:tentative="1">
      <w:start w:val="1"/>
      <w:numFmt w:val="bullet"/>
      <w:lvlText w:val="o"/>
      <w:lvlJc w:val="left"/>
      <w:pPr>
        <w:ind w:left="3600" w:hanging="360"/>
      </w:pPr>
      <w:rPr>
        <w:rFonts w:ascii="Courier New" w:hAnsi="Courier New" w:cs="Courier New" w:hint="default"/>
      </w:rPr>
    </w:lvl>
    <w:lvl w:ilvl="5" w:tplc="FC2A822A" w:tentative="1">
      <w:start w:val="1"/>
      <w:numFmt w:val="bullet"/>
      <w:lvlText w:val=""/>
      <w:lvlJc w:val="left"/>
      <w:pPr>
        <w:ind w:left="4320" w:hanging="360"/>
      </w:pPr>
      <w:rPr>
        <w:rFonts w:ascii="Wingdings" w:hAnsi="Wingdings" w:hint="default"/>
      </w:rPr>
    </w:lvl>
    <w:lvl w:ilvl="6" w:tplc="F378C504" w:tentative="1">
      <w:start w:val="1"/>
      <w:numFmt w:val="bullet"/>
      <w:lvlText w:val=""/>
      <w:lvlJc w:val="left"/>
      <w:pPr>
        <w:ind w:left="5040" w:hanging="360"/>
      </w:pPr>
      <w:rPr>
        <w:rFonts w:ascii="Symbol" w:hAnsi="Symbol" w:hint="default"/>
      </w:rPr>
    </w:lvl>
    <w:lvl w:ilvl="7" w:tplc="C41862CA" w:tentative="1">
      <w:start w:val="1"/>
      <w:numFmt w:val="bullet"/>
      <w:lvlText w:val="o"/>
      <w:lvlJc w:val="left"/>
      <w:pPr>
        <w:ind w:left="5760" w:hanging="360"/>
      </w:pPr>
      <w:rPr>
        <w:rFonts w:ascii="Courier New" w:hAnsi="Courier New" w:cs="Courier New" w:hint="default"/>
      </w:rPr>
    </w:lvl>
    <w:lvl w:ilvl="8" w:tplc="3F7E545A" w:tentative="1">
      <w:start w:val="1"/>
      <w:numFmt w:val="bullet"/>
      <w:lvlText w:val=""/>
      <w:lvlJc w:val="left"/>
      <w:pPr>
        <w:ind w:left="6480" w:hanging="360"/>
      </w:pPr>
      <w:rPr>
        <w:rFonts w:ascii="Wingdings" w:hAnsi="Wingdings" w:hint="default"/>
      </w:rPr>
    </w:lvl>
  </w:abstractNum>
  <w:abstractNum w:abstractNumId="102" w15:restartNumberingAfterBreak="0">
    <w:nsid w:val="3DB04C09"/>
    <w:multiLevelType w:val="hybridMultilevel"/>
    <w:tmpl w:val="F648EAB0"/>
    <w:styleLink w:val="CurrentList2"/>
    <w:lvl w:ilvl="0" w:tplc="584EF910">
      <w:start w:val="1"/>
      <w:numFmt w:val="decimal"/>
      <w:lvlText w:val="%1."/>
      <w:lvlJc w:val="left"/>
      <w:pPr>
        <w:ind w:left="0" w:hanging="360"/>
      </w:pPr>
      <w:rPr>
        <w:rFonts w:hint="default"/>
      </w:rPr>
    </w:lvl>
    <w:lvl w:ilvl="1" w:tplc="8ED63AE8" w:tentative="1">
      <w:start w:val="1"/>
      <w:numFmt w:val="lowerLetter"/>
      <w:lvlText w:val="%2."/>
      <w:lvlJc w:val="left"/>
      <w:pPr>
        <w:ind w:left="720" w:hanging="360"/>
      </w:pPr>
    </w:lvl>
    <w:lvl w:ilvl="2" w:tplc="40543D92" w:tentative="1">
      <w:start w:val="1"/>
      <w:numFmt w:val="lowerRoman"/>
      <w:lvlText w:val="%3."/>
      <w:lvlJc w:val="right"/>
      <w:pPr>
        <w:ind w:left="1440" w:hanging="180"/>
      </w:pPr>
    </w:lvl>
    <w:lvl w:ilvl="3" w:tplc="52D666A8" w:tentative="1">
      <w:start w:val="1"/>
      <w:numFmt w:val="decimal"/>
      <w:lvlText w:val="%4."/>
      <w:lvlJc w:val="left"/>
      <w:pPr>
        <w:ind w:left="2160" w:hanging="360"/>
      </w:pPr>
    </w:lvl>
    <w:lvl w:ilvl="4" w:tplc="BF9EA1F2" w:tentative="1">
      <w:start w:val="1"/>
      <w:numFmt w:val="lowerLetter"/>
      <w:lvlText w:val="%5."/>
      <w:lvlJc w:val="left"/>
      <w:pPr>
        <w:ind w:left="2880" w:hanging="360"/>
      </w:pPr>
    </w:lvl>
    <w:lvl w:ilvl="5" w:tplc="705CDE28" w:tentative="1">
      <w:start w:val="1"/>
      <w:numFmt w:val="lowerRoman"/>
      <w:lvlText w:val="%6."/>
      <w:lvlJc w:val="right"/>
      <w:pPr>
        <w:ind w:left="3600" w:hanging="180"/>
      </w:pPr>
    </w:lvl>
    <w:lvl w:ilvl="6" w:tplc="4FF84D4A" w:tentative="1">
      <w:start w:val="1"/>
      <w:numFmt w:val="decimal"/>
      <w:lvlText w:val="%7."/>
      <w:lvlJc w:val="left"/>
      <w:pPr>
        <w:ind w:left="4320" w:hanging="360"/>
      </w:pPr>
    </w:lvl>
    <w:lvl w:ilvl="7" w:tplc="69102660" w:tentative="1">
      <w:start w:val="1"/>
      <w:numFmt w:val="lowerLetter"/>
      <w:lvlText w:val="%8."/>
      <w:lvlJc w:val="left"/>
      <w:pPr>
        <w:ind w:left="5040" w:hanging="360"/>
      </w:pPr>
    </w:lvl>
    <w:lvl w:ilvl="8" w:tplc="791CCCCA" w:tentative="1">
      <w:start w:val="1"/>
      <w:numFmt w:val="lowerRoman"/>
      <w:lvlText w:val="%9."/>
      <w:lvlJc w:val="right"/>
      <w:pPr>
        <w:ind w:left="5760" w:hanging="180"/>
      </w:pPr>
    </w:lvl>
  </w:abstractNum>
  <w:abstractNum w:abstractNumId="103" w15:restartNumberingAfterBreak="0">
    <w:nsid w:val="3E201830"/>
    <w:multiLevelType w:val="hybridMultilevel"/>
    <w:tmpl w:val="642E9148"/>
    <w:lvl w:ilvl="0" w:tplc="B742E3A0">
      <w:start w:val="1"/>
      <w:numFmt w:val="bullet"/>
      <w:lvlText w:val=""/>
      <w:lvlJc w:val="left"/>
      <w:pPr>
        <w:ind w:left="720" w:hanging="360"/>
      </w:pPr>
      <w:rPr>
        <w:rFonts w:ascii="Symbol" w:hAnsi="Symbol" w:hint="default"/>
      </w:rPr>
    </w:lvl>
    <w:lvl w:ilvl="1" w:tplc="2794D740" w:tentative="1">
      <w:start w:val="1"/>
      <w:numFmt w:val="bullet"/>
      <w:lvlText w:val="o"/>
      <w:lvlJc w:val="left"/>
      <w:pPr>
        <w:ind w:left="1440" w:hanging="360"/>
      </w:pPr>
      <w:rPr>
        <w:rFonts w:ascii="Courier New" w:hAnsi="Courier New" w:cs="Courier New" w:hint="default"/>
      </w:rPr>
    </w:lvl>
    <w:lvl w:ilvl="2" w:tplc="3D565D88" w:tentative="1">
      <w:start w:val="1"/>
      <w:numFmt w:val="bullet"/>
      <w:lvlText w:val=""/>
      <w:lvlJc w:val="left"/>
      <w:pPr>
        <w:ind w:left="2160" w:hanging="360"/>
      </w:pPr>
      <w:rPr>
        <w:rFonts w:ascii="Wingdings" w:hAnsi="Wingdings" w:hint="default"/>
      </w:rPr>
    </w:lvl>
    <w:lvl w:ilvl="3" w:tplc="C060CB78" w:tentative="1">
      <w:start w:val="1"/>
      <w:numFmt w:val="bullet"/>
      <w:lvlText w:val=""/>
      <w:lvlJc w:val="left"/>
      <w:pPr>
        <w:ind w:left="2880" w:hanging="360"/>
      </w:pPr>
      <w:rPr>
        <w:rFonts w:ascii="Symbol" w:hAnsi="Symbol" w:hint="default"/>
      </w:rPr>
    </w:lvl>
    <w:lvl w:ilvl="4" w:tplc="61C07AB0" w:tentative="1">
      <w:start w:val="1"/>
      <w:numFmt w:val="bullet"/>
      <w:lvlText w:val="o"/>
      <w:lvlJc w:val="left"/>
      <w:pPr>
        <w:ind w:left="3600" w:hanging="360"/>
      </w:pPr>
      <w:rPr>
        <w:rFonts w:ascii="Courier New" w:hAnsi="Courier New" w:cs="Courier New" w:hint="default"/>
      </w:rPr>
    </w:lvl>
    <w:lvl w:ilvl="5" w:tplc="3E9E9F66" w:tentative="1">
      <w:start w:val="1"/>
      <w:numFmt w:val="bullet"/>
      <w:lvlText w:val=""/>
      <w:lvlJc w:val="left"/>
      <w:pPr>
        <w:ind w:left="4320" w:hanging="360"/>
      </w:pPr>
      <w:rPr>
        <w:rFonts w:ascii="Wingdings" w:hAnsi="Wingdings" w:hint="default"/>
      </w:rPr>
    </w:lvl>
    <w:lvl w:ilvl="6" w:tplc="B8B20BAA" w:tentative="1">
      <w:start w:val="1"/>
      <w:numFmt w:val="bullet"/>
      <w:lvlText w:val=""/>
      <w:lvlJc w:val="left"/>
      <w:pPr>
        <w:ind w:left="5040" w:hanging="360"/>
      </w:pPr>
      <w:rPr>
        <w:rFonts w:ascii="Symbol" w:hAnsi="Symbol" w:hint="default"/>
      </w:rPr>
    </w:lvl>
    <w:lvl w:ilvl="7" w:tplc="E0082EAA" w:tentative="1">
      <w:start w:val="1"/>
      <w:numFmt w:val="bullet"/>
      <w:lvlText w:val="o"/>
      <w:lvlJc w:val="left"/>
      <w:pPr>
        <w:ind w:left="5760" w:hanging="360"/>
      </w:pPr>
      <w:rPr>
        <w:rFonts w:ascii="Courier New" w:hAnsi="Courier New" w:cs="Courier New" w:hint="default"/>
      </w:rPr>
    </w:lvl>
    <w:lvl w:ilvl="8" w:tplc="B55E7A72" w:tentative="1">
      <w:start w:val="1"/>
      <w:numFmt w:val="bullet"/>
      <w:lvlText w:val=""/>
      <w:lvlJc w:val="left"/>
      <w:pPr>
        <w:ind w:left="6480" w:hanging="360"/>
      </w:pPr>
      <w:rPr>
        <w:rFonts w:ascii="Wingdings" w:hAnsi="Wingdings" w:hint="default"/>
      </w:rPr>
    </w:lvl>
  </w:abstractNum>
  <w:abstractNum w:abstractNumId="104" w15:restartNumberingAfterBreak="0">
    <w:nsid w:val="3ED00067"/>
    <w:multiLevelType w:val="hybridMultilevel"/>
    <w:tmpl w:val="F192EF30"/>
    <w:lvl w:ilvl="0" w:tplc="1B84FA82">
      <w:start w:val="1"/>
      <w:numFmt w:val="bullet"/>
      <w:lvlText w:val=""/>
      <w:lvlJc w:val="left"/>
      <w:pPr>
        <w:ind w:left="720" w:hanging="360"/>
      </w:pPr>
      <w:rPr>
        <w:rFonts w:ascii="Symbol" w:hAnsi="Symbol" w:hint="default"/>
      </w:rPr>
    </w:lvl>
    <w:lvl w:ilvl="1" w:tplc="E0C212D8">
      <w:start w:val="1"/>
      <w:numFmt w:val="bullet"/>
      <w:lvlText w:val=""/>
      <w:lvlJc w:val="left"/>
      <w:pPr>
        <w:ind w:left="1440" w:hanging="360"/>
      </w:pPr>
      <w:rPr>
        <w:rFonts w:ascii="Symbol" w:hAnsi="Symbol" w:hint="default"/>
      </w:rPr>
    </w:lvl>
    <w:lvl w:ilvl="2" w:tplc="3EBE53E4" w:tentative="1">
      <w:start w:val="1"/>
      <w:numFmt w:val="bullet"/>
      <w:lvlText w:val=""/>
      <w:lvlJc w:val="left"/>
      <w:pPr>
        <w:ind w:left="2160" w:hanging="360"/>
      </w:pPr>
      <w:rPr>
        <w:rFonts w:ascii="Wingdings" w:hAnsi="Wingdings" w:hint="default"/>
      </w:rPr>
    </w:lvl>
    <w:lvl w:ilvl="3" w:tplc="E982A8A8" w:tentative="1">
      <w:start w:val="1"/>
      <w:numFmt w:val="bullet"/>
      <w:lvlText w:val=""/>
      <w:lvlJc w:val="left"/>
      <w:pPr>
        <w:ind w:left="2880" w:hanging="360"/>
      </w:pPr>
      <w:rPr>
        <w:rFonts w:ascii="Symbol" w:hAnsi="Symbol" w:hint="default"/>
      </w:rPr>
    </w:lvl>
    <w:lvl w:ilvl="4" w:tplc="AAC00BF4" w:tentative="1">
      <w:start w:val="1"/>
      <w:numFmt w:val="bullet"/>
      <w:lvlText w:val="o"/>
      <w:lvlJc w:val="left"/>
      <w:pPr>
        <w:ind w:left="3600" w:hanging="360"/>
      </w:pPr>
      <w:rPr>
        <w:rFonts w:ascii="Courier New" w:hAnsi="Courier New" w:cs="Courier New" w:hint="default"/>
      </w:rPr>
    </w:lvl>
    <w:lvl w:ilvl="5" w:tplc="F1EEB7DE" w:tentative="1">
      <w:start w:val="1"/>
      <w:numFmt w:val="bullet"/>
      <w:lvlText w:val=""/>
      <w:lvlJc w:val="left"/>
      <w:pPr>
        <w:ind w:left="4320" w:hanging="360"/>
      </w:pPr>
      <w:rPr>
        <w:rFonts w:ascii="Wingdings" w:hAnsi="Wingdings" w:hint="default"/>
      </w:rPr>
    </w:lvl>
    <w:lvl w:ilvl="6" w:tplc="3F88BE86" w:tentative="1">
      <w:start w:val="1"/>
      <w:numFmt w:val="bullet"/>
      <w:lvlText w:val=""/>
      <w:lvlJc w:val="left"/>
      <w:pPr>
        <w:ind w:left="5040" w:hanging="360"/>
      </w:pPr>
      <w:rPr>
        <w:rFonts w:ascii="Symbol" w:hAnsi="Symbol" w:hint="default"/>
      </w:rPr>
    </w:lvl>
    <w:lvl w:ilvl="7" w:tplc="8CD8D9C6" w:tentative="1">
      <w:start w:val="1"/>
      <w:numFmt w:val="bullet"/>
      <w:lvlText w:val="o"/>
      <w:lvlJc w:val="left"/>
      <w:pPr>
        <w:ind w:left="5760" w:hanging="360"/>
      </w:pPr>
      <w:rPr>
        <w:rFonts w:ascii="Courier New" w:hAnsi="Courier New" w:cs="Courier New" w:hint="default"/>
      </w:rPr>
    </w:lvl>
    <w:lvl w:ilvl="8" w:tplc="2D7EC2F6" w:tentative="1">
      <w:start w:val="1"/>
      <w:numFmt w:val="bullet"/>
      <w:lvlText w:val=""/>
      <w:lvlJc w:val="left"/>
      <w:pPr>
        <w:ind w:left="6480" w:hanging="360"/>
      </w:pPr>
      <w:rPr>
        <w:rFonts w:ascii="Wingdings" w:hAnsi="Wingdings" w:hint="default"/>
      </w:rPr>
    </w:lvl>
  </w:abstractNum>
  <w:abstractNum w:abstractNumId="105" w15:restartNumberingAfterBreak="0">
    <w:nsid w:val="4032788C"/>
    <w:multiLevelType w:val="hybridMultilevel"/>
    <w:tmpl w:val="D3B2C9A4"/>
    <w:lvl w:ilvl="0" w:tplc="F762FAD2">
      <w:start w:val="1"/>
      <w:numFmt w:val="bullet"/>
      <w:lvlText w:val=""/>
      <w:lvlJc w:val="left"/>
      <w:pPr>
        <w:ind w:left="720" w:hanging="360"/>
      </w:pPr>
      <w:rPr>
        <w:rFonts w:ascii="Symbol" w:hAnsi="Symbol" w:hint="default"/>
      </w:rPr>
    </w:lvl>
    <w:lvl w:ilvl="1" w:tplc="0A04ADE2" w:tentative="1">
      <w:start w:val="1"/>
      <w:numFmt w:val="bullet"/>
      <w:lvlText w:val="o"/>
      <w:lvlJc w:val="left"/>
      <w:pPr>
        <w:ind w:left="1440" w:hanging="360"/>
      </w:pPr>
      <w:rPr>
        <w:rFonts w:ascii="Courier New" w:hAnsi="Courier New" w:cs="Courier New" w:hint="default"/>
      </w:rPr>
    </w:lvl>
    <w:lvl w:ilvl="2" w:tplc="69AC5586" w:tentative="1">
      <w:start w:val="1"/>
      <w:numFmt w:val="bullet"/>
      <w:lvlText w:val=""/>
      <w:lvlJc w:val="left"/>
      <w:pPr>
        <w:ind w:left="2160" w:hanging="360"/>
      </w:pPr>
      <w:rPr>
        <w:rFonts w:ascii="Wingdings" w:hAnsi="Wingdings" w:hint="default"/>
      </w:rPr>
    </w:lvl>
    <w:lvl w:ilvl="3" w:tplc="53101468" w:tentative="1">
      <w:start w:val="1"/>
      <w:numFmt w:val="bullet"/>
      <w:lvlText w:val=""/>
      <w:lvlJc w:val="left"/>
      <w:pPr>
        <w:ind w:left="2880" w:hanging="360"/>
      </w:pPr>
      <w:rPr>
        <w:rFonts w:ascii="Symbol" w:hAnsi="Symbol" w:hint="default"/>
      </w:rPr>
    </w:lvl>
    <w:lvl w:ilvl="4" w:tplc="511AC508" w:tentative="1">
      <w:start w:val="1"/>
      <w:numFmt w:val="bullet"/>
      <w:lvlText w:val="o"/>
      <w:lvlJc w:val="left"/>
      <w:pPr>
        <w:ind w:left="3600" w:hanging="360"/>
      </w:pPr>
      <w:rPr>
        <w:rFonts w:ascii="Courier New" w:hAnsi="Courier New" w:cs="Courier New" w:hint="default"/>
      </w:rPr>
    </w:lvl>
    <w:lvl w:ilvl="5" w:tplc="81A898C8" w:tentative="1">
      <w:start w:val="1"/>
      <w:numFmt w:val="bullet"/>
      <w:lvlText w:val=""/>
      <w:lvlJc w:val="left"/>
      <w:pPr>
        <w:ind w:left="4320" w:hanging="360"/>
      </w:pPr>
      <w:rPr>
        <w:rFonts w:ascii="Wingdings" w:hAnsi="Wingdings" w:hint="default"/>
      </w:rPr>
    </w:lvl>
    <w:lvl w:ilvl="6" w:tplc="B64E4DAA" w:tentative="1">
      <w:start w:val="1"/>
      <w:numFmt w:val="bullet"/>
      <w:lvlText w:val=""/>
      <w:lvlJc w:val="left"/>
      <w:pPr>
        <w:ind w:left="5040" w:hanging="360"/>
      </w:pPr>
      <w:rPr>
        <w:rFonts w:ascii="Symbol" w:hAnsi="Symbol" w:hint="default"/>
      </w:rPr>
    </w:lvl>
    <w:lvl w:ilvl="7" w:tplc="CFB04E28" w:tentative="1">
      <w:start w:val="1"/>
      <w:numFmt w:val="bullet"/>
      <w:lvlText w:val="o"/>
      <w:lvlJc w:val="left"/>
      <w:pPr>
        <w:ind w:left="5760" w:hanging="360"/>
      </w:pPr>
      <w:rPr>
        <w:rFonts w:ascii="Courier New" w:hAnsi="Courier New" w:cs="Courier New" w:hint="default"/>
      </w:rPr>
    </w:lvl>
    <w:lvl w:ilvl="8" w:tplc="C7BC20CA" w:tentative="1">
      <w:start w:val="1"/>
      <w:numFmt w:val="bullet"/>
      <w:lvlText w:val=""/>
      <w:lvlJc w:val="left"/>
      <w:pPr>
        <w:ind w:left="6480" w:hanging="360"/>
      </w:pPr>
      <w:rPr>
        <w:rFonts w:ascii="Wingdings" w:hAnsi="Wingdings" w:hint="default"/>
      </w:rPr>
    </w:lvl>
  </w:abstractNum>
  <w:abstractNum w:abstractNumId="106" w15:restartNumberingAfterBreak="0">
    <w:nsid w:val="427A0993"/>
    <w:multiLevelType w:val="multilevel"/>
    <w:tmpl w:val="E300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429D52BF"/>
    <w:multiLevelType w:val="hybridMultilevel"/>
    <w:tmpl w:val="7500ED08"/>
    <w:lvl w:ilvl="0" w:tplc="4A4A8B0E">
      <w:start w:val="1"/>
      <w:numFmt w:val="bullet"/>
      <w:lvlText w:val=""/>
      <w:lvlJc w:val="left"/>
      <w:pPr>
        <w:ind w:left="720" w:hanging="360"/>
      </w:pPr>
      <w:rPr>
        <w:rFonts w:ascii="Symbol" w:hAnsi="Symbol" w:hint="default"/>
      </w:rPr>
    </w:lvl>
    <w:lvl w:ilvl="1" w:tplc="37DA3310" w:tentative="1">
      <w:start w:val="1"/>
      <w:numFmt w:val="bullet"/>
      <w:lvlText w:val="o"/>
      <w:lvlJc w:val="left"/>
      <w:pPr>
        <w:ind w:left="1440" w:hanging="360"/>
      </w:pPr>
      <w:rPr>
        <w:rFonts w:ascii="Courier New" w:hAnsi="Courier New" w:cs="Courier New" w:hint="default"/>
      </w:rPr>
    </w:lvl>
    <w:lvl w:ilvl="2" w:tplc="6BBEB9E4" w:tentative="1">
      <w:start w:val="1"/>
      <w:numFmt w:val="bullet"/>
      <w:lvlText w:val=""/>
      <w:lvlJc w:val="left"/>
      <w:pPr>
        <w:ind w:left="2160" w:hanging="360"/>
      </w:pPr>
      <w:rPr>
        <w:rFonts w:ascii="Wingdings" w:hAnsi="Wingdings" w:hint="default"/>
      </w:rPr>
    </w:lvl>
    <w:lvl w:ilvl="3" w:tplc="E48EA3A4" w:tentative="1">
      <w:start w:val="1"/>
      <w:numFmt w:val="bullet"/>
      <w:lvlText w:val=""/>
      <w:lvlJc w:val="left"/>
      <w:pPr>
        <w:ind w:left="2880" w:hanging="360"/>
      </w:pPr>
      <w:rPr>
        <w:rFonts w:ascii="Symbol" w:hAnsi="Symbol" w:hint="default"/>
      </w:rPr>
    </w:lvl>
    <w:lvl w:ilvl="4" w:tplc="5ED6AB88" w:tentative="1">
      <w:start w:val="1"/>
      <w:numFmt w:val="bullet"/>
      <w:lvlText w:val="o"/>
      <w:lvlJc w:val="left"/>
      <w:pPr>
        <w:ind w:left="3600" w:hanging="360"/>
      </w:pPr>
      <w:rPr>
        <w:rFonts w:ascii="Courier New" w:hAnsi="Courier New" w:cs="Courier New" w:hint="default"/>
      </w:rPr>
    </w:lvl>
    <w:lvl w:ilvl="5" w:tplc="057E0F64" w:tentative="1">
      <w:start w:val="1"/>
      <w:numFmt w:val="bullet"/>
      <w:lvlText w:val=""/>
      <w:lvlJc w:val="left"/>
      <w:pPr>
        <w:ind w:left="4320" w:hanging="360"/>
      </w:pPr>
      <w:rPr>
        <w:rFonts w:ascii="Wingdings" w:hAnsi="Wingdings" w:hint="default"/>
      </w:rPr>
    </w:lvl>
    <w:lvl w:ilvl="6" w:tplc="B3869F8E" w:tentative="1">
      <w:start w:val="1"/>
      <w:numFmt w:val="bullet"/>
      <w:lvlText w:val=""/>
      <w:lvlJc w:val="left"/>
      <w:pPr>
        <w:ind w:left="5040" w:hanging="360"/>
      </w:pPr>
      <w:rPr>
        <w:rFonts w:ascii="Symbol" w:hAnsi="Symbol" w:hint="default"/>
      </w:rPr>
    </w:lvl>
    <w:lvl w:ilvl="7" w:tplc="A128022C" w:tentative="1">
      <w:start w:val="1"/>
      <w:numFmt w:val="bullet"/>
      <w:lvlText w:val="o"/>
      <w:lvlJc w:val="left"/>
      <w:pPr>
        <w:ind w:left="5760" w:hanging="360"/>
      </w:pPr>
      <w:rPr>
        <w:rFonts w:ascii="Courier New" w:hAnsi="Courier New" w:cs="Courier New" w:hint="default"/>
      </w:rPr>
    </w:lvl>
    <w:lvl w:ilvl="8" w:tplc="B508689C" w:tentative="1">
      <w:start w:val="1"/>
      <w:numFmt w:val="bullet"/>
      <w:lvlText w:val=""/>
      <w:lvlJc w:val="left"/>
      <w:pPr>
        <w:ind w:left="6480" w:hanging="360"/>
      </w:pPr>
      <w:rPr>
        <w:rFonts w:ascii="Wingdings" w:hAnsi="Wingdings" w:hint="default"/>
      </w:rPr>
    </w:lvl>
  </w:abstractNum>
  <w:abstractNum w:abstractNumId="108" w15:restartNumberingAfterBreak="0">
    <w:nsid w:val="43462269"/>
    <w:multiLevelType w:val="hybridMultilevel"/>
    <w:tmpl w:val="B9D6DC40"/>
    <w:lvl w:ilvl="0" w:tplc="C41CF6A2">
      <w:start w:val="1"/>
      <w:numFmt w:val="bullet"/>
      <w:lvlText w:val=""/>
      <w:lvlJc w:val="left"/>
      <w:pPr>
        <w:ind w:left="720" w:hanging="360"/>
      </w:pPr>
      <w:rPr>
        <w:rFonts w:ascii="Symbol" w:hAnsi="Symbol" w:hint="default"/>
      </w:rPr>
    </w:lvl>
    <w:lvl w:ilvl="1" w:tplc="3C1EB724" w:tentative="1">
      <w:start w:val="1"/>
      <w:numFmt w:val="bullet"/>
      <w:lvlText w:val="o"/>
      <w:lvlJc w:val="left"/>
      <w:pPr>
        <w:ind w:left="1440" w:hanging="360"/>
      </w:pPr>
      <w:rPr>
        <w:rFonts w:ascii="Courier New" w:hAnsi="Courier New" w:cs="Courier New" w:hint="default"/>
      </w:rPr>
    </w:lvl>
    <w:lvl w:ilvl="2" w:tplc="54D6F67A" w:tentative="1">
      <w:start w:val="1"/>
      <w:numFmt w:val="bullet"/>
      <w:lvlText w:val=""/>
      <w:lvlJc w:val="left"/>
      <w:pPr>
        <w:ind w:left="2160" w:hanging="360"/>
      </w:pPr>
      <w:rPr>
        <w:rFonts w:ascii="Wingdings" w:hAnsi="Wingdings" w:hint="default"/>
      </w:rPr>
    </w:lvl>
    <w:lvl w:ilvl="3" w:tplc="3FDEA070" w:tentative="1">
      <w:start w:val="1"/>
      <w:numFmt w:val="bullet"/>
      <w:lvlText w:val=""/>
      <w:lvlJc w:val="left"/>
      <w:pPr>
        <w:ind w:left="2880" w:hanging="360"/>
      </w:pPr>
      <w:rPr>
        <w:rFonts w:ascii="Symbol" w:hAnsi="Symbol" w:hint="default"/>
      </w:rPr>
    </w:lvl>
    <w:lvl w:ilvl="4" w:tplc="5BA430BE" w:tentative="1">
      <w:start w:val="1"/>
      <w:numFmt w:val="bullet"/>
      <w:lvlText w:val="o"/>
      <w:lvlJc w:val="left"/>
      <w:pPr>
        <w:ind w:left="3600" w:hanging="360"/>
      </w:pPr>
      <w:rPr>
        <w:rFonts w:ascii="Courier New" w:hAnsi="Courier New" w:cs="Courier New" w:hint="default"/>
      </w:rPr>
    </w:lvl>
    <w:lvl w:ilvl="5" w:tplc="43E40D96" w:tentative="1">
      <w:start w:val="1"/>
      <w:numFmt w:val="bullet"/>
      <w:lvlText w:val=""/>
      <w:lvlJc w:val="left"/>
      <w:pPr>
        <w:ind w:left="4320" w:hanging="360"/>
      </w:pPr>
      <w:rPr>
        <w:rFonts w:ascii="Wingdings" w:hAnsi="Wingdings" w:hint="default"/>
      </w:rPr>
    </w:lvl>
    <w:lvl w:ilvl="6" w:tplc="92044440" w:tentative="1">
      <w:start w:val="1"/>
      <w:numFmt w:val="bullet"/>
      <w:lvlText w:val=""/>
      <w:lvlJc w:val="left"/>
      <w:pPr>
        <w:ind w:left="5040" w:hanging="360"/>
      </w:pPr>
      <w:rPr>
        <w:rFonts w:ascii="Symbol" w:hAnsi="Symbol" w:hint="default"/>
      </w:rPr>
    </w:lvl>
    <w:lvl w:ilvl="7" w:tplc="D0F848B4" w:tentative="1">
      <w:start w:val="1"/>
      <w:numFmt w:val="bullet"/>
      <w:lvlText w:val="o"/>
      <w:lvlJc w:val="left"/>
      <w:pPr>
        <w:ind w:left="5760" w:hanging="360"/>
      </w:pPr>
      <w:rPr>
        <w:rFonts w:ascii="Courier New" w:hAnsi="Courier New" w:cs="Courier New" w:hint="default"/>
      </w:rPr>
    </w:lvl>
    <w:lvl w:ilvl="8" w:tplc="9AE2699E" w:tentative="1">
      <w:start w:val="1"/>
      <w:numFmt w:val="bullet"/>
      <w:lvlText w:val=""/>
      <w:lvlJc w:val="left"/>
      <w:pPr>
        <w:ind w:left="6480" w:hanging="360"/>
      </w:pPr>
      <w:rPr>
        <w:rFonts w:ascii="Wingdings" w:hAnsi="Wingdings" w:hint="default"/>
      </w:rPr>
    </w:lvl>
  </w:abstractNum>
  <w:abstractNum w:abstractNumId="109" w15:restartNumberingAfterBreak="0">
    <w:nsid w:val="43C351D2"/>
    <w:multiLevelType w:val="hybridMultilevel"/>
    <w:tmpl w:val="7E9498E6"/>
    <w:lvl w:ilvl="0" w:tplc="49442CFE">
      <w:start w:val="4"/>
      <w:numFmt w:val="decimal"/>
      <w:lvlText w:val="%1."/>
      <w:lvlJc w:val="left"/>
      <w:pPr>
        <w:ind w:left="720" w:hanging="360"/>
      </w:pPr>
      <w:rPr>
        <w:rFonts w:ascii="Aptos" w:hAnsi="Aptos" w:hint="default"/>
      </w:rPr>
    </w:lvl>
    <w:lvl w:ilvl="1" w:tplc="571058DC">
      <w:start w:val="1"/>
      <w:numFmt w:val="lowerLetter"/>
      <w:lvlText w:val="%2."/>
      <w:lvlJc w:val="left"/>
      <w:pPr>
        <w:ind w:left="1440" w:hanging="360"/>
      </w:pPr>
    </w:lvl>
    <w:lvl w:ilvl="2" w:tplc="75B2B9C0">
      <w:start w:val="1"/>
      <w:numFmt w:val="lowerRoman"/>
      <w:lvlText w:val="%3."/>
      <w:lvlJc w:val="right"/>
      <w:pPr>
        <w:ind w:left="2160" w:hanging="180"/>
      </w:pPr>
    </w:lvl>
    <w:lvl w:ilvl="3" w:tplc="98AA58DC">
      <w:start w:val="1"/>
      <w:numFmt w:val="decimal"/>
      <w:lvlText w:val="%4."/>
      <w:lvlJc w:val="left"/>
      <w:pPr>
        <w:ind w:left="2880" w:hanging="360"/>
      </w:pPr>
    </w:lvl>
    <w:lvl w:ilvl="4" w:tplc="7FC8A21C">
      <w:start w:val="1"/>
      <w:numFmt w:val="lowerLetter"/>
      <w:lvlText w:val="%5."/>
      <w:lvlJc w:val="left"/>
      <w:pPr>
        <w:ind w:left="3600" w:hanging="360"/>
      </w:pPr>
    </w:lvl>
    <w:lvl w:ilvl="5" w:tplc="79841A0C">
      <w:start w:val="1"/>
      <w:numFmt w:val="lowerRoman"/>
      <w:lvlText w:val="%6."/>
      <w:lvlJc w:val="right"/>
      <w:pPr>
        <w:ind w:left="4320" w:hanging="180"/>
      </w:pPr>
    </w:lvl>
    <w:lvl w:ilvl="6" w:tplc="B57E48AC">
      <w:start w:val="1"/>
      <w:numFmt w:val="decimal"/>
      <w:lvlText w:val="%7."/>
      <w:lvlJc w:val="left"/>
      <w:pPr>
        <w:ind w:left="5040" w:hanging="360"/>
      </w:pPr>
    </w:lvl>
    <w:lvl w:ilvl="7" w:tplc="3AAC3E62">
      <w:start w:val="1"/>
      <w:numFmt w:val="lowerLetter"/>
      <w:lvlText w:val="%8."/>
      <w:lvlJc w:val="left"/>
      <w:pPr>
        <w:ind w:left="5760" w:hanging="360"/>
      </w:pPr>
    </w:lvl>
    <w:lvl w:ilvl="8" w:tplc="80B635D2">
      <w:start w:val="1"/>
      <w:numFmt w:val="lowerRoman"/>
      <w:lvlText w:val="%9."/>
      <w:lvlJc w:val="right"/>
      <w:pPr>
        <w:ind w:left="6480" w:hanging="180"/>
      </w:pPr>
    </w:lvl>
  </w:abstractNum>
  <w:abstractNum w:abstractNumId="110" w15:restartNumberingAfterBreak="0">
    <w:nsid w:val="4429186F"/>
    <w:multiLevelType w:val="multilevel"/>
    <w:tmpl w:val="16C26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46C826AE"/>
    <w:multiLevelType w:val="hybridMultilevel"/>
    <w:tmpl w:val="309AEE42"/>
    <w:lvl w:ilvl="0" w:tplc="51629C5E">
      <w:start w:val="1"/>
      <w:numFmt w:val="bullet"/>
      <w:lvlText w:val=""/>
      <w:lvlJc w:val="left"/>
      <w:pPr>
        <w:ind w:left="720" w:hanging="360"/>
      </w:pPr>
      <w:rPr>
        <w:rFonts w:ascii="Symbol" w:hAnsi="Symbol" w:hint="default"/>
      </w:rPr>
    </w:lvl>
    <w:lvl w:ilvl="1" w:tplc="621061D8" w:tentative="1">
      <w:start w:val="1"/>
      <w:numFmt w:val="bullet"/>
      <w:lvlText w:val="o"/>
      <w:lvlJc w:val="left"/>
      <w:pPr>
        <w:ind w:left="1440" w:hanging="360"/>
      </w:pPr>
      <w:rPr>
        <w:rFonts w:ascii="Courier New" w:hAnsi="Courier New" w:cs="Courier New" w:hint="default"/>
      </w:rPr>
    </w:lvl>
    <w:lvl w:ilvl="2" w:tplc="276A896C" w:tentative="1">
      <w:start w:val="1"/>
      <w:numFmt w:val="bullet"/>
      <w:lvlText w:val=""/>
      <w:lvlJc w:val="left"/>
      <w:pPr>
        <w:ind w:left="2160" w:hanging="360"/>
      </w:pPr>
      <w:rPr>
        <w:rFonts w:ascii="Wingdings" w:hAnsi="Wingdings" w:hint="default"/>
      </w:rPr>
    </w:lvl>
    <w:lvl w:ilvl="3" w:tplc="71BEF69A" w:tentative="1">
      <w:start w:val="1"/>
      <w:numFmt w:val="bullet"/>
      <w:lvlText w:val=""/>
      <w:lvlJc w:val="left"/>
      <w:pPr>
        <w:ind w:left="2880" w:hanging="360"/>
      </w:pPr>
      <w:rPr>
        <w:rFonts w:ascii="Symbol" w:hAnsi="Symbol" w:hint="default"/>
      </w:rPr>
    </w:lvl>
    <w:lvl w:ilvl="4" w:tplc="20E2F312" w:tentative="1">
      <w:start w:val="1"/>
      <w:numFmt w:val="bullet"/>
      <w:lvlText w:val="o"/>
      <w:lvlJc w:val="left"/>
      <w:pPr>
        <w:ind w:left="3600" w:hanging="360"/>
      </w:pPr>
      <w:rPr>
        <w:rFonts w:ascii="Courier New" w:hAnsi="Courier New" w:cs="Courier New" w:hint="default"/>
      </w:rPr>
    </w:lvl>
    <w:lvl w:ilvl="5" w:tplc="BDEA2FA2" w:tentative="1">
      <w:start w:val="1"/>
      <w:numFmt w:val="bullet"/>
      <w:lvlText w:val=""/>
      <w:lvlJc w:val="left"/>
      <w:pPr>
        <w:ind w:left="4320" w:hanging="360"/>
      </w:pPr>
      <w:rPr>
        <w:rFonts w:ascii="Wingdings" w:hAnsi="Wingdings" w:hint="default"/>
      </w:rPr>
    </w:lvl>
    <w:lvl w:ilvl="6" w:tplc="9FF6315C" w:tentative="1">
      <w:start w:val="1"/>
      <w:numFmt w:val="bullet"/>
      <w:lvlText w:val=""/>
      <w:lvlJc w:val="left"/>
      <w:pPr>
        <w:ind w:left="5040" w:hanging="360"/>
      </w:pPr>
      <w:rPr>
        <w:rFonts w:ascii="Symbol" w:hAnsi="Symbol" w:hint="default"/>
      </w:rPr>
    </w:lvl>
    <w:lvl w:ilvl="7" w:tplc="FCC224FE" w:tentative="1">
      <w:start w:val="1"/>
      <w:numFmt w:val="bullet"/>
      <w:lvlText w:val="o"/>
      <w:lvlJc w:val="left"/>
      <w:pPr>
        <w:ind w:left="5760" w:hanging="360"/>
      </w:pPr>
      <w:rPr>
        <w:rFonts w:ascii="Courier New" w:hAnsi="Courier New" w:cs="Courier New" w:hint="default"/>
      </w:rPr>
    </w:lvl>
    <w:lvl w:ilvl="8" w:tplc="9E2C7A86" w:tentative="1">
      <w:start w:val="1"/>
      <w:numFmt w:val="bullet"/>
      <w:lvlText w:val=""/>
      <w:lvlJc w:val="left"/>
      <w:pPr>
        <w:ind w:left="6480" w:hanging="360"/>
      </w:pPr>
      <w:rPr>
        <w:rFonts w:ascii="Wingdings" w:hAnsi="Wingdings" w:hint="default"/>
      </w:rPr>
    </w:lvl>
  </w:abstractNum>
  <w:abstractNum w:abstractNumId="112" w15:restartNumberingAfterBreak="0">
    <w:nsid w:val="46EF7F3B"/>
    <w:multiLevelType w:val="hybridMultilevel"/>
    <w:tmpl w:val="B748E5C0"/>
    <w:lvl w:ilvl="0" w:tplc="4FE8F190">
      <w:start w:val="1"/>
      <w:numFmt w:val="bullet"/>
      <w:lvlText w:val=""/>
      <w:lvlJc w:val="left"/>
      <w:pPr>
        <w:ind w:left="720" w:hanging="360"/>
      </w:pPr>
      <w:rPr>
        <w:rFonts w:ascii="Symbol" w:hAnsi="Symbol" w:hint="default"/>
      </w:rPr>
    </w:lvl>
    <w:lvl w:ilvl="1" w:tplc="AF5012D4" w:tentative="1">
      <w:start w:val="1"/>
      <w:numFmt w:val="bullet"/>
      <w:lvlText w:val="o"/>
      <w:lvlJc w:val="left"/>
      <w:pPr>
        <w:ind w:left="1440" w:hanging="360"/>
      </w:pPr>
      <w:rPr>
        <w:rFonts w:ascii="Courier New" w:hAnsi="Courier New" w:cs="Courier New" w:hint="default"/>
      </w:rPr>
    </w:lvl>
    <w:lvl w:ilvl="2" w:tplc="CF28DB1A" w:tentative="1">
      <w:start w:val="1"/>
      <w:numFmt w:val="bullet"/>
      <w:lvlText w:val=""/>
      <w:lvlJc w:val="left"/>
      <w:pPr>
        <w:ind w:left="2160" w:hanging="360"/>
      </w:pPr>
      <w:rPr>
        <w:rFonts w:ascii="Wingdings" w:hAnsi="Wingdings" w:hint="default"/>
      </w:rPr>
    </w:lvl>
    <w:lvl w:ilvl="3" w:tplc="0170A476" w:tentative="1">
      <w:start w:val="1"/>
      <w:numFmt w:val="bullet"/>
      <w:lvlText w:val=""/>
      <w:lvlJc w:val="left"/>
      <w:pPr>
        <w:ind w:left="2880" w:hanging="360"/>
      </w:pPr>
      <w:rPr>
        <w:rFonts w:ascii="Symbol" w:hAnsi="Symbol" w:hint="default"/>
      </w:rPr>
    </w:lvl>
    <w:lvl w:ilvl="4" w:tplc="F274027A" w:tentative="1">
      <w:start w:val="1"/>
      <w:numFmt w:val="bullet"/>
      <w:lvlText w:val="o"/>
      <w:lvlJc w:val="left"/>
      <w:pPr>
        <w:ind w:left="3600" w:hanging="360"/>
      </w:pPr>
      <w:rPr>
        <w:rFonts w:ascii="Courier New" w:hAnsi="Courier New" w:cs="Courier New" w:hint="default"/>
      </w:rPr>
    </w:lvl>
    <w:lvl w:ilvl="5" w:tplc="45867ECE" w:tentative="1">
      <w:start w:val="1"/>
      <w:numFmt w:val="bullet"/>
      <w:lvlText w:val=""/>
      <w:lvlJc w:val="left"/>
      <w:pPr>
        <w:ind w:left="4320" w:hanging="360"/>
      </w:pPr>
      <w:rPr>
        <w:rFonts w:ascii="Wingdings" w:hAnsi="Wingdings" w:hint="default"/>
      </w:rPr>
    </w:lvl>
    <w:lvl w:ilvl="6" w:tplc="1AACA534" w:tentative="1">
      <w:start w:val="1"/>
      <w:numFmt w:val="bullet"/>
      <w:lvlText w:val=""/>
      <w:lvlJc w:val="left"/>
      <w:pPr>
        <w:ind w:left="5040" w:hanging="360"/>
      </w:pPr>
      <w:rPr>
        <w:rFonts w:ascii="Symbol" w:hAnsi="Symbol" w:hint="default"/>
      </w:rPr>
    </w:lvl>
    <w:lvl w:ilvl="7" w:tplc="53F65560" w:tentative="1">
      <w:start w:val="1"/>
      <w:numFmt w:val="bullet"/>
      <w:lvlText w:val="o"/>
      <w:lvlJc w:val="left"/>
      <w:pPr>
        <w:ind w:left="5760" w:hanging="360"/>
      </w:pPr>
      <w:rPr>
        <w:rFonts w:ascii="Courier New" w:hAnsi="Courier New" w:cs="Courier New" w:hint="default"/>
      </w:rPr>
    </w:lvl>
    <w:lvl w:ilvl="8" w:tplc="A258B348" w:tentative="1">
      <w:start w:val="1"/>
      <w:numFmt w:val="bullet"/>
      <w:lvlText w:val=""/>
      <w:lvlJc w:val="left"/>
      <w:pPr>
        <w:ind w:left="6480" w:hanging="360"/>
      </w:pPr>
      <w:rPr>
        <w:rFonts w:ascii="Wingdings" w:hAnsi="Wingdings" w:hint="default"/>
      </w:rPr>
    </w:lvl>
  </w:abstractNum>
  <w:abstractNum w:abstractNumId="113" w15:restartNumberingAfterBreak="0">
    <w:nsid w:val="4759717B"/>
    <w:multiLevelType w:val="hybridMultilevel"/>
    <w:tmpl w:val="AC584622"/>
    <w:lvl w:ilvl="0" w:tplc="EFCCF30A">
      <w:start w:val="1"/>
      <w:numFmt w:val="bullet"/>
      <w:lvlText w:val=""/>
      <w:lvlJc w:val="left"/>
      <w:pPr>
        <w:ind w:left="720" w:hanging="360"/>
      </w:pPr>
      <w:rPr>
        <w:rFonts w:ascii="Symbol" w:hAnsi="Symbol" w:hint="default"/>
      </w:rPr>
    </w:lvl>
    <w:lvl w:ilvl="1" w:tplc="7D1AE178" w:tentative="1">
      <w:start w:val="1"/>
      <w:numFmt w:val="bullet"/>
      <w:lvlText w:val="o"/>
      <w:lvlJc w:val="left"/>
      <w:pPr>
        <w:ind w:left="1440" w:hanging="360"/>
      </w:pPr>
      <w:rPr>
        <w:rFonts w:ascii="Courier New" w:hAnsi="Courier New" w:cs="Courier New" w:hint="default"/>
      </w:rPr>
    </w:lvl>
    <w:lvl w:ilvl="2" w:tplc="70A03C6A" w:tentative="1">
      <w:start w:val="1"/>
      <w:numFmt w:val="bullet"/>
      <w:lvlText w:val=""/>
      <w:lvlJc w:val="left"/>
      <w:pPr>
        <w:ind w:left="2160" w:hanging="360"/>
      </w:pPr>
      <w:rPr>
        <w:rFonts w:ascii="Wingdings" w:hAnsi="Wingdings" w:hint="default"/>
      </w:rPr>
    </w:lvl>
    <w:lvl w:ilvl="3" w:tplc="1570DAD4" w:tentative="1">
      <w:start w:val="1"/>
      <w:numFmt w:val="bullet"/>
      <w:lvlText w:val=""/>
      <w:lvlJc w:val="left"/>
      <w:pPr>
        <w:ind w:left="2880" w:hanging="360"/>
      </w:pPr>
      <w:rPr>
        <w:rFonts w:ascii="Symbol" w:hAnsi="Symbol" w:hint="default"/>
      </w:rPr>
    </w:lvl>
    <w:lvl w:ilvl="4" w:tplc="9B802936" w:tentative="1">
      <w:start w:val="1"/>
      <w:numFmt w:val="bullet"/>
      <w:lvlText w:val="o"/>
      <w:lvlJc w:val="left"/>
      <w:pPr>
        <w:ind w:left="3600" w:hanging="360"/>
      </w:pPr>
      <w:rPr>
        <w:rFonts w:ascii="Courier New" w:hAnsi="Courier New" w:cs="Courier New" w:hint="default"/>
      </w:rPr>
    </w:lvl>
    <w:lvl w:ilvl="5" w:tplc="6C962092" w:tentative="1">
      <w:start w:val="1"/>
      <w:numFmt w:val="bullet"/>
      <w:lvlText w:val=""/>
      <w:lvlJc w:val="left"/>
      <w:pPr>
        <w:ind w:left="4320" w:hanging="360"/>
      </w:pPr>
      <w:rPr>
        <w:rFonts w:ascii="Wingdings" w:hAnsi="Wingdings" w:hint="default"/>
      </w:rPr>
    </w:lvl>
    <w:lvl w:ilvl="6" w:tplc="0D283138" w:tentative="1">
      <w:start w:val="1"/>
      <w:numFmt w:val="bullet"/>
      <w:lvlText w:val=""/>
      <w:lvlJc w:val="left"/>
      <w:pPr>
        <w:ind w:left="5040" w:hanging="360"/>
      </w:pPr>
      <w:rPr>
        <w:rFonts w:ascii="Symbol" w:hAnsi="Symbol" w:hint="default"/>
      </w:rPr>
    </w:lvl>
    <w:lvl w:ilvl="7" w:tplc="A1ACB0A0" w:tentative="1">
      <w:start w:val="1"/>
      <w:numFmt w:val="bullet"/>
      <w:lvlText w:val="o"/>
      <w:lvlJc w:val="left"/>
      <w:pPr>
        <w:ind w:left="5760" w:hanging="360"/>
      </w:pPr>
      <w:rPr>
        <w:rFonts w:ascii="Courier New" w:hAnsi="Courier New" w:cs="Courier New" w:hint="default"/>
      </w:rPr>
    </w:lvl>
    <w:lvl w:ilvl="8" w:tplc="78F496BC" w:tentative="1">
      <w:start w:val="1"/>
      <w:numFmt w:val="bullet"/>
      <w:lvlText w:val=""/>
      <w:lvlJc w:val="left"/>
      <w:pPr>
        <w:ind w:left="6480" w:hanging="360"/>
      </w:pPr>
      <w:rPr>
        <w:rFonts w:ascii="Wingdings" w:hAnsi="Wingdings" w:hint="default"/>
      </w:rPr>
    </w:lvl>
  </w:abstractNum>
  <w:abstractNum w:abstractNumId="114" w15:restartNumberingAfterBreak="0">
    <w:nsid w:val="47C93853"/>
    <w:multiLevelType w:val="multilevel"/>
    <w:tmpl w:val="C372A562"/>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Aptos" w:eastAsia="Times New Roman" w:hAnsi="Aptos" w:cstheme="minorBidi" w:hint="default"/>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5" w15:restartNumberingAfterBreak="0">
    <w:nsid w:val="496F7246"/>
    <w:multiLevelType w:val="hybridMultilevel"/>
    <w:tmpl w:val="8E88662A"/>
    <w:lvl w:ilvl="0" w:tplc="C34609F4">
      <w:start w:val="1"/>
      <w:numFmt w:val="bullet"/>
      <w:lvlText w:val=""/>
      <w:lvlJc w:val="left"/>
      <w:pPr>
        <w:ind w:left="720" w:hanging="360"/>
      </w:pPr>
      <w:rPr>
        <w:rFonts w:ascii="Symbol" w:hAnsi="Symbol" w:hint="default"/>
      </w:rPr>
    </w:lvl>
    <w:lvl w:ilvl="1" w:tplc="4F9A34DE" w:tentative="1">
      <w:start w:val="1"/>
      <w:numFmt w:val="bullet"/>
      <w:lvlText w:val="o"/>
      <w:lvlJc w:val="left"/>
      <w:pPr>
        <w:ind w:left="1440" w:hanging="360"/>
      </w:pPr>
      <w:rPr>
        <w:rFonts w:ascii="Courier New" w:hAnsi="Courier New" w:cs="Courier New" w:hint="default"/>
      </w:rPr>
    </w:lvl>
    <w:lvl w:ilvl="2" w:tplc="B40A599C" w:tentative="1">
      <w:start w:val="1"/>
      <w:numFmt w:val="bullet"/>
      <w:lvlText w:val=""/>
      <w:lvlJc w:val="left"/>
      <w:pPr>
        <w:ind w:left="2160" w:hanging="360"/>
      </w:pPr>
      <w:rPr>
        <w:rFonts w:ascii="Wingdings" w:hAnsi="Wingdings" w:hint="default"/>
      </w:rPr>
    </w:lvl>
    <w:lvl w:ilvl="3" w:tplc="37587818" w:tentative="1">
      <w:start w:val="1"/>
      <w:numFmt w:val="bullet"/>
      <w:lvlText w:val=""/>
      <w:lvlJc w:val="left"/>
      <w:pPr>
        <w:ind w:left="2880" w:hanging="360"/>
      </w:pPr>
      <w:rPr>
        <w:rFonts w:ascii="Symbol" w:hAnsi="Symbol" w:hint="default"/>
      </w:rPr>
    </w:lvl>
    <w:lvl w:ilvl="4" w:tplc="A396634E" w:tentative="1">
      <w:start w:val="1"/>
      <w:numFmt w:val="bullet"/>
      <w:lvlText w:val="o"/>
      <w:lvlJc w:val="left"/>
      <w:pPr>
        <w:ind w:left="3600" w:hanging="360"/>
      </w:pPr>
      <w:rPr>
        <w:rFonts w:ascii="Courier New" w:hAnsi="Courier New" w:cs="Courier New" w:hint="default"/>
      </w:rPr>
    </w:lvl>
    <w:lvl w:ilvl="5" w:tplc="2D183F9C" w:tentative="1">
      <w:start w:val="1"/>
      <w:numFmt w:val="bullet"/>
      <w:lvlText w:val=""/>
      <w:lvlJc w:val="left"/>
      <w:pPr>
        <w:ind w:left="4320" w:hanging="360"/>
      </w:pPr>
      <w:rPr>
        <w:rFonts w:ascii="Wingdings" w:hAnsi="Wingdings" w:hint="default"/>
      </w:rPr>
    </w:lvl>
    <w:lvl w:ilvl="6" w:tplc="A6384EA6" w:tentative="1">
      <w:start w:val="1"/>
      <w:numFmt w:val="bullet"/>
      <w:lvlText w:val=""/>
      <w:lvlJc w:val="left"/>
      <w:pPr>
        <w:ind w:left="5040" w:hanging="360"/>
      </w:pPr>
      <w:rPr>
        <w:rFonts w:ascii="Symbol" w:hAnsi="Symbol" w:hint="default"/>
      </w:rPr>
    </w:lvl>
    <w:lvl w:ilvl="7" w:tplc="9C749F3E" w:tentative="1">
      <w:start w:val="1"/>
      <w:numFmt w:val="bullet"/>
      <w:lvlText w:val="o"/>
      <w:lvlJc w:val="left"/>
      <w:pPr>
        <w:ind w:left="5760" w:hanging="360"/>
      </w:pPr>
      <w:rPr>
        <w:rFonts w:ascii="Courier New" w:hAnsi="Courier New" w:cs="Courier New" w:hint="default"/>
      </w:rPr>
    </w:lvl>
    <w:lvl w:ilvl="8" w:tplc="8C1481B6" w:tentative="1">
      <w:start w:val="1"/>
      <w:numFmt w:val="bullet"/>
      <w:lvlText w:val=""/>
      <w:lvlJc w:val="left"/>
      <w:pPr>
        <w:ind w:left="6480" w:hanging="360"/>
      </w:pPr>
      <w:rPr>
        <w:rFonts w:ascii="Wingdings" w:hAnsi="Wingdings" w:hint="default"/>
      </w:rPr>
    </w:lvl>
  </w:abstractNum>
  <w:abstractNum w:abstractNumId="116" w15:restartNumberingAfterBreak="0">
    <w:nsid w:val="4AD33688"/>
    <w:multiLevelType w:val="multilevel"/>
    <w:tmpl w:val="C372A562"/>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Aptos" w:eastAsia="Times New Roman" w:hAnsi="Aptos" w:cstheme="minorBidi" w:hint="default"/>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7" w15:restartNumberingAfterBreak="0">
    <w:nsid w:val="4C760EEB"/>
    <w:multiLevelType w:val="multilevel"/>
    <w:tmpl w:val="E76A5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4CA640DE"/>
    <w:multiLevelType w:val="multilevel"/>
    <w:tmpl w:val="8F786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4D242091"/>
    <w:multiLevelType w:val="hybridMultilevel"/>
    <w:tmpl w:val="24E25BC4"/>
    <w:lvl w:ilvl="0" w:tplc="70D65CCE">
      <w:start w:val="1"/>
      <w:numFmt w:val="bullet"/>
      <w:lvlText w:val=""/>
      <w:lvlJc w:val="left"/>
      <w:pPr>
        <w:ind w:left="720" w:hanging="360"/>
      </w:pPr>
      <w:rPr>
        <w:rFonts w:ascii="Symbol" w:hAnsi="Symbol" w:hint="default"/>
      </w:rPr>
    </w:lvl>
    <w:lvl w:ilvl="1" w:tplc="BFFE287C" w:tentative="1">
      <w:start w:val="1"/>
      <w:numFmt w:val="bullet"/>
      <w:lvlText w:val="o"/>
      <w:lvlJc w:val="left"/>
      <w:pPr>
        <w:ind w:left="1440" w:hanging="360"/>
      </w:pPr>
      <w:rPr>
        <w:rFonts w:ascii="Courier New" w:hAnsi="Courier New" w:cs="Courier New" w:hint="default"/>
      </w:rPr>
    </w:lvl>
    <w:lvl w:ilvl="2" w:tplc="6F8CE62A" w:tentative="1">
      <w:start w:val="1"/>
      <w:numFmt w:val="bullet"/>
      <w:lvlText w:val=""/>
      <w:lvlJc w:val="left"/>
      <w:pPr>
        <w:ind w:left="2160" w:hanging="360"/>
      </w:pPr>
      <w:rPr>
        <w:rFonts w:ascii="Wingdings" w:hAnsi="Wingdings" w:hint="default"/>
      </w:rPr>
    </w:lvl>
    <w:lvl w:ilvl="3" w:tplc="71FE83EC" w:tentative="1">
      <w:start w:val="1"/>
      <w:numFmt w:val="bullet"/>
      <w:lvlText w:val=""/>
      <w:lvlJc w:val="left"/>
      <w:pPr>
        <w:ind w:left="2880" w:hanging="360"/>
      </w:pPr>
      <w:rPr>
        <w:rFonts w:ascii="Symbol" w:hAnsi="Symbol" w:hint="default"/>
      </w:rPr>
    </w:lvl>
    <w:lvl w:ilvl="4" w:tplc="9A7C1E4C" w:tentative="1">
      <w:start w:val="1"/>
      <w:numFmt w:val="bullet"/>
      <w:lvlText w:val="o"/>
      <w:lvlJc w:val="left"/>
      <w:pPr>
        <w:ind w:left="3600" w:hanging="360"/>
      </w:pPr>
      <w:rPr>
        <w:rFonts w:ascii="Courier New" w:hAnsi="Courier New" w:cs="Courier New" w:hint="default"/>
      </w:rPr>
    </w:lvl>
    <w:lvl w:ilvl="5" w:tplc="9AD0C6D6" w:tentative="1">
      <w:start w:val="1"/>
      <w:numFmt w:val="bullet"/>
      <w:lvlText w:val=""/>
      <w:lvlJc w:val="left"/>
      <w:pPr>
        <w:ind w:left="4320" w:hanging="360"/>
      </w:pPr>
      <w:rPr>
        <w:rFonts w:ascii="Wingdings" w:hAnsi="Wingdings" w:hint="default"/>
      </w:rPr>
    </w:lvl>
    <w:lvl w:ilvl="6" w:tplc="A2B6CC6C" w:tentative="1">
      <w:start w:val="1"/>
      <w:numFmt w:val="bullet"/>
      <w:lvlText w:val=""/>
      <w:lvlJc w:val="left"/>
      <w:pPr>
        <w:ind w:left="5040" w:hanging="360"/>
      </w:pPr>
      <w:rPr>
        <w:rFonts w:ascii="Symbol" w:hAnsi="Symbol" w:hint="default"/>
      </w:rPr>
    </w:lvl>
    <w:lvl w:ilvl="7" w:tplc="C150CC04" w:tentative="1">
      <w:start w:val="1"/>
      <w:numFmt w:val="bullet"/>
      <w:lvlText w:val="o"/>
      <w:lvlJc w:val="left"/>
      <w:pPr>
        <w:ind w:left="5760" w:hanging="360"/>
      </w:pPr>
      <w:rPr>
        <w:rFonts w:ascii="Courier New" w:hAnsi="Courier New" w:cs="Courier New" w:hint="default"/>
      </w:rPr>
    </w:lvl>
    <w:lvl w:ilvl="8" w:tplc="3A44D022" w:tentative="1">
      <w:start w:val="1"/>
      <w:numFmt w:val="bullet"/>
      <w:lvlText w:val=""/>
      <w:lvlJc w:val="left"/>
      <w:pPr>
        <w:ind w:left="6480" w:hanging="360"/>
      </w:pPr>
      <w:rPr>
        <w:rFonts w:ascii="Wingdings" w:hAnsi="Wingdings" w:hint="default"/>
      </w:rPr>
    </w:lvl>
  </w:abstractNum>
  <w:abstractNum w:abstractNumId="120" w15:restartNumberingAfterBreak="0">
    <w:nsid w:val="4DA02D5F"/>
    <w:multiLevelType w:val="hybridMultilevel"/>
    <w:tmpl w:val="0C462440"/>
    <w:lvl w:ilvl="0" w:tplc="8A6A99DE">
      <w:start w:val="1"/>
      <w:numFmt w:val="bullet"/>
      <w:lvlText w:val=""/>
      <w:lvlJc w:val="left"/>
      <w:pPr>
        <w:ind w:left="720" w:hanging="360"/>
      </w:pPr>
      <w:rPr>
        <w:rFonts w:ascii="Symbol" w:hAnsi="Symbol" w:hint="default"/>
      </w:rPr>
    </w:lvl>
    <w:lvl w:ilvl="1" w:tplc="4146A210" w:tentative="1">
      <w:start w:val="1"/>
      <w:numFmt w:val="bullet"/>
      <w:lvlText w:val="o"/>
      <w:lvlJc w:val="left"/>
      <w:pPr>
        <w:ind w:left="1440" w:hanging="360"/>
      </w:pPr>
      <w:rPr>
        <w:rFonts w:ascii="Courier New" w:hAnsi="Courier New" w:cs="Courier New" w:hint="default"/>
      </w:rPr>
    </w:lvl>
    <w:lvl w:ilvl="2" w:tplc="E4B8EA46" w:tentative="1">
      <w:start w:val="1"/>
      <w:numFmt w:val="bullet"/>
      <w:lvlText w:val=""/>
      <w:lvlJc w:val="left"/>
      <w:pPr>
        <w:ind w:left="2160" w:hanging="360"/>
      </w:pPr>
      <w:rPr>
        <w:rFonts w:ascii="Wingdings" w:hAnsi="Wingdings" w:hint="default"/>
      </w:rPr>
    </w:lvl>
    <w:lvl w:ilvl="3" w:tplc="2EDE85B0" w:tentative="1">
      <w:start w:val="1"/>
      <w:numFmt w:val="bullet"/>
      <w:lvlText w:val=""/>
      <w:lvlJc w:val="left"/>
      <w:pPr>
        <w:ind w:left="2880" w:hanging="360"/>
      </w:pPr>
      <w:rPr>
        <w:rFonts w:ascii="Symbol" w:hAnsi="Symbol" w:hint="default"/>
      </w:rPr>
    </w:lvl>
    <w:lvl w:ilvl="4" w:tplc="4866EC50" w:tentative="1">
      <w:start w:val="1"/>
      <w:numFmt w:val="bullet"/>
      <w:lvlText w:val="o"/>
      <w:lvlJc w:val="left"/>
      <w:pPr>
        <w:ind w:left="3600" w:hanging="360"/>
      </w:pPr>
      <w:rPr>
        <w:rFonts w:ascii="Courier New" w:hAnsi="Courier New" w:cs="Courier New" w:hint="default"/>
      </w:rPr>
    </w:lvl>
    <w:lvl w:ilvl="5" w:tplc="7B6EBCE2" w:tentative="1">
      <w:start w:val="1"/>
      <w:numFmt w:val="bullet"/>
      <w:lvlText w:val=""/>
      <w:lvlJc w:val="left"/>
      <w:pPr>
        <w:ind w:left="4320" w:hanging="360"/>
      </w:pPr>
      <w:rPr>
        <w:rFonts w:ascii="Wingdings" w:hAnsi="Wingdings" w:hint="default"/>
      </w:rPr>
    </w:lvl>
    <w:lvl w:ilvl="6" w:tplc="A56CC43E" w:tentative="1">
      <w:start w:val="1"/>
      <w:numFmt w:val="bullet"/>
      <w:lvlText w:val=""/>
      <w:lvlJc w:val="left"/>
      <w:pPr>
        <w:ind w:left="5040" w:hanging="360"/>
      </w:pPr>
      <w:rPr>
        <w:rFonts w:ascii="Symbol" w:hAnsi="Symbol" w:hint="default"/>
      </w:rPr>
    </w:lvl>
    <w:lvl w:ilvl="7" w:tplc="23A0127A" w:tentative="1">
      <w:start w:val="1"/>
      <w:numFmt w:val="bullet"/>
      <w:lvlText w:val="o"/>
      <w:lvlJc w:val="left"/>
      <w:pPr>
        <w:ind w:left="5760" w:hanging="360"/>
      </w:pPr>
      <w:rPr>
        <w:rFonts w:ascii="Courier New" w:hAnsi="Courier New" w:cs="Courier New" w:hint="default"/>
      </w:rPr>
    </w:lvl>
    <w:lvl w:ilvl="8" w:tplc="0E0EA864" w:tentative="1">
      <w:start w:val="1"/>
      <w:numFmt w:val="bullet"/>
      <w:lvlText w:val=""/>
      <w:lvlJc w:val="left"/>
      <w:pPr>
        <w:ind w:left="6480" w:hanging="360"/>
      </w:pPr>
      <w:rPr>
        <w:rFonts w:ascii="Wingdings" w:hAnsi="Wingdings" w:hint="default"/>
      </w:rPr>
    </w:lvl>
  </w:abstractNum>
  <w:abstractNum w:abstractNumId="121" w15:restartNumberingAfterBreak="0">
    <w:nsid w:val="4DBC726A"/>
    <w:multiLevelType w:val="hybridMultilevel"/>
    <w:tmpl w:val="3214A6AE"/>
    <w:lvl w:ilvl="0" w:tplc="B216A8C0">
      <w:start w:val="1"/>
      <w:numFmt w:val="lowerRoman"/>
      <w:lvlText w:val="%1."/>
      <w:lvlJc w:val="right"/>
      <w:pPr>
        <w:ind w:left="1080" w:hanging="360"/>
      </w:pPr>
    </w:lvl>
    <w:lvl w:ilvl="1" w:tplc="7C4AC616" w:tentative="1">
      <w:start w:val="1"/>
      <w:numFmt w:val="lowerLetter"/>
      <w:lvlText w:val="%2."/>
      <w:lvlJc w:val="left"/>
      <w:pPr>
        <w:ind w:left="1800" w:hanging="360"/>
      </w:pPr>
    </w:lvl>
    <w:lvl w:ilvl="2" w:tplc="D6DE877A" w:tentative="1">
      <w:start w:val="1"/>
      <w:numFmt w:val="lowerRoman"/>
      <w:lvlText w:val="%3."/>
      <w:lvlJc w:val="right"/>
      <w:pPr>
        <w:ind w:left="2520" w:hanging="180"/>
      </w:pPr>
    </w:lvl>
    <w:lvl w:ilvl="3" w:tplc="E9308796" w:tentative="1">
      <w:start w:val="1"/>
      <w:numFmt w:val="decimal"/>
      <w:lvlText w:val="%4."/>
      <w:lvlJc w:val="left"/>
      <w:pPr>
        <w:ind w:left="3240" w:hanging="360"/>
      </w:pPr>
    </w:lvl>
    <w:lvl w:ilvl="4" w:tplc="0F8A77BE" w:tentative="1">
      <w:start w:val="1"/>
      <w:numFmt w:val="lowerLetter"/>
      <w:lvlText w:val="%5."/>
      <w:lvlJc w:val="left"/>
      <w:pPr>
        <w:ind w:left="3960" w:hanging="360"/>
      </w:pPr>
    </w:lvl>
    <w:lvl w:ilvl="5" w:tplc="3B9648EE" w:tentative="1">
      <w:start w:val="1"/>
      <w:numFmt w:val="lowerRoman"/>
      <w:lvlText w:val="%6."/>
      <w:lvlJc w:val="right"/>
      <w:pPr>
        <w:ind w:left="4680" w:hanging="180"/>
      </w:pPr>
    </w:lvl>
    <w:lvl w:ilvl="6" w:tplc="2D5EEBB8" w:tentative="1">
      <w:start w:val="1"/>
      <w:numFmt w:val="decimal"/>
      <w:lvlText w:val="%7."/>
      <w:lvlJc w:val="left"/>
      <w:pPr>
        <w:ind w:left="5400" w:hanging="360"/>
      </w:pPr>
    </w:lvl>
    <w:lvl w:ilvl="7" w:tplc="908E1342" w:tentative="1">
      <w:start w:val="1"/>
      <w:numFmt w:val="lowerLetter"/>
      <w:lvlText w:val="%8."/>
      <w:lvlJc w:val="left"/>
      <w:pPr>
        <w:ind w:left="6120" w:hanging="360"/>
      </w:pPr>
    </w:lvl>
    <w:lvl w:ilvl="8" w:tplc="1204A5C4" w:tentative="1">
      <w:start w:val="1"/>
      <w:numFmt w:val="lowerRoman"/>
      <w:lvlText w:val="%9."/>
      <w:lvlJc w:val="right"/>
      <w:pPr>
        <w:ind w:left="6840" w:hanging="180"/>
      </w:pPr>
    </w:lvl>
  </w:abstractNum>
  <w:abstractNum w:abstractNumId="122" w15:restartNumberingAfterBreak="0">
    <w:nsid w:val="4E4377E1"/>
    <w:multiLevelType w:val="hybridMultilevel"/>
    <w:tmpl w:val="FFFFFFFF"/>
    <w:lvl w:ilvl="0" w:tplc="A31635C6">
      <w:start w:val="1"/>
      <w:numFmt w:val="bullet"/>
      <w:lvlText w:val=""/>
      <w:lvlJc w:val="left"/>
      <w:pPr>
        <w:ind w:left="720" w:hanging="360"/>
      </w:pPr>
      <w:rPr>
        <w:rFonts w:ascii="Symbol" w:hAnsi="Symbol" w:hint="default"/>
      </w:rPr>
    </w:lvl>
    <w:lvl w:ilvl="1" w:tplc="37F8B028">
      <w:start w:val="1"/>
      <w:numFmt w:val="bullet"/>
      <w:lvlText w:val="o"/>
      <w:lvlJc w:val="left"/>
      <w:pPr>
        <w:ind w:left="1440" w:hanging="360"/>
      </w:pPr>
      <w:rPr>
        <w:rFonts w:ascii="Courier New" w:hAnsi="Courier New" w:hint="default"/>
      </w:rPr>
    </w:lvl>
    <w:lvl w:ilvl="2" w:tplc="8724F878">
      <w:start w:val="1"/>
      <w:numFmt w:val="bullet"/>
      <w:lvlText w:val=""/>
      <w:lvlJc w:val="left"/>
      <w:pPr>
        <w:ind w:left="2160" w:hanging="360"/>
      </w:pPr>
      <w:rPr>
        <w:rFonts w:ascii="Wingdings" w:hAnsi="Wingdings" w:hint="default"/>
      </w:rPr>
    </w:lvl>
    <w:lvl w:ilvl="3" w:tplc="CB16ADE8">
      <w:start w:val="1"/>
      <w:numFmt w:val="bullet"/>
      <w:lvlText w:val=""/>
      <w:lvlJc w:val="left"/>
      <w:pPr>
        <w:ind w:left="2880" w:hanging="360"/>
      </w:pPr>
      <w:rPr>
        <w:rFonts w:ascii="Symbol" w:hAnsi="Symbol" w:hint="default"/>
      </w:rPr>
    </w:lvl>
    <w:lvl w:ilvl="4" w:tplc="1EA289DE">
      <w:start w:val="1"/>
      <w:numFmt w:val="bullet"/>
      <w:lvlText w:val="o"/>
      <w:lvlJc w:val="left"/>
      <w:pPr>
        <w:ind w:left="3600" w:hanging="360"/>
      </w:pPr>
      <w:rPr>
        <w:rFonts w:ascii="Courier New" w:hAnsi="Courier New" w:hint="default"/>
      </w:rPr>
    </w:lvl>
    <w:lvl w:ilvl="5" w:tplc="7F14A580">
      <w:start w:val="1"/>
      <w:numFmt w:val="bullet"/>
      <w:lvlText w:val=""/>
      <w:lvlJc w:val="left"/>
      <w:pPr>
        <w:ind w:left="4320" w:hanging="360"/>
      </w:pPr>
      <w:rPr>
        <w:rFonts w:ascii="Wingdings" w:hAnsi="Wingdings" w:hint="default"/>
      </w:rPr>
    </w:lvl>
    <w:lvl w:ilvl="6" w:tplc="CF2AF798">
      <w:start w:val="1"/>
      <w:numFmt w:val="bullet"/>
      <w:lvlText w:val=""/>
      <w:lvlJc w:val="left"/>
      <w:pPr>
        <w:ind w:left="5040" w:hanging="360"/>
      </w:pPr>
      <w:rPr>
        <w:rFonts w:ascii="Symbol" w:hAnsi="Symbol" w:hint="default"/>
      </w:rPr>
    </w:lvl>
    <w:lvl w:ilvl="7" w:tplc="0422E82A">
      <w:start w:val="1"/>
      <w:numFmt w:val="bullet"/>
      <w:lvlText w:val="o"/>
      <w:lvlJc w:val="left"/>
      <w:pPr>
        <w:ind w:left="5760" w:hanging="360"/>
      </w:pPr>
      <w:rPr>
        <w:rFonts w:ascii="Courier New" w:hAnsi="Courier New" w:hint="default"/>
      </w:rPr>
    </w:lvl>
    <w:lvl w:ilvl="8" w:tplc="55DC6152">
      <w:start w:val="1"/>
      <w:numFmt w:val="bullet"/>
      <w:lvlText w:val=""/>
      <w:lvlJc w:val="left"/>
      <w:pPr>
        <w:ind w:left="6480" w:hanging="360"/>
      </w:pPr>
      <w:rPr>
        <w:rFonts w:ascii="Wingdings" w:hAnsi="Wingdings" w:hint="default"/>
      </w:rPr>
    </w:lvl>
  </w:abstractNum>
  <w:abstractNum w:abstractNumId="123" w15:restartNumberingAfterBreak="0">
    <w:nsid w:val="4EC93FAD"/>
    <w:multiLevelType w:val="hybridMultilevel"/>
    <w:tmpl w:val="2A707108"/>
    <w:lvl w:ilvl="0" w:tplc="92A2F6E2">
      <w:start w:val="1"/>
      <w:numFmt w:val="bullet"/>
      <w:lvlText w:val=""/>
      <w:lvlJc w:val="left"/>
      <w:pPr>
        <w:ind w:left="720" w:hanging="360"/>
      </w:pPr>
      <w:rPr>
        <w:rFonts w:ascii="Symbol" w:hAnsi="Symbol" w:hint="default"/>
      </w:rPr>
    </w:lvl>
    <w:lvl w:ilvl="1" w:tplc="BF3600EE" w:tentative="1">
      <w:start w:val="1"/>
      <w:numFmt w:val="bullet"/>
      <w:lvlText w:val="o"/>
      <w:lvlJc w:val="left"/>
      <w:pPr>
        <w:ind w:left="1440" w:hanging="360"/>
      </w:pPr>
      <w:rPr>
        <w:rFonts w:ascii="Courier New" w:hAnsi="Courier New" w:cs="Courier New" w:hint="default"/>
      </w:rPr>
    </w:lvl>
    <w:lvl w:ilvl="2" w:tplc="1DCC7312" w:tentative="1">
      <w:start w:val="1"/>
      <w:numFmt w:val="bullet"/>
      <w:lvlText w:val=""/>
      <w:lvlJc w:val="left"/>
      <w:pPr>
        <w:ind w:left="2160" w:hanging="360"/>
      </w:pPr>
      <w:rPr>
        <w:rFonts w:ascii="Wingdings" w:hAnsi="Wingdings" w:hint="default"/>
      </w:rPr>
    </w:lvl>
    <w:lvl w:ilvl="3" w:tplc="05EEFE7E" w:tentative="1">
      <w:start w:val="1"/>
      <w:numFmt w:val="bullet"/>
      <w:lvlText w:val=""/>
      <w:lvlJc w:val="left"/>
      <w:pPr>
        <w:ind w:left="2880" w:hanging="360"/>
      </w:pPr>
      <w:rPr>
        <w:rFonts w:ascii="Symbol" w:hAnsi="Symbol" w:hint="default"/>
      </w:rPr>
    </w:lvl>
    <w:lvl w:ilvl="4" w:tplc="F3908412" w:tentative="1">
      <w:start w:val="1"/>
      <w:numFmt w:val="bullet"/>
      <w:lvlText w:val="o"/>
      <w:lvlJc w:val="left"/>
      <w:pPr>
        <w:ind w:left="3600" w:hanging="360"/>
      </w:pPr>
      <w:rPr>
        <w:rFonts w:ascii="Courier New" w:hAnsi="Courier New" w:cs="Courier New" w:hint="default"/>
      </w:rPr>
    </w:lvl>
    <w:lvl w:ilvl="5" w:tplc="409C2F88" w:tentative="1">
      <w:start w:val="1"/>
      <w:numFmt w:val="bullet"/>
      <w:lvlText w:val=""/>
      <w:lvlJc w:val="left"/>
      <w:pPr>
        <w:ind w:left="4320" w:hanging="360"/>
      </w:pPr>
      <w:rPr>
        <w:rFonts w:ascii="Wingdings" w:hAnsi="Wingdings" w:hint="default"/>
      </w:rPr>
    </w:lvl>
    <w:lvl w:ilvl="6" w:tplc="E65882AE" w:tentative="1">
      <w:start w:val="1"/>
      <w:numFmt w:val="bullet"/>
      <w:lvlText w:val=""/>
      <w:lvlJc w:val="left"/>
      <w:pPr>
        <w:ind w:left="5040" w:hanging="360"/>
      </w:pPr>
      <w:rPr>
        <w:rFonts w:ascii="Symbol" w:hAnsi="Symbol" w:hint="default"/>
      </w:rPr>
    </w:lvl>
    <w:lvl w:ilvl="7" w:tplc="BD5AC468" w:tentative="1">
      <w:start w:val="1"/>
      <w:numFmt w:val="bullet"/>
      <w:lvlText w:val="o"/>
      <w:lvlJc w:val="left"/>
      <w:pPr>
        <w:ind w:left="5760" w:hanging="360"/>
      </w:pPr>
      <w:rPr>
        <w:rFonts w:ascii="Courier New" w:hAnsi="Courier New" w:cs="Courier New" w:hint="default"/>
      </w:rPr>
    </w:lvl>
    <w:lvl w:ilvl="8" w:tplc="66B4A4DE" w:tentative="1">
      <w:start w:val="1"/>
      <w:numFmt w:val="bullet"/>
      <w:lvlText w:val=""/>
      <w:lvlJc w:val="left"/>
      <w:pPr>
        <w:ind w:left="6480" w:hanging="360"/>
      </w:pPr>
      <w:rPr>
        <w:rFonts w:ascii="Wingdings" w:hAnsi="Wingdings" w:hint="default"/>
      </w:rPr>
    </w:lvl>
  </w:abstractNum>
  <w:abstractNum w:abstractNumId="124" w15:restartNumberingAfterBreak="0">
    <w:nsid w:val="4F193A4E"/>
    <w:multiLevelType w:val="multilevel"/>
    <w:tmpl w:val="A75A969E"/>
    <w:lvl w:ilvl="0">
      <w:start w:val="1"/>
      <w:numFmt w:val="upperLetter"/>
      <w:lvlText w:val="%1."/>
      <w:lvlJc w:val="left"/>
      <w:pPr>
        <w:ind w:left="720" w:hanging="360"/>
      </w:pPr>
      <w:rPr>
        <w:rFonts w:ascii="Times New Roman" w:hAnsi="Times New Roman" w:hint="default"/>
      </w:rPr>
    </w:lvl>
    <w:lvl w:ilvl="1">
      <w:start w:val="1"/>
      <w:numFmt w:val="lowerRoman"/>
      <w:pStyle w:val="Style4"/>
      <w:lvlText w:val="%2."/>
      <w:lvlJc w:val="left"/>
      <w:pPr>
        <w:ind w:left="1440" w:hanging="360"/>
      </w:pPr>
      <w:rPr>
        <w:rFonts w:ascii="Times New Roman" w:hAnsi="Times New Roman"/>
        <w:b w:val="0"/>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4F2B65F9"/>
    <w:multiLevelType w:val="hybridMultilevel"/>
    <w:tmpl w:val="A6104BC6"/>
    <w:lvl w:ilvl="0" w:tplc="5914A5D4">
      <w:start w:val="1"/>
      <w:numFmt w:val="bullet"/>
      <w:lvlText w:val=""/>
      <w:lvlJc w:val="left"/>
      <w:pPr>
        <w:ind w:left="1080" w:hanging="360"/>
      </w:pPr>
      <w:rPr>
        <w:rFonts w:ascii="Symbol" w:hAnsi="Symbol" w:hint="default"/>
      </w:rPr>
    </w:lvl>
    <w:lvl w:ilvl="1" w:tplc="60284E78">
      <w:start w:val="1"/>
      <w:numFmt w:val="bullet"/>
      <w:lvlText w:val="o"/>
      <w:lvlJc w:val="left"/>
      <w:pPr>
        <w:ind w:left="1800" w:hanging="360"/>
      </w:pPr>
      <w:rPr>
        <w:rFonts w:ascii="Courier New" w:hAnsi="Courier New" w:cs="Courier New" w:hint="default"/>
      </w:rPr>
    </w:lvl>
    <w:lvl w:ilvl="2" w:tplc="C9288430">
      <w:start w:val="1"/>
      <w:numFmt w:val="bullet"/>
      <w:lvlText w:val=""/>
      <w:lvlJc w:val="left"/>
      <w:pPr>
        <w:ind w:left="2520" w:hanging="360"/>
      </w:pPr>
      <w:rPr>
        <w:rFonts w:ascii="Wingdings" w:hAnsi="Wingdings" w:hint="default"/>
      </w:rPr>
    </w:lvl>
    <w:lvl w:ilvl="3" w:tplc="C0DE9D54">
      <w:start w:val="1"/>
      <w:numFmt w:val="bullet"/>
      <w:lvlText w:val=""/>
      <w:lvlJc w:val="left"/>
      <w:pPr>
        <w:ind w:left="3240" w:hanging="360"/>
      </w:pPr>
      <w:rPr>
        <w:rFonts w:ascii="Symbol" w:hAnsi="Symbol" w:hint="default"/>
      </w:rPr>
    </w:lvl>
    <w:lvl w:ilvl="4" w:tplc="479EC69E">
      <w:start w:val="1"/>
      <w:numFmt w:val="bullet"/>
      <w:lvlText w:val="o"/>
      <w:lvlJc w:val="left"/>
      <w:pPr>
        <w:ind w:left="3960" w:hanging="360"/>
      </w:pPr>
      <w:rPr>
        <w:rFonts w:ascii="Courier New" w:hAnsi="Courier New" w:cs="Courier New" w:hint="default"/>
      </w:rPr>
    </w:lvl>
    <w:lvl w:ilvl="5" w:tplc="38CEA7BA">
      <w:start w:val="1"/>
      <w:numFmt w:val="bullet"/>
      <w:lvlText w:val=""/>
      <w:lvlJc w:val="left"/>
      <w:pPr>
        <w:ind w:left="4680" w:hanging="360"/>
      </w:pPr>
      <w:rPr>
        <w:rFonts w:ascii="Wingdings" w:hAnsi="Wingdings" w:hint="default"/>
      </w:rPr>
    </w:lvl>
    <w:lvl w:ilvl="6" w:tplc="1D0E152A">
      <w:start w:val="1"/>
      <w:numFmt w:val="bullet"/>
      <w:lvlText w:val=""/>
      <w:lvlJc w:val="left"/>
      <w:pPr>
        <w:ind w:left="5400" w:hanging="360"/>
      </w:pPr>
      <w:rPr>
        <w:rFonts w:ascii="Symbol" w:hAnsi="Symbol" w:hint="default"/>
      </w:rPr>
    </w:lvl>
    <w:lvl w:ilvl="7" w:tplc="634CD47E">
      <w:start w:val="1"/>
      <w:numFmt w:val="bullet"/>
      <w:lvlText w:val="o"/>
      <w:lvlJc w:val="left"/>
      <w:pPr>
        <w:ind w:left="6120" w:hanging="360"/>
      </w:pPr>
      <w:rPr>
        <w:rFonts w:ascii="Courier New" w:hAnsi="Courier New" w:cs="Courier New" w:hint="default"/>
      </w:rPr>
    </w:lvl>
    <w:lvl w:ilvl="8" w:tplc="5E3A6DD2">
      <w:start w:val="1"/>
      <w:numFmt w:val="bullet"/>
      <w:lvlText w:val=""/>
      <w:lvlJc w:val="left"/>
      <w:pPr>
        <w:ind w:left="6840" w:hanging="360"/>
      </w:pPr>
      <w:rPr>
        <w:rFonts w:ascii="Wingdings" w:hAnsi="Wingdings" w:hint="default"/>
      </w:rPr>
    </w:lvl>
  </w:abstractNum>
  <w:abstractNum w:abstractNumId="126" w15:restartNumberingAfterBreak="0">
    <w:nsid w:val="4F326C47"/>
    <w:multiLevelType w:val="hybridMultilevel"/>
    <w:tmpl w:val="6DACFF5A"/>
    <w:lvl w:ilvl="0" w:tplc="5EF45512">
      <w:start w:val="1"/>
      <w:numFmt w:val="decimal"/>
      <w:lvlText w:val="%1."/>
      <w:lvlJc w:val="left"/>
      <w:pPr>
        <w:ind w:left="720" w:hanging="360"/>
      </w:pPr>
    </w:lvl>
    <w:lvl w:ilvl="1" w:tplc="1812C974">
      <w:start w:val="1"/>
      <w:numFmt w:val="lowerLetter"/>
      <w:lvlText w:val="%2."/>
      <w:lvlJc w:val="left"/>
      <w:pPr>
        <w:ind w:left="1440" w:hanging="360"/>
      </w:pPr>
    </w:lvl>
    <w:lvl w:ilvl="2" w:tplc="F796D39C">
      <w:start w:val="1"/>
      <w:numFmt w:val="lowerRoman"/>
      <w:lvlText w:val="%3."/>
      <w:lvlJc w:val="right"/>
      <w:pPr>
        <w:ind w:left="2160" w:hanging="180"/>
      </w:pPr>
    </w:lvl>
    <w:lvl w:ilvl="3" w:tplc="A656D93A">
      <w:start w:val="1"/>
      <w:numFmt w:val="decimal"/>
      <w:lvlText w:val="%4."/>
      <w:lvlJc w:val="left"/>
      <w:pPr>
        <w:ind w:left="2880" w:hanging="360"/>
      </w:pPr>
    </w:lvl>
    <w:lvl w:ilvl="4" w:tplc="222C7D34">
      <w:start w:val="1"/>
      <w:numFmt w:val="lowerLetter"/>
      <w:lvlText w:val="%5."/>
      <w:lvlJc w:val="left"/>
      <w:pPr>
        <w:ind w:left="3600" w:hanging="360"/>
      </w:pPr>
    </w:lvl>
    <w:lvl w:ilvl="5" w:tplc="AB78842A">
      <w:start w:val="1"/>
      <w:numFmt w:val="lowerRoman"/>
      <w:lvlText w:val="%6."/>
      <w:lvlJc w:val="right"/>
      <w:pPr>
        <w:ind w:left="4320" w:hanging="180"/>
      </w:pPr>
    </w:lvl>
    <w:lvl w:ilvl="6" w:tplc="AFE8FBBE">
      <w:start w:val="1"/>
      <w:numFmt w:val="decimal"/>
      <w:lvlText w:val="%7."/>
      <w:lvlJc w:val="left"/>
      <w:pPr>
        <w:ind w:left="5040" w:hanging="360"/>
      </w:pPr>
    </w:lvl>
    <w:lvl w:ilvl="7" w:tplc="361084B0">
      <w:start w:val="1"/>
      <w:numFmt w:val="lowerLetter"/>
      <w:lvlText w:val="%8."/>
      <w:lvlJc w:val="left"/>
      <w:pPr>
        <w:ind w:left="5760" w:hanging="360"/>
      </w:pPr>
    </w:lvl>
    <w:lvl w:ilvl="8" w:tplc="FD4CD0DE">
      <w:start w:val="1"/>
      <w:numFmt w:val="lowerRoman"/>
      <w:lvlText w:val="%9."/>
      <w:lvlJc w:val="right"/>
      <w:pPr>
        <w:ind w:left="6480" w:hanging="180"/>
      </w:pPr>
    </w:lvl>
  </w:abstractNum>
  <w:abstractNum w:abstractNumId="127" w15:restartNumberingAfterBreak="0">
    <w:nsid w:val="4F7A4127"/>
    <w:multiLevelType w:val="multilevel"/>
    <w:tmpl w:val="7F9E5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4FA24885"/>
    <w:multiLevelType w:val="hybridMultilevel"/>
    <w:tmpl w:val="D6EE1726"/>
    <w:lvl w:ilvl="0" w:tplc="DCC04A62">
      <w:start w:val="1"/>
      <w:numFmt w:val="decimal"/>
      <w:lvlText w:val="%1."/>
      <w:lvlJc w:val="left"/>
      <w:pPr>
        <w:ind w:left="720" w:hanging="360"/>
      </w:pPr>
    </w:lvl>
    <w:lvl w:ilvl="1" w:tplc="DE1683DC" w:tentative="1">
      <w:start w:val="1"/>
      <w:numFmt w:val="lowerLetter"/>
      <w:lvlText w:val="%2."/>
      <w:lvlJc w:val="left"/>
      <w:pPr>
        <w:ind w:left="1440" w:hanging="360"/>
      </w:pPr>
    </w:lvl>
    <w:lvl w:ilvl="2" w:tplc="17428FBC" w:tentative="1">
      <w:start w:val="1"/>
      <w:numFmt w:val="lowerRoman"/>
      <w:lvlText w:val="%3."/>
      <w:lvlJc w:val="right"/>
      <w:pPr>
        <w:ind w:left="2160" w:hanging="180"/>
      </w:pPr>
    </w:lvl>
    <w:lvl w:ilvl="3" w:tplc="B06A5C90" w:tentative="1">
      <w:start w:val="1"/>
      <w:numFmt w:val="decimal"/>
      <w:lvlText w:val="%4."/>
      <w:lvlJc w:val="left"/>
      <w:pPr>
        <w:ind w:left="2880" w:hanging="360"/>
      </w:pPr>
    </w:lvl>
    <w:lvl w:ilvl="4" w:tplc="66A68C82" w:tentative="1">
      <w:start w:val="1"/>
      <w:numFmt w:val="lowerLetter"/>
      <w:lvlText w:val="%5."/>
      <w:lvlJc w:val="left"/>
      <w:pPr>
        <w:ind w:left="3600" w:hanging="360"/>
      </w:pPr>
    </w:lvl>
    <w:lvl w:ilvl="5" w:tplc="FE8CDAF0" w:tentative="1">
      <w:start w:val="1"/>
      <w:numFmt w:val="lowerRoman"/>
      <w:lvlText w:val="%6."/>
      <w:lvlJc w:val="right"/>
      <w:pPr>
        <w:ind w:left="4320" w:hanging="180"/>
      </w:pPr>
    </w:lvl>
    <w:lvl w:ilvl="6" w:tplc="D1901F60" w:tentative="1">
      <w:start w:val="1"/>
      <w:numFmt w:val="decimal"/>
      <w:lvlText w:val="%7."/>
      <w:lvlJc w:val="left"/>
      <w:pPr>
        <w:ind w:left="5040" w:hanging="360"/>
      </w:pPr>
    </w:lvl>
    <w:lvl w:ilvl="7" w:tplc="E6CA5A06" w:tentative="1">
      <w:start w:val="1"/>
      <w:numFmt w:val="lowerLetter"/>
      <w:lvlText w:val="%8."/>
      <w:lvlJc w:val="left"/>
      <w:pPr>
        <w:ind w:left="5760" w:hanging="360"/>
      </w:pPr>
    </w:lvl>
    <w:lvl w:ilvl="8" w:tplc="26642E1A" w:tentative="1">
      <w:start w:val="1"/>
      <w:numFmt w:val="lowerRoman"/>
      <w:lvlText w:val="%9."/>
      <w:lvlJc w:val="right"/>
      <w:pPr>
        <w:ind w:left="6480" w:hanging="180"/>
      </w:pPr>
    </w:lvl>
  </w:abstractNum>
  <w:abstractNum w:abstractNumId="129" w15:restartNumberingAfterBreak="0">
    <w:nsid w:val="501625B7"/>
    <w:multiLevelType w:val="hybridMultilevel"/>
    <w:tmpl w:val="107CE7FA"/>
    <w:lvl w:ilvl="0" w:tplc="196212BC">
      <w:start w:val="1"/>
      <w:numFmt w:val="decimal"/>
      <w:lvlText w:val="%1."/>
      <w:lvlJc w:val="left"/>
      <w:pPr>
        <w:ind w:left="1080" w:hanging="360"/>
      </w:pPr>
    </w:lvl>
    <w:lvl w:ilvl="1" w:tplc="27869BD8">
      <w:start w:val="1"/>
      <w:numFmt w:val="lowerRoman"/>
      <w:lvlText w:val="%2."/>
      <w:lvlJc w:val="right"/>
      <w:pPr>
        <w:ind w:left="1080" w:hanging="360"/>
      </w:pPr>
    </w:lvl>
    <w:lvl w:ilvl="2" w:tplc="2A742E2C" w:tentative="1">
      <w:start w:val="1"/>
      <w:numFmt w:val="lowerRoman"/>
      <w:lvlText w:val="%3."/>
      <w:lvlJc w:val="right"/>
      <w:pPr>
        <w:ind w:left="2520" w:hanging="180"/>
      </w:pPr>
    </w:lvl>
    <w:lvl w:ilvl="3" w:tplc="D24665F6" w:tentative="1">
      <w:start w:val="1"/>
      <w:numFmt w:val="decimal"/>
      <w:lvlText w:val="%4."/>
      <w:lvlJc w:val="left"/>
      <w:pPr>
        <w:ind w:left="3240" w:hanging="360"/>
      </w:pPr>
    </w:lvl>
    <w:lvl w:ilvl="4" w:tplc="EB047A9A" w:tentative="1">
      <w:start w:val="1"/>
      <w:numFmt w:val="lowerLetter"/>
      <w:lvlText w:val="%5."/>
      <w:lvlJc w:val="left"/>
      <w:pPr>
        <w:ind w:left="3960" w:hanging="360"/>
      </w:pPr>
    </w:lvl>
    <w:lvl w:ilvl="5" w:tplc="C966DAC6" w:tentative="1">
      <w:start w:val="1"/>
      <w:numFmt w:val="lowerRoman"/>
      <w:lvlText w:val="%6."/>
      <w:lvlJc w:val="right"/>
      <w:pPr>
        <w:ind w:left="4680" w:hanging="180"/>
      </w:pPr>
    </w:lvl>
    <w:lvl w:ilvl="6" w:tplc="9B28FD74" w:tentative="1">
      <w:start w:val="1"/>
      <w:numFmt w:val="decimal"/>
      <w:lvlText w:val="%7."/>
      <w:lvlJc w:val="left"/>
      <w:pPr>
        <w:ind w:left="5400" w:hanging="360"/>
      </w:pPr>
    </w:lvl>
    <w:lvl w:ilvl="7" w:tplc="E58E2E22" w:tentative="1">
      <w:start w:val="1"/>
      <w:numFmt w:val="lowerLetter"/>
      <w:lvlText w:val="%8."/>
      <w:lvlJc w:val="left"/>
      <w:pPr>
        <w:ind w:left="6120" w:hanging="360"/>
      </w:pPr>
    </w:lvl>
    <w:lvl w:ilvl="8" w:tplc="1E9EE556" w:tentative="1">
      <w:start w:val="1"/>
      <w:numFmt w:val="lowerRoman"/>
      <w:lvlText w:val="%9."/>
      <w:lvlJc w:val="right"/>
      <w:pPr>
        <w:ind w:left="6840" w:hanging="180"/>
      </w:pPr>
    </w:lvl>
  </w:abstractNum>
  <w:abstractNum w:abstractNumId="130" w15:restartNumberingAfterBreak="0">
    <w:nsid w:val="508372F7"/>
    <w:multiLevelType w:val="multilevel"/>
    <w:tmpl w:val="776A8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509D5934"/>
    <w:multiLevelType w:val="hybridMultilevel"/>
    <w:tmpl w:val="D0DE49F6"/>
    <w:lvl w:ilvl="0" w:tplc="74CACDDE">
      <w:start w:val="1"/>
      <w:numFmt w:val="bullet"/>
      <w:lvlText w:val=""/>
      <w:lvlJc w:val="left"/>
      <w:pPr>
        <w:ind w:left="720" w:hanging="360"/>
      </w:pPr>
      <w:rPr>
        <w:rFonts w:ascii="Symbol" w:hAnsi="Symbol" w:hint="default"/>
      </w:rPr>
    </w:lvl>
    <w:lvl w:ilvl="1" w:tplc="3CC84660" w:tentative="1">
      <w:start w:val="1"/>
      <w:numFmt w:val="bullet"/>
      <w:lvlText w:val="o"/>
      <w:lvlJc w:val="left"/>
      <w:pPr>
        <w:ind w:left="1440" w:hanging="360"/>
      </w:pPr>
      <w:rPr>
        <w:rFonts w:ascii="Courier New" w:hAnsi="Courier New" w:cs="Courier New" w:hint="default"/>
      </w:rPr>
    </w:lvl>
    <w:lvl w:ilvl="2" w:tplc="61B252A8" w:tentative="1">
      <w:start w:val="1"/>
      <w:numFmt w:val="bullet"/>
      <w:lvlText w:val=""/>
      <w:lvlJc w:val="left"/>
      <w:pPr>
        <w:ind w:left="2160" w:hanging="360"/>
      </w:pPr>
      <w:rPr>
        <w:rFonts w:ascii="Wingdings" w:hAnsi="Wingdings" w:hint="default"/>
      </w:rPr>
    </w:lvl>
    <w:lvl w:ilvl="3" w:tplc="6D386FDE" w:tentative="1">
      <w:start w:val="1"/>
      <w:numFmt w:val="bullet"/>
      <w:lvlText w:val=""/>
      <w:lvlJc w:val="left"/>
      <w:pPr>
        <w:ind w:left="2880" w:hanging="360"/>
      </w:pPr>
      <w:rPr>
        <w:rFonts w:ascii="Symbol" w:hAnsi="Symbol" w:hint="default"/>
      </w:rPr>
    </w:lvl>
    <w:lvl w:ilvl="4" w:tplc="30A23CC8" w:tentative="1">
      <w:start w:val="1"/>
      <w:numFmt w:val="bullet"/>
      <w:lvlText w:val="o"/>
      <w:lvlJc w:val="left"/>
      <w:pPr>
        <w:ind w:left="3600" w:hanging="360"/>
      </w:pPr>
      <w:rPr>
        <w:rFonts w:ascii="Courier New" w:hAnsi="Courier New" w:cs="Courier New" w:hint="default"/>
      </w:rPr>
    </w:lvl>
    <w:lvl w:ilvl="5" w:tplc="48F43288" w:tentative="1">
      <w:start w:val="1"/>
      <w:numFmt w:val="bullet"/>
      <w:lvlText w:val=""/>
      <w:lvlJc w:val="left"/>
      <w:pPr>
        <w:ind w:left="4320" w:hanging="360"/>
      </w:pPr>
      <w:rPr>
        <w:rFonts w:ascii="Wingdings" w:hAnsi="Wingdings" w:hint="default"/>
      </w:rPr>
    </w:lvl>
    <w:lvl w:ilvl="6" w:tplc="E6002A2C" w:tentative="1">
      <w:start w:val="1"/>
      <w:numFmt w:val="bullet"/>
      <w:lvlText w:val=""/>
      <w:lvlJc w:val="left"/>
      <w:pPr>
        <w:ind w:left="5040" w:hanging="360"/>
      </w:pPr>
      <w:rPr>
        <w:rFonts w:ascii="Symbol" w:hAnsi="Symbol" w:hint="default"/>
      </w:rPr>
    </w:lvl>
    <w:lvl w:ilvl="7" w:tplc="4ECEAA1A" w:tentative="1">
      <w:start w:val="1"/>
      <w:numFmt w:val="bullet"/>
      <w:lvlText w:val="o"/>
      <w:lvlJc w:val="left"/>
      <w:pPr>
        <w:ind w:left="5760" w:hanging="360"/>
      </w:pPr>
      <w:rPr>
        <w:rFonts w:ascii="Courier New" w:hAnsi="Courier New" w:cs="Courier New" w:hint="default"/>
      </w:rPr>
    </w:lvl>
    <w:lvl w:ilvl="8" w:tplc="35E294C2" w:tentative="1">
      <w:start w:val="1"/>
      <w:numFmt w:val="bullet"/>
      <w:lvlText w:val=""/>
      <w:lvlJc w:val="left"/>
      <w:pPr>
        <w:ind w:left="6480" w:hanging="360"/>
      </w:pPr>
      <w:rPr>
        <w:rFonts w:ascii="Wingdings" w:hAnsi="Wingdings" w:hint="default"/>
      </w:rPr>
    </w:lvl>
  </w:abstractNum>
  <w:abstractNum w:abstractNumId="132" w15:restartNumberingAfterBreak="0">
    <w:nsid w:val="50C4369E"/>
    <w:multiLevelType w:val="hybridMultilevel"/>
    <w:tmpl w:val="1A126DAA"/>
    <w:lvl w:ilvl="0" w:tplc="E18C548A">
      <w:start w:val="1"/>
      <w:numFmt w:val="bullet"/>
      <w:lvlText w:val=""/>
      <w:lvlJc w:val="left"/>
      <w:pPr>
        <w:ind w:left="720" w:hanging="360"/>
      </w:pPr>
      <w:rPr>
        <w:rFonts w:ascii="Symbol" w:hAnsi="Symbol" w:hint="default"/>
      </w:rPr>
    </w:lvl>
    <w:lvl w:ilvl="1" w:tplc="CB668FC4" w:tentative="1">
      <w:start w:val="1"/>
      <w:numFmt w:val="bullet"/>
      <w:lvlText w:val="o"/>
      <w:lvlJc w:val="left"/>
      <w:pPr>
        <w:ind w:left="1440" w:hanging="360"/>
      </w:pPr>
      <w:rPr>
        <w:rFonts w:ascii="Courier New" w:hAnsi="Courier New" w:cs="Courier New" w:hint="default"/>
      </w:rPr>
    </w:lvl>
    <w:lvl w:ilvl="2" w:tplc="E5C4572A" w:tentative="1">
      <w:start w:val="1"/>
      <w:numFmt w:val="bullet"/>
      <w:lvlText w:val=""/>
      <w:lvlJc w:val="left"/>
      <w:pPr>
        <w:ind w:left="2160" w:hanging="360"/>
      </w:pPr>
      <w:rPr>
        <w:rFonts w:ascii="Wingdings" w:hAnsi="Wingdings" w:hint="default"/>
      </w:rPr>
    </w:lvl>
    <w:lvl w:ilvl="3" w:tplc="446A2742" w:tentative="1">
      <w:start w:val="1"/>
      <w:numFmt w:val="bullet"/>
      <w:lvlText w:val=""/>
      <w:lvlJc w:val="left"/>
      <w:pPr>
        <w:ind w:left="2880" w:hanging="360"/>
      </w:pPr>
      <w:rPr>
        <w:rFonts w:ascii="Symbol" w:hAnsi="Symbol" w:hint="default"/>
      </w:rPr>
    </w:lvl>
    <w:lvl w:ilvl="4" w:tplc="636EE8D6" w:tentative="1">
      <w:start w:val="1"/>
      <w:numFmt w:val="bullet"/>
      <w:lvlText w:val="o"/>
      <w:lvlJc w:val="left"/>
      <w:pPr>
        <w:ind w:left="3600" w:hanging="360"/>
      </w:pPr>
      <w:rPr>
        <w:rFonts w:ascii="Courier New" w:hAnsi="Courier New" w:cs="Courier New" w:hint="default"/>
      </w:rPr>
    </w:lvl>
    <w:lvl w:ilvl="5" w:tplc="FE080BC8" w:tentative="1">
      <w:start w:val="1"/>
      <w:numFmt w:val="bullet"/>
      <w:lvlText w:val=""/>
      <w:lvlJc w:val="left"/>
      <w:pPr>
        <w:ind w:left="4320" w:hanging="360"/>
      </w:pPr>
      <w:rPr>
        <w:rFonts w:ascii="Wingdings" w:hAnsi="Wingdings" w:hint="default"/>
      </w:rPr>
    </w:lvl>
    <w:lvl w:ilvl="6" w:tplc="5AE2E52A" w:tentative="1">
      <w:start w:val="1"/>
      <w:numFmt w:val="bullet"/>
      <w:lvlText w:val=""/>
      <w:lvlJc w:val="left"/>
      <w:pPr>
        <w:ind w:left="5040" w:hanging="360"/>
      </w:pPr>
      <w:rPr>
        <w:rFonts w:ascii="Symbol" w:hAnsi="Symbol" w:hint="default"/>
      </w:rPr>
    </w:lvl>
    <w:lvl w:ilvl="7" w:tplc="043E3030" w:tentative="1">
      <w:start w:val="1"/>
      <w:numFmt w:val="bullet"/>
      <w:lvlText w:val="o"/>
      <w:lvlJc w:val="left"/>
      <w:pPr>
        <w:ind w:left="5760" w:hanging="360"/>
      </w:pPr>
      <w:rPr>
        <w:rFonts w:ascii="Courier New" w:hAnsi="Courier New" w:cs="Courier New" w:hint="default"/>
      </w:rPr>
    </w:lvl>
    <w:lvl w:ilvl="8" w:tplc="F3A249A2" w:tentative="1">
      <w:start w:val="1"/>
      <w:numFmt w:val="bullet"/>
      <w:lvlText w:val=""/>
      <w:lvlJc w:val="left"/>
      <w:pPr>
        <w:ind w:left="6480" w:hanging="360"/>
      </w:pPr>
      <w:rPr>
        <w:rFonts w:ascii="Wingdings" w:hAnsi="Wingdings" w:hint="default"/>
      </w:rPr>
    </w:lvl>
  </w:abstractNum>
  <w:abstractNum w:abstractNumId="133" w15:restartNumberingAfterBreak="0">
    <w:nsid w:val="51B7301C"/>
    <w:multiLevelType w:val="hybridMultilevel"/>
    <w:tmpl w:val="B124367A"/>
    <w:lvl w:ilvl="0" w:tplc="61EE8536">
      <w:start w:val="1"/>
      <w:numFmt w:val="decimal"/>
      <w:lvlText w:val="%1."/>
      <w:lvlJc w:val="left"/>
      <w:pPr>
        <w:ind w:left="720" w:hanging="360"/>
      </w:pPr>
      <w:rPr>
        <w:rFonts w:hint="default"/>
      </w:rPr>
    </w:lvl>
    <w:lvl w:ilvl="1" w:tplc="103056A4">
      <w:start w:val="1"/>
      <w:numFmt w:val="decimal"/>
      <w:lvlText w:val="%2)"/>
      <w:lvlJc w:val="left"/>
      <w:pPr>
        <w:ind w:left="1440" w:hanging="360"/>
      </w:pPr>
      <w:rPr>
        <w:rFonts w:hint="default"/>
      </w:rPr>
    </w:lvl>
    <w:lvl w:ilvl="2" w:tplc="459AA0AA" w:tentative="1">
      <w:start w:val="1"/>
      <w:numFmt w:val="lowerRoman"/>
      <w:lvlText w:val="%3."/>
      <w:lvlJc w:val="right"/>
      <w:pPr>
        <w:ind w:left="2160" w:hanging="180"/>
      </w:pPr>
    </w:lvl>
    <w:lvl w:ilvl="3" w:tplc="0DD62728" w:tentative="1">
      <w:start w:val="1"/>
      <w:numFmt w:val="decimal"/>
      <w:lvlText w:val="%4."/>
      <w:lvlJc w:val="left"/>
      <w:pPr>
        <w:ind w:left="2880" w:hanging="360"/>
      </w:pPr>
    </w:lvl>
    <w:lvl w:ilvl="4" w:tplc="6D724F9C" w:tentative="1">
      <w:start w:val="1"/>
      <w:numFmt w:val="lowerLetter"/>
      <w:lvlText w:val="%5."/>
      <w:lvlJc w:val="left"/>
      <w:pPr>
        <w:ind w:left="3600" w:hanging="360"/>
      </w:pPr>
    </w:lvl>
    <w:lvl w:ilvl="5" w:tplc="A1885368" w:tentative="1">
      <w:start w:val="1"/>
      <w:numFmt w:val="lowerRoman"/>
      <w:lvlText w:val="%6."/>
      <w:lvlJc w:val="right"/>
      <w:pPr>
        <w:ind w:left="4320" w:hanging="180"/>
      </w:pPr>
    </w:lvl>
    <w:lvl w:ilvl="6" w:tplc="0D283354" w:tentative="1">
      <w:start w:val="1"/>
      <w:numFmt w:val="decimal"/>
      <w:lvlText w:val="%7."/>
      <w:lvlJc w:val="left"/>
      <w:pPr>
        <w:ind w:left="5040" w:hanging="360"/>
      </w:pPr>
    </w:lvl>
    <w:lvl w:ilvl="7" w:tplc="7BB8B00E" w:tentative="1">
      <w:start w:val="1"/>
      <w:numFmt w:val="lowerLetter"/>
      <w:lvlText w:val="%8."/>
      <w:lvlJc w:val="left"/>
      <w:pPr>
        <w:ind w:left="5760" w:hanging="360"/>
      </w:pPr>
    </w:lvl>
    <w:lvl w:ilvl="8" w:tplc="B75E223A" w:tentative="1">
      <w:start w:val="1"/>
      <w:numFmt w:val="lowerRoman"/>
      <w:lvlText w:val="%9."/>
      <w:lvlJc w:val="right"/>
      <w:pPr>
        <w:ind w:left="6480" w:hanging="180"/>
      </w:pPr>
    </w:lvl>
  </w:abstractNum>
  <w:abstractNum w:abstractNumId="134" w15:restartNumberingAfterBreak="0">
    <w:nsid w:val="531C045D"/>
    <w:multiLevelType w:val="hybridMultilevel"/>
    <w:tmpl w:val="9B323450"/>
    <w:lvl w:ilvl="0" w:tplc="B38A413A">
      <w:start w:val="5"/>
      <w:numFmt w:val="decimal"/>
      <w:lvlText w:val="%1."/>
      <w:lvlJc w:val="left"/>
      <w:pPr>
        <w:ind w:left="720" w:hanging="360"/>
      </w:pPr>
      <w:rPr>
        <w:rFonts w:ascii="Aptos" w:hAnsi="Aptos" w:hint="default"/>
      </w:rPr>
    </w:lvl>
    <w:lvl w:ilvl="1" w:tplc="DEE6DD14">
      <w:start w:val="1"/>
      <w:numFmt w:val="lowerLetter"/>
      <w:lvlText w:val="%2."/>
      <w:lvlJc w:val="left"/>
      <w:pPr>
        <w:ind w:left="1440" w:hanging="360"/>
      </w:pPr>
    </w:lvl>
    <w:lvl w:ilvl="2" w:tplc="EAC0443A">
      <w:start w:val="1"/>
      <w:numFmt w:val="lowerRoman"/>
      <w:lvlText w:val="%3."/>
      <w:lvlJc w:val="right"/>
      <w:pPr>
        <w:ind w:left="2160" w:hanging="180"/>
      </w:pPr>
    </w:lvl>
    <w:lvl w:ilvl="3" w:tplc="D84ECF5C">
      <w:start w:val="1"/>
      <w:numFmt w:val="decimal"/>
      <w:lvlText w:val="%4."/>
      <w:lvlJc w:val="left"/>
      <w:pPr>
        <w:ind w:left="2880" w:hanging="360"/>
      </w:pPr>
    </w:lvl>
    <w:lvl w:ilvl="4" w:tplc="B1CEC8A4">
      <w:start w:val="1"/>
      <w:numFmt w:val="lowerLetter"/>
      <w:lvlText w:val="%5."/>
      <w:lvlJc w:val="left"/>
      <w:pPr>
        <w:ind w:left="3600" w:hanging="360"/>
      </w:pPr>
    </w:lvl>
    <w:lvl w:ilvl="5" w:tplc="DC10CDBE">
      <w:start w:val="1"/>
      <w:numFmt w:val="lowerRoman"/>
      <w:lvlText w:val="%6."/>
      <w:lvlJc w:val="right"/>
      <w:pPr>
        <w:ind w:left="4320" w:hanging="180"/>
      </w:pPr>
    </w:lvl>
    <w:lvl w:ilvl="6" w:tplc="6E3A00D2">
      <w:start w:val="1"/>
      <w:numFmt w:val="decimal"/>
      <w:lvlText w:val="%7."/>
      <w:lvlJc w:val="left"/>
      <w:pPr>
        <w:ind w:left="5040" w:hanging="360"/>
      </w:pPr>
    </w:lvl>
    <w:lvl w:ilvl="7" w:tplc="F7A4EE08">
      <w:start w:val="1"/>
      <w:numFmt w:val="lowerLetter"/>
      <w:lvlText w:val="%8."/>
      <w:lvlJc w:val="left"/>
      <w:pPr>
        <w:ind w:left="5760" w:hanging="360"/>
      </w:pPr>
    </w:lvl>
    <w:lvl w:ilvl="8" w:tplc="56BE2AC8">
      <w:start w:val="1"/>
      <w:numFmt w:val="lowerRoman"/>
      <w:lvlText w:val="%9."/>
      <w:lvlJc w:val="right"/>
      <w:pPr>
        <w:ind w:left="6480" w:hanging="180"/>
      </w:pPr>
    </w:lvl>
  </w:abstractNum>
  <w:abstractNum w:abstractNumId="135" w15:restartNumberingAfterBreak="0">
    <w:nsid w:val="53AB17DD"/>
    <w:multiLevelType w:val="hybridMultilevel"/>
    <w:tmpl w:val="BB149A16"/>
    <w:lvl w:ilvl="0" w:tplc="A108439E">
      <w:start w:val="1"/>
      <w:numFmt w:val="bullet"/>
      <w:lvlText w:val=""/>
      <w:lvlJc w:val="left"/>
      <w:pPr>
        <w:ind w:left="720" w:hanging="360"/>
      </w:pPr>
      <w:rPr>
        <w:rFonts w:ascii="Symbol" w:hAnsi="Symbol" w:hint="default"/>
      </w:rPr>
    </w:lvl>
    <w:lvl w:ilvl="1" w:tplc="923CB1FC">
      <w:start w:val="1"/>
      <w:numFmt w:val="bullet"/>
      <w:lvlText w:val="o"/>
      <w:lvlJc w:val="left"/>
      <w:pPr>
        <w:ind w:left="1440" w:hanging="360"/>
      </w:pPr>
      <w:rPr>
        <w:rFonts w:ascii="Courier New" w:hAnsi="Courier New" w:cs="Courier New" w:hint="default"/>
      </w:rPr>
    </w:lvl>
    <w:lvl w:ilvl="2" w:tplc="B5CE2654" w:tentative="1">
      <w:start w:val="1"/>
      <w:numFmt w:val="bullet"/>
      <w:lvlText w:val=""/>
      <w:lvlJc w:val="left"/>
      <w:pPr>
        <w:ind w:left="2160" w:hanging="360"/>
      </w:pPr>
      <w:rPr>
        <w:rFonts w:ascii="Wingdings" w:hAnsi="Wingdings" w:hint="default"/>
      </w:rPr>
    </w:lvl>
    <w:lvl w:ilvl="3" w:tplc="BE847BFE" w:tentative="1">
      <w:start w:val="1"/>
      <w:numFmt w:val="bullet"/>
      <w:lvlText w:val=""/>
      <w:lvlJc w:val="left"/>
      <w:pPr>
        <w:ind w:left="2880" w:hanging="360"/>
      </w:pPr>
      <w:rPr>
        <w:rFonts w:ascii="Symbol" w:hAnsi="Symbol" w:hint="default"/>
      </w:rPr>
    </w:lvl>
    <w:lvl w:ilvl="4" w:tplc="35EABC56" w:tentative="1">
      <w:start w:val="1"/>
      <w:numFmt w:val="bullet"/>
      <w:lvlText w:val="o"/>
      <w:lvlJc w:val="left"/>
      <w:pPr>
        <w:ind w:left="3600" w:hanging="360"/>
      </w:pPr>
      <w:rPr>
        <w:rFonts w:ascii="Courier New" w:hAnsi="Courier New" w:cs="Courier New" w:hint="default"/>
      </w:rPr>
    </w:lvl>
    <w:lvl w:ilvl="5" w:tplc="E14820B0" w:tentative="1">
      <w:start w:val="1"/>
      <w:numFmt w:val="bullet"/>
      <w:lvlText w:val=""/>
      <w:lvlJc w:val="left"/>
      <w:pPr>
        <w:ind w:left="4320" w:hanging="360"/>
      </w:pPr>
      <w:rPr>
        <w:rFonts w:ascii="Wingdings" w:hAnsi="Wingdings" w:hint="default"/>
      </w:rPr>
    </w:lvl>
    <w:lvl w:ilvl="6" w:tplc="611CC418" w:tentative="1">
      <w:start w:val="1"/>
      <w:numFmt w:val="bullet"/>
      <w:lvlText w:val=""/>
      <w:lvlJc w:val="left"/>
      <w:pPr>
        <w:ind w:left="5040" w:hanging="360"/>
      </w:pPr>
      <w:rPr>
        <w:rFonts w:ascii="Symbol" w:hAnsi="Symbol" w:hint="default"/>
      </w:rPr>
    </w:lvl>
    <w:lvl w:ilvl="7" w:tplc="7674A320" w:tentative="1">
      <w:start w:val="1"/>
      <w:numFmt w:val="bullet"/>
      <w:lvlText w:val="o"/>
      <w:lvlJc w:val="left"/>
      <w:pPr>
        <w:ind w:left="5760" w:hanging="360"/>
      </w:pPr>
      <w:rPr>
        <w:rFonts w:ascii="Courier New" w:hAnsi="Courier New" w:cs="Courier New" w:hint="default"/>
      </w:rPr>
    </w:lvl>
    <w:lvl w:ilvl="8" w:tplc="7D80FB72" w:tentative="1">
      <w:start w:val="1"/>
      <w:numFmt w:val="bullet"/>
      <w:lvlText w:val=""/>
      <w:lvlJc w:val="left"/>
      <w:pPr>
        <w:ind w:left="6480" w:hanging="360"/>
      </w:pPr>
      <w:rPr>
        <w:rFonts w:ascii="Wingdings" w:hAnsi="Wingdings" w:hint="default"/>
      </w:rPr>
    </w:lvl>
  </w:abstractNum>
  <w:abstractNum w:abstractNumId="136" w15:restartNumberingAfterBreak="0">
    <w:nsid w:val="54115DB5"/>
    <w:multiLevelType w:val="hybridMultilevel"/>
    <w:tmpl w:val="761A26CA"/>
    <w:lvl w:ilvl="0" w:tplc="16A29524">
      <w:start w:val="1"/>
      <w:numFmt w:val="bullet"/>
      <w:lvlText w:val=""/>
      <w:lvlJc w:val="left"/>
      <w:pPr>
        <w:ind w:left="720" w:hanging="360"/>
      </w:pPr>
      <w:rPr>
        <w:rFonts w:ascii="Symbol" w:hAnsi="Symbol" w:hint="default"/>
      </w:rPr>
    </w:lvl>
    <w:lvl w:ilvl="1" w:tplc="0C0A3A66" w:tentative="1">
      <w:start w:val="1"/>
      <w:numFmt w:val="bullet"/>
      <w:lvlText w:val="o"/>
      <w:lvlJc w:val="left"/>
      <w:pPr>
        <w:ind w:left="1440" w:hanging="360"/>
      </w:pPr>
      <w:rPr>
        <w:rFonts w:ascii="Courier New" w:hAnsi="Courier New" w:cs="Courier New" w:hint="default"/>
      </w:rPr>
    </w:lvl>
    <w:lvl w:ilvl="2" w:tplc="B3985386" w:tentative="1">
      <w:start w:val="1"/>
      <w:numFmt w:val="bullet"/>
      <w:lvlText w:val=""/>
      <w:lvlJc w:val="left"/>
      <w:pPr>
        <w:ind w:left="2160" w:hanging="360"/>
      </w:pPr>
      <w:rPr>
        <w:rFonts w:ascii="Wingdings" w:hAnsi="Wingdings" w:hint="default"/>
      </w:rPr>
    </w:lvl>
    <w:lvl w:ilvl="3" w:tplc="D31C5E82" w:tentative="1">
      <w:start w:val="1"/>
      <w:numFmt w:val="bullet"/>
      <w:lvlText w:val=""/>
      <w:lvlJc w:val="left"/>
      <w:pPr>
        <w:ind w:left="2880" w:hanging="360"/>
      </w:pPr>
      <w:rPr>
        <w:rFonts w:ascii="Symbol" w:hAnsi="Symbol" w:hint="default"/>
      </w:rPr>
    </w:lvl>
    <w:lvl w:ilvl="4" w:tplc="114E4E0E" w:tentative="1">
      <w:start w:val="1"/>
      <w:numFmt w:val="bullet"/>
      <w:lvlText w:val="o"/>
      <w:lvlJc w:val="left"/>
      <w:pPr>
        <w:ind w:left="3600" w:hanging="360"/>
      </w:pPr>
      <w:rPr>
        <w:rFonts w:ascii="Courier New" w:hAnsi="Courier New" w:cs="Courier New" w:hint="default"/>
      </w:rPr>
    </w:lvl>
    <w:lvl w:ilvl="5" w:tplc="E32A5E10" w:tentative="1">
      <w:start w:val="1"/>
      <w:numFmt w:val="bullet"/>
      <w:lvlText w:val=""/>
      <w:lvlJc w:val="left"/>
      <w:pPr>
        <w:ind w:left="4320" w:hanging="360"/>
      </w:pPr>
      <w:rPr>
        <w:rFonts w:ascii="Wingdings" w:hAnsi="Wingdings" w:hint="default"/>
      </w:rPr>
    </w:lvl>
    <w:lvl w:ilvl="6" w:tplc="055CD756" w:tentative="1">
      <w:start w:val="1"/>
      <w:numFmt w:val="bullet"/>
      <w:lvlText w:val=""/>
      <w:lvlJc w:val="left"/>
      <w:pPr>
        <w:ind w:left="5040" w:hanging="360"/>
      </w:pPr>
      <w:rPr>
        <w:rFonts w:ascii="Symbol" w:hAnsi="Symbol" w:hint="default"/>
      </w:rPr>
    </w:lvl>
    <w:lvl w:ilvl="7" w:tplc="A2F6481C" w:tentative="1">
      <w:start w:val="1"/>
      <w:numFmt w:val="bullet"/>
      <w:lvlText w:val="o"/>
      <w:lvlJc w:val="left"/>
      <w:pPr>
        <w:ind w:left="5760" w:hanging="360"/>
      </w:pPr>
      <w:rPr>
        <w:rFonts w:ascii="Courier New" w:hAnsi="Courier New" w:cs="Courier New" w:hint="default"/>
      </w:rPr>
    </w:lvl>
    <w:lvl w:ilvl="8" w:tplc="BA28209E" w:tentative="1">
      <w:start w:val="1"/>
      <w:numFmt w:val="bullet"/>
      <w:lvlText w:val=""/>
      <w:lvlJc w:val="left"/>
      <w:pPr>
        <w:ind w:left="6480" w:hanging="360"/>
      </w:pPr>
      <w:rPr>
        <w:rFonts w:ascii="Wingdings" w:hAnsi="Wingdings" w:hint="default"/>
      </w:rPr>
    </w:lvl>
  </w:abstractNum>
  <w:abstractNum w:abstractNumId="137" w15:restartNumberingAfterBreak="0">
    <w:nsid w:val="55E90CEA"/>
    <w:multiLevelType w:val="hybridMultilevel"/>
    <w:tmpl w:val="7EDAFD7A"/>
    <w:lvl w:ilvl="0" w:tplc="59A0DBCC">
      <w:start w:val="1"/>
      <w:numFmt w:val="bullet"/>
      <w:lvlText w:val=""/>
      <w:lvlJc w:val="left"/>
      <w:pPr>
        <w:ind w:left="720" w:hanging="360"/>
      </w:pPr>
      <w:rPr>
        <w:rFonts w:ascii="Symbol" w:hAnsi="Symbol" w:hint="default"/>
      </w:rPr>
    </w:lvl>
    <w:lvl w:ilvl="1" w:tplc="BE0425CE">
      <w:start w:val="100"/>
      <w:numFmt w:val="bullet"/>
      <w:lvlText w:val="-"/>
      <w:lvlJc w:val="left"/>
      <w:pPr>
        <w:ind w:left="1440" w:hanging="360"/>
      </w:pPr>
      <w:rPr>
        <w:rFonts w:ascii="Palatino Linotype" w:eastAsiaTheme="minorEastAsia" w:hAnsi="Palatino Linotype" w:cstheme="minorBidi" w:hint="default"/>
      </w:rPr>
    </w:lvl>
    <w:lvl w:ilvl="2" w:tplc="B0F4146E" w:tentative="1">
      <w:start w:val="1"/>
      <w:numFmt w:val="bullet"/>
      <w:lvlText w:val=""/>
      <w:lvlJc w:val="left"/>
      <w:pPr>
        <w:ind w:left="2160" w:hanging="360"/>
      </w:pPr>
      <w:rPr>
        <w:rFonts w:ascii="Wingdings" w:hAnsi="Wingdings" w:hint="default"/>
      </w:rPr>
    </w:lvl>
    <w:lvl w:ilvl="3" w:tplc="3370C6B6" w:tentative="1">
      <w:start w:val="1"/>
      <w:numFmt w:val="bullet"/>
      <w:lvlText w:val=""/>
      <w:lvlJc w:val="left"/>
      <w:pPr>
        <w:ind w:left="2880" w:hanging="360"/>
      </w:pPr>
      <w:rPr>
        <w:rFonts w:ascii="Symbol" w:hAnsi="Symbol" w:hint="default"/>
      </w:rPr>
    </w:lvl>
    <w:lvl w:ilvl="4" w:tplc="BF3AA4A6" w:tentative="1">
      <w:start w:val="1"/>
      <w:numFmt w:val="bullet"/>
      <w:lvlText w:val="o"/>
      <w:lvlJc w:val="left"/>
      <w:pPr>
        <w:ind w:left="3600" w:hanging="360"/>
      </w:pPr>
      <w:rPr>
        <w:rFonts w:ascii="Courier New" w:hAnsi="Courier New" w:cs="Courier New" w:hint="default"/>
      </w:rPr>
    </w:lvl>
    <w:lvl w:ilvl="5" w:tplc="0270C2D0" w:tentative="1">
      <w:start w:val="1"/>
      <w:numFmt w:val="bullet"/>
      <w:lvlText w:val=""/>
      <w:lvlJc w:val="left"/>
      <w:pPr>
        <w:ind w:left="4320" w:hanging="360"/>
      </w:pPr>
      <w:rPr>
        <w:rFonts w:ascii="Wingdings" w:hAnsi="Wingdings" w:hint="default"/>
      </w:rPr>
    </w:lvl>
    <w:lvl w:ilvl="6" w:tplc="61B02AF2" w:tentative="1">
      <w:start w:val="1"/>
      <w:numFmt w:val="bullet"/>
      <w:lvlText w:val=""/>
      <w:lvlJc w:val="left"/>
      <w:pPr>
        <w:ind w:left="5040" w:hanging="360"/>
      </w:pPr>
      <w:rPr>
        <w:rFonts w:ascii="Symbol" w:hAnsi="Symbol" w:hint="default"/>
      </w:rPr>
    </w:lvl>
    <w:lvl w:ilvl="7" w:tplc="FDA2F4D2" w:tentative="1">
      <w:start w:val="1"/>
      <w:numFmt w:val="bullet"/>
      <w:lvlText w:val="o"/>
      <w:lvlJc w:val="left"/>
      <w:pPr>
        <w:ind w:left="5760" w:hanging="360"/>
      </w:pPr>
      <w:rPr>
        <w:rFonts w:ascii="Courier New" w:hAnsi="Courier New" w:cs="Courier New" w:hint="default"/>
      </w:rPr>
    </w:lvl>
    <w:lvl w:ilvl="8" w:tplc="C68EBFF0" w:tentative="1">
      <w:start w:val="1"/>
      <w:numFmt w:val="bullet"/>
      <w:lvlText w:val=""/>
      <w:lvlJc w:val="left"/>
      <w:pPr>
        <w:ind w:left="6480" w:hanging="360"/>
      </w:pPr>
      <w:rPr>
        <w:rFonts w:ascii="Wingdings" w:hAnsi="Wingdings" w:hint="default"/>
      </w:rPr>
    </w:lvl>
  </w:abstractNum>
  <w:abstractNum w:abstractNumId="138" w15:restartNumberingAfterBreak="0">
    <w:nsid w:val="56A958CC"/>
    <w:multiLevelType w:val="hybridMultilevel"/>
    <w:tmpl w:val="89C85274"/>
    <w:lvl w:ilvl="0" w:tplc="9A984058">
      <w:start w:val="1"/>
      <w:numFmt w:val="bullet"/>
      <w:lvlText w:val=""/>
      <w:lvlJc w:val="left"/>
      <w:pPr>
        <w:ind w:left="720" w:hanging="360"/>
      </w:pPr>
      <w:rPr>
        <w:rFonts w:ascii="Symbol" w:hAnsi="Symbol" w:hint="default"/>
      </w:rPr>
    </w:lvl>
    <w:lvl w:ilvl="1" w:tplc="F4DAD552" w:tentative="1">
      <w:start w:val="1"/>
      <w:numFmt w:val="bullet"/>
      <w:lvlText w:val="o"/>
      <w:lvlJc w:val="left"/>
      <w:pPr>
        <w:ind w:left="1440" w:hanging="360"/>
      </w:pPr>
      <w:rPr>
        <w:rFonts w:ascii="Courier New" w:hAnsi="Courier New" w:cs="Courier New" w:hint="default"/>
      </w:rPr>
    </w:lvl>
    <w:lvl w:ilvl="2" w:tplc="2DAC9056" w:tentative="1">
      <w:start w:val="1"/>
      <w:numFmt w:val="bullet"/>
      <w:lvlText w:val=""/>
      <w:lvlJc w:val="left"/>
      <w:pPr>
        <w:ind w:left="2160" w:hanging="360"/>
      </w:pPr>
      <w:rPr>
        <w:rFonts w:ascii="Wingdings" w:hAnsi="Wingdings" w:hint="default"/>
      </w:rPr>
    </w:lvl>
    <w:lvl w:ilvl="3" w:tplc="B2EECB96" w:tentative="1">
      <w:start w:val="1"/>
      <w:numFmt w:val="bullet"/>
      <w:lvlText w:val=""/>
      <w:lvlJc w:val="left"/>
      <w:pPr>
        <w:ind w:left="2880" w:hanging="360"/>
      </w:pPr>
      <w:rPr>
        <w:rFonts w:ascii="Symbol" w:hAnsi="Symbol" w:hint="default"/>
      </w:rPr>
    </w:lvl>
    <w:lvl w:ilvl="4" w:tplc="E2AC983C" w:tentative="1">
      <w:start w:val="1"/>
      <w:numFmt w:val="bullet"/>
      <w:lvlText w:val="o"/>
      <w:lvlJc w:val="left"/>
      <w:pPr>
        <w:ind w:left="3600" w:hanging="360"/>
      </w:pPr>
      <w:rPr>
        <w:rFonts w:ascii="Courier New" w:hAnsi="Courier New" w:cs="Courier New" w:hint="default"/>
      </w:rPr>
    </w:lvl>
    <w:lvl w:ilvl="5" w:tplc="BB52ACF2" w:tentative="1">
      <w:start w:val="1"/>
      <w:numFmt w:val="bullet"/>
      <w:lvlText w:val=""/>
      <w:lvlJc w:val="left"/>
      <w:pPr>
        <w:ind w:left="4320" w:hanging="360"/>
      </w:pPr>
      <w:rPr>
        <w:rFonts w:ascii="Wingdings" w:hAnsi="Wingdings" w:hint="default"/>
      </w:rPr>
    </w:lvl>
    <w:lvl w:ilvl="6" w:tplc="2F702DD0" w:tentative="1">
      <w:start w:val="1"/>
      <w:numFmt w:val="bullet"/>
      <w:lvlText w:val=""/>
      <w:lvlJc w:val="left"/>
      <w:pPr>
        <w:ind w:left="5040" w:hanging="360"/>
      </w:pPr>
      <w:rPr>
        <w:rFonts w:ascii="Symbol" w:hAnsi="Symbol" w:hint="default"/>
      </w:rPr>
    </w:lvl>
    <w:lvl w:ilvl="7" w:tplc="EDD0FC76" w:tentative="1">
      <w:start w:val="1"/>
      <w:numFmt w:val="bullet"/>
      <w:lvlText w:val="o"/>
      <w:lvlJc w:val="left"/>
      <w:pPr>
        <w:ind w:left="5760" w:hanging="360"/>
      </w:pPr>
      <w:rPr>
        <w:rFonts w:ascii="Courier New" w:hAnsi="Courier New" w:cs="Courier New" w:hint="default"/>
      </w:rPr>
    </w:lvl>
    <w:lvl w:ilvl="8" w:tplc="C57A67BC" w:tentative="1">
      <w:start w:val="1"/>
      <w:numFmt w:val="bullet"/>
      <w:lvlText w:val=""/>
      <w:lvlJc w:val="left"/>
      <w:pPr>
        <w:ind w:left="6480" w:hanging="360"/>
      </w:pPr>
      <w:rPr>
        <w:rFonts w:ascii="Wingdings" w:hAnsi="Wingdings" w:hint="default"/>
      </w:rPr>
    </w:lvl>
  </w:abstractNum>
  <w:abstractNum w:abstractNumId="139" w15:restartNumberingAfterBreak="0">
    <w:nsid w:val="572F5EB2"/>
    <w:multiLevelType w:val="hybridMultilevel"/>
    <w:tmpl w:val="08F01E76"/>
    <w:lvl w:ilvl="0" w:tplc="CE622EEA">
      <w:start w:val="1"/>
      <w:numFmt w:val="bullet"/>
      <w:lvlText w:val=""/>
      <w:lvlJc w:val="left"/>
      <w:pPr>
        <w:ind w:left="720" w:hanging="360"/>
      </w:pPr>
      <w:rPr>
        <w:rFonts w:ascii="Symbol" w:hAnsi="Symbol" w:hint="default"/>
      </w:rPr>
    </w:lvl>
    <w:lvl w:ilvl="1" w:tplc="38547374" w:tentative="1">
      <w:start w:val="1"/>
      <w:numFmt w:val="bullet"/>
      <w:lvlText w:val="o"/>
      <w:lvlJc w:val="left"/>
      <w:pPr>
        <w:ind w:left="1440" w:hanging="360"/>
      </w:pPr>
      <w:rPr>
        <w:rFonts w:ascii="Courier New" w:hAnsi="Courier New" w:cs="Courier New" w:hint="default"/>
      </w:rPr>
    </w:lvl>
    <w:lvl w:ilvl="2" w:tplc="CC2AE1EC" w:tentative="1">
      <w:start w:val="1"/>
      <w:numFmt w:val="bullet"/>
      <w:lvlText w:val=""/>
      <w:lvlJc w:val="left"/>
      <w:pPr>
        <w:ind w:left="2160" w:hanging="360"/>
      </w:pPr>
      <w:rPr>
        <w:rFonts w:ascii="Wingdings" w:hAnsi="Wingdings" w:hint="default"/>
      </w:rPr>
    </w:lvl>
    <w:lvl w:ilvl="3" w:tplc="CD049412" w:tentative="1">
      <w:start w:val="1"/>
      <w:numFmt w:val="bullet"/>
      <w:lvlText w:val=""/>
      <w:lvlJc w:val="left"/>
      <w:pPr>
        <w:ind w:left="2880" w:hanging="360"/>
      </w:pPr>
      <w:rPr>
        <w:rFonts w:ascii="Symbol" w:hAnsi="Symbol" w:hint="default"/>
      </w:rPr>
    </w:lvl>
    <w:lvl w:ilvl="4" w:tplc="13C021F4" w:tentative="1">
      <w:start w:val="1"/>
      <w:numFmt w:val="bullet"/>
      <w:lvlText w:val="o"/>
      <w:lvlJc w:val="left"/>
      <w:pPr>
        <w:ind w:left="3600" w:hanging="360"/>
      </w:pPr>
      <w:rPr>
        <w:rFonts w:ascii="Courier New" w:hAnsi="Courier New" w:cs="Courier New" w:hint="default"/>
      </w:rPr>
    </w:lvl>
    <w:lvl w:ilvl="5" w:tplc="1A98991E" w:tentative="1">
      <w:start w:val="1"/>
      <w:numFmt w:val="bullet"/>
      <w:lvlText w:val=""/>
      <w:lvlJc w:val="left"/>
      <w:pPr>
        <w:ind w:left="4320" w:hanging="360"/>
      </w:pPr>
      <w:rPr>
        <w:rFonts w:ascii="Wingdings" w:hAnsi="Wingdings" w:hint="default"/>
      </w:rPr>
    </w:lvl>
    <w:lvl w:ilvl="6" w:tplc="A2CE3EBC" w:tentative="1">
      <w:start w:val="1"/>
      <w:numFmt w:val="bullet"/>
      <w:lvlText w:val=""/>
      <w:lvlJc w:val="left"/>
      <w:pPr>
        <w:ind w:left="5040" w:hanging="360"/>
      </w:pPr>
      <w:rPr>
        <w:rFonts w:ascii="Symbol" w:hAnsi="Symbol" w:hint="default"/>
      </w:rPr>
    </w:lvl>
    <w:lvl w:ilvl="7" w:tplc="12E664F6" w:tentative="1">
      <w:start w:val="1"/>
      <w:numFmt w:val="bullet"/>
      <w:lvlText w:val="o"/>
      <w:lvlJc w:val="left"/>
      <w:pPr>
        <w:ind w:left="5760" w:hanging="360"/>
      </w:pPr>
      <w:rPr>
        <w:rFonts w:ascii="Courier New" w:hAnsi="Courier New" w:cs="Courier New" w:hint="default"/>
      </w:rPr>
    </w:lvl>
    <w:lvl w:ilvl="8" w:tplc="B8562AA4" w:tentative="1">
      <w:start w:val="1"/>
      <w:numFmt w:val="bullet"/>
      <w:lvlText w:val=""/>
      <w:lvlJc w:val="left"/>
      <w:pPr>
        <w:ind w:left="6480" w:hanging="360"/>
      </w:pPr>
      <w:rPr>
        <w:rFonts w:ascii="Wingdings" w:hAnsi="Wingdings" w:hint="default"/>
      </w:rPr>
    </w:lvl>
  </w:abstractNum>
  <w:abstractNum w:abstractNumId="140" w15:restartNumberingAfterBreak="0">
    <w:nsid w:val="57DE2AEF"/>
    <w:multiLevelType w:val="hybridMultilevel"/>
    <w:tmpl w:val="B680F43A"/>
    <w:lvl w:ilvl="0" w:tplc="1A08F834">
      <w:start w:val="1"/>
      <w:numFmt w:val="bullet"/>
      <w:lvlText w:val=""/>
      <w:lvlJc w:val="left"/>
      <w:pPr>
        <w:ind w:left="1080" w:hanging="360"/>
      </w:pPr>
      <w:rPr>
        <w:rFonts w:ascii="Symbol" w:hAnsi="Symbol" w:hint="default"/>
      </w:rPr>
    </w:lvl>
    <w:lvl w:ilvl="1" w:tplc="71B2254E">
      <w:start w:val="1"/>
      <w:numFmt w:val="bullet"/>
      <w:lvlText w:val="o"/>
      <w:lvlJc w:val="left"/>
      <w:pPr>
        <w:ind w:left="1800" w:hanging="360"/>
      </w:pPr>
      <w:rPr>
        <w:rFonts w:ascii="Courier New" w:hAnsi="Courier New" w:cs="Courier New" w:hint="default"/>
      </w:rPr>
    </w:lvl>
    <w:lvl w:ilvl="2" w:tplc="8DBE2CCE">
      <w:start w:val="1"/>
      <w:numFmt w:val="bullet"/>
      <w:lvlText w:val=""/>
      <w:lvlJc w:val="left"/>
      <w:pPr>
        <w:ind w:left="2520" w:hanging="360"/>
      </w:pPr>
      <w:rPr>
        <w:rFonts w:ascii="Wingdings" w:hAnsi="Wingdings" w:hint="default"/>
      </w:rPr>
    </w:lvl>
    <w:lvl w:ilvl="3" w:tplc="61708E6A">
      <w:start w:val="1"/>
      <w:numFmt w:val="bullet"/>
      <w:lvlText w:val=""/>
      <w:lvlJc w:val="left"/>
      <w:pPr>
        <w:ind w:left="3240" w:hanging="360"/>
      </w:pPr>
      <w:rPr>
        <w:rFonts w:ascii="Symbol" w:hAnsi="Symbol" w:hint="default"/>
      </w:rPr>
    </w:lvl>
    <w:lvl w:ilvl="4" w:tplc="0C7670EC">
      <w:start w:val="1"/>
      <w:numFmt w:val="bullet"/>
      <w:lvlText w:val="o"/>
      <w:lvlJc w:val="left"/>
      <w:pPr>
        <w:ind w:left="3960" w:hanging="360"/>
      </w:pPr>
      <w:rPr>
        <w:rFonts w:ascii="Courier New" w:hAnsi="Courier New" w:cs="Courier New" w:hint="default"/>
      </w:rPr>
    </w:lvl>
    <w:lvl w:ilvl="5" w:tplc="92A6549E">
      <w:start w:val="1"/>
      <w:numFmt w:val="bullet"/>
      <w:lvlText w:val=""/>
      <w:lvlJc w:val="left"/>
      <w:pPr>
        <w:ind w:left="4680" w:hanging="360"/>
      </w:pPr>
      <w:rPr>
        <w:rFonts w:ascii="Wingdings" w:hAnsi="Wingdings" w:hint="default"/>
      </w:rPr>
    </w:lvl>
    <w:lvl w:ilvl="6" w:tplc="C548FEAE">
      <w:start w:val="1"/>
      <w:numFmt w:val="bullet"/>
      <w:lvlText w:val=""/>
      <w:lvlJc w:val="left"/>
      <w:pPr>
        <w:ind w:left="5400" w:hanging="360"/>
      </w:pPr>
      <w:rPr>
        <w:rFonts w:ascii="Symbol" w:hAnsi="Symbol" w:hint="default"/>
      </w:rPr>
    </w:lvl>
    <w:lvl w:ilvl="7" w:tplc="10144C62">
      <w:start w:val="1"/>
      <w:numFmt w:val="bullet"/>
      <w:lvlText w:val="o"/>
      <w:lvlJc w:val="left"/>
      <w:pPr>
        <w:ind w:left="6120" w:hanging="360"/>
      </w:pPr>
      <w:rPr>
        <w:rFonts w:ascii="Courier New" w:hAnsi="Courier New" w:cs="Courier New" w:hint="default"/>
      </w:rPr>
    </w:lvl>
    <w:lvl w:ilvl="8" w:tplc="E45C279C">
      <w:start w:val="1"/>
      <w:numFmt w:val="bullet"/>
      <w:lvlText w:val=""/>
      <w:lvlJc w:val="left"/>
      <w:pPr>
        <w:ind w:left="6840" w:hanging="360"/>
      </w:pPr>
      <w:rPr>
        <w:rFonts w:ascii="Wingdings" w:hAnsi="Wingdings" w:hint="default"/>
      </w:rPr>
    </w:lvl>
  </w:abstractNum>
  <w:abstractNum w:abstractNumId="141" w15:restartNumberingAfterBreak="0">
    <w:nsid w:val="58B97008"/>
    <w:multiLevelType w:val="hybridMultilevel"/>
    <w:tmpl w:val="925C79B6"/>
    <w:lvl w:ilvl="0" w:tplc="871A732A">
      <w:start w:val="1"/>
      <w:numFmt w:val="bullet"/>
      <w:lvlText w:val=""/>
      <w:lvlJc w:val="left"/>
      <w:pPr>
        <w:ind w:left="720" w:hanging="360"/>
      </w:pPr>
      <w:rPr>
        <w:rFonts w:ascii="Symbol" w:hAnsi="Symbol" w:hint="default"/>
      </w:rPr>
    </w:lvl>
    <w:lvl w:ilvl="1" w:tplc="78E8D07E" w:tentative="1">
      <w:start w:val="1"/>
      <w:numFmt w:val="bullet"/>
      <w:lvlText w:val="o"/>
      <w:lvlJc w:val="left"/>
      <w:pPr>
        <w:ind w:left="1440" w:hanging="360"/>
      </w:pPr>
      <w:rPr>
        <w:rFonts w:ascii="Courier New" w:hAnsi="Courier New" w:cs="Courier New" w:hint="default"/>
      </w:rPr>
    </w:lvl>
    <w:lvl w:ilvl="2" w:tplc="FE9C6C86" w:tentative="1">
      <w:start w:val="1"/>
      <w:numFmt w:val="bullet"/>
      <w:lvlText w:val=""/>
      <w:lvlJc w:val="left"/>
      <w:pPr>
        <w:ind w:left="2160" w:hanging="360"/>
      </w:pPr>
      <w:rPr>
        <w:rFonts w:ascii="Wingdings" w:hAnsi="Wingdings" w:hint="default"/>
      </w:rPr>
    </w:lvl>
    <w:lvl w:ilvl="3" w:tplc="F092BDA6" w:tentative="1">
      <w:start w:val="1"/>
      <w:numFmt w:val="bullet"/>
      <w:lvlText w:val=""/>
      <w:lvlJc w:val="left"/>
      <w:pPr>
        <w:ind w:left="2880" w:hanging="360"/>
      </w:pPr>
      <w:rPr>
        <w:rFonts w:ascii="Symbol" w:hAnsi="Symbol" w:hint="default"/>
      </w:rPr>
    </w:lvl>
    <w:lvl w:ilvl="4" w:tplc="F8800912" w:tentative="1">
      <w:start w:val="1"/>
      <w:numFmt w:val="bullet"/>
      <w:lvlText w:val="o"/>
      <w:lvlJc w:val="left"/>
      <w:pPr>
        <w:ind w:left="3600" w:hanging="360"/>
      </w:pPr>
      <w:rPr>
        <w:rFonts w:ascii="Courier New" w:hAnsi="Courier New" w:cs="Courier New" w:hint="default"/>
      </w:rPr>
    </w:lvl>
    <w:lvl w:ilvl="5" w:tplc="7114A80E" w:tentative="1">
      <w:start w:val="1"/>
      <w:numFmt w:val="bullet"/>
      <w:lvlText w:val=""/>
      <w:lvlJc w:val="left"/>
      <w:pPr>
        <w:ind w:left="4320" w:hanging="360"/>
      </w:pPr>
      <w:rPr>
        <w:rFonts w:ascii="Wingdings" w:hAnsi="Wingdings" w:hint="default"/>
      </w:rPr>
    </w:lvl>
    <w:lvl w:ilvl="6" w:tplc="A67C8478" w:tentative="1">
      <w:start w:val="1"/>
      <w:numFmt w:val="bullet"/>
      <w:lvlText w:val=""/>
      <w:lvlJc w:val="left"/>
      <w:pPr>
        <w:ind w:left="5040" w:hanging="360"/>
      </w:pPr>
      <w:rPr>
        <w:rFonts w:ascii="Symbol" w:hAnsi="Symbol" w:hint="default"/>
      </w:rPr>
    </w:lvl>
    <w:lvl w:ilvl="7" w:tplc="536EFC72" w:tentative="1">
      <w:start w:val="1"/>
      <w:numFmt w:val="bullet"/>
      <w:lvlText w:val="o"/>
      <w:lvlJc w:val="left"/>
      <w:pPr>
        <w:ind w:left="5760" w:hanging="360"/>
      </w:pPr>
      <w:rPr>
        <w:rFonts w:ascii="Courier New" w:hAnsi="Courier New" w:cs="Courier New" w:hint="default"/>
      </w:rPr>
    </w:lvl>
    <w:lvl w:ilvl="8" w:tplc="64B03900" w:tentative="1">
      <w:start w:val="1"/>
      <w:numFmt w:val="bullet"/>
      <w:lvlText w:val=""/>
      <w:lvlJc w:val="left"/>
      <w:pPr>
        <w:ind w:left="6480" w:hanging="360"/>
      </w:pPr>
      <w:rPr>
        <w:rFonts w:ascii="Wingdings" w:hAnsi="Wingdings" w:hint="default"/>
      </w:rPr>
    </w:lvl>
  </w:abstractNum>
  <w:abstractNum w:abstractNumId="142" w15:restartNumberingAfterBreak="0">
    <w:nsid w:val="5A036FC1"/>
    <w:multiLevelType w:val="hybridMultilevel"/>
    <w:tmpl w:val="F7BC823E"/>
    <w:lvl w:ilvl="0" w:tplc="F2C64BB4">
      <w:start w:val="1"/>
      <w:numFmt w:val="bullet"/>
      <w:lvlText w:val=""/>
      <w:lvlJc w:val="left"/>
      <w:pPr>
        <w:ind w:left="720" w:hanging="360"/>
      </w:pPr>
      <w:rPr>
        <w:rFonts w:ascii="Symbol" w:hAnsi="Symbol" w:hint="default"/>
      </w:rPr>
    </w:lvl>
    <w:lvl w:ilvl="1" w:tplc="C41600AC" w:tentative="1">
      <w:start w:val="1"/>
      <w:numFmt w:val="bullet"/>
      <w:lvlText w:val="o"/>
      <w:lvlJc w:val="left"/>
      <w:pPr>
        <w:ind w:left="1440" w:hanging="360"/>
      </w:pPr>
      <w:rPr>
        <w:rFonts w:ascii="Courier New" w:hAnsi="Courier New" w:cs="Courier New" w:hint="default"/>
      </w:rPr>
    </w:lvl>
    <w:lvl w:ilvl="2" w:tplc="43F8CCBA" w:tentative="1">
      <w:start w:val="1"/>
      <w:numFmt w:val="bullet"/>
      <w:lvlText w:val=""/>
      <w:lvlJc w:val="left"/>
      <w:pPr>
        <w:ind w:left="2160" w:hanging="360"/>
      </w:pPr>
      <w:rPr>
        <w:rFonts w:ascii="Wingdings" w:hAnsi="Wingdings" w:hint="default"/>
      </w:rPr>
    </w:lvl>
    <w:lvl w:ilvl="3" w:tplc="A19E94DE" w:tentative="1">
      <w:start w:val="1"/>
      <w:numFmt w:val="bullet"/>
      <w:lvlText w:val=""/>
      <w:lvlJc w:val="left"/>
      <w:pPr>
        <w:ind w:left="2880" w:hanging="360"/>
      </w:pPr>
      <w:rPr>
        <w:rFonts w:ascii="Symbol" w:hAnsi="Symbol" w:hint="default"/>
      </w:rPr>
    </w:lvl>
    <w:lvl w:ilvl="4" w:tplc="96CEFF20" w:tentative="1">
      <w:start w:val="1"/>
      <w:numFmt w:val="bullet"/>
      <w:lvlText w:val="o"/>
      <w:lvlJc w:val="left"/>
      <w:pPr>
        <w:ind w:left="3600" w:hanging="360"/>
      </w:pPr>
      <w:rPr>
        <w:rFonts w:ascii="Courier New" w:hAnsi="Courier New" w:cs="Courier New" w:hint="default"/>
      </w:rPr>
    </w:lvl>
    <w:lvl w:ilvl="5" w:tplc="29E48BAA" w:tentative="1">
      <w:start w:val="1"/>
      <w:numFmt w:val="bullet"/>
      <w:lvlText w:val=""/>
      <w:lvlJc w:val="left"/>
      <w:pPr>
        <w:ind w:left="4320" w:hanging="360"/>
      </w:pPr>
      <w:rPr>
        <w:rFonts w:ascii="Wingdings" w:hAnsi="Wingdings" w:hint="default"/>
      </w:rPr>
    </w:lvl>
    <w:lvl w:ilvl="6" w:tplc="9E6AE7A2" w:tentative="1">
      <w:start w:val="1"/>
      <w:numFmt w:val="bullet"/>
      <w:lvlText w:val=""/>
      <w:lvlJc w:val="left"/>
      <w:pPr>
        <w:ind w:left="5040" w:hanging="360"/>
      </w:pPr>
      <w:rPr>
        <w:rFonts w:ascii="Symbol" w:hAnsi="Symbol" w:hint="default"/>
      </w:rPr>
    </w:lvl>
    <w:lvl w:ilvl="7" w:tplc="F8CC30B8" w:tentative="1">
      <w:start w:val="1"/>
      <w:numFmt w:val="bullet"/>
      <w:lvlText w:val="o"/>
      <w:lvlJc w:val="left"/>
      <w:pPr>
        <w:ind w:left="5760" w:hanging="360"/>
      </w:pPr>
      <w:rPr>
        <w:rFonts w:ascii="Courier New" w:hAnsi="Courier New" w:cs="Courier New" w:hint="default"/>
      </w:rPr>
    </w:lvl>
    <w:lvl w:ilvl="8" w:tplc="707493A0" w:tentative="1">
      <w:start w:val="1"/>
      <w:numFmt w:val="bullet"/>
      <w:lvlText w:val=""/>
      <w:lvlJc w:val="left"/>
      <w:pPr>
        <w:ind w:left="6480" w:hanging="360"/>
      </w:pPr>
      <w:rPr>
        <w:rFonts w:ascii="Wingdings" w:hAnsi="Wingdings" w:hint="default"/>
      </w:rPr>
    </w:lvl>
  </w:abstractNum>
  <w:abstractNum w:abstractNumId="143" w15:restartNumberingAfterBreak="0">
    <w:nsid w:val="5A1A6330"/>
    <w:multiLevelType w:val="hybridMultilevel"/>
    <w:tmpl w:val="C6148612"/>
    <w:lvl w:ilvl="0" w:tplc="F41C846E">
      <w:start w:val="1"/>
      <w:numFmt w:val="decimal"/>
      <w:lvlText w:val="%1."/>
      <w:lvlJc w:val="left"/>
      <w:pPr>
        <w:ind w:left="720" w:hanging="360"/>
      </w:pPr>
    </w:lvl>
    <w:lvl w:ilvl="1" w:tplc="198A25E6" w:tentative="1">
      <w:start w:val="1"/>
      <w:numFmt w:val="lowerLetter"/>
      <w:lvlText w:val="%2."/>
      <w:lvlJc w:val="left"/>
      <w:pPr>
        <w:ind w:left="1440" w:hanging="360"/>
      </w:pPr>
    </w:lvl>
    <w:lvl w:ilvl="2" w:tplc="2BCCAE52" w:tentative="1">
      <w:start w:val="1"/>
      <w:numFmt w:val="lowerRoman"/>
      <w:lvlText w:val="%3."/>
      <w:lvlJc w:val="right"/>
      <w:pPr>
        <w:ind w:left="2160" w:hanging="180"/>
      </w:pPr>
    </w:lvl>
    <w:lvl w:ilvl="3" w:tplc="0D4693DC" w:tentative="1">
      <w:start w:val="1"/>
      <w:numFmt w:val="decimal"/>
      <w:lvlText w:val="%4."/>
      <w:lvlJc w:val="left"/>
      <w:pPr>
        <w:ind w:left="2880" w:hanging="360"/>
      </w:pPr>
    </w:lvl>
    <w:lvl w:ilvl="4" w:tplc="05D61BE2">
      <w:start w:val="1"/>
      <w:numFmt w:val="lowerLetter"/>
      <w:lvlText w:val="%5."/>
      <w:lvlJc w:val="left"/>
      <w:pPr>
        <w:ind w:left="3600" w:hanging="360"/>
      </w:pPr>
    </w:lvl>
    <w:lvl w:ilvl="5" w:tplc="29F05DCE" w:tentative="1">
      <w:start w:val="1"/>
      <w:numFmt w:val="lowerRoman"/>
      <w:lvlText w:val="%6."/>
      <w:lvlJc w:val="right"/>
      <w:pPr>
        <w:ind w:left="4320" w:hanging="180"/>
      </w:pPr>
    </w:lvl>
    <w:lvl w:ilvl="6" w:tplc="44EA2744" w:tentative="1">
      <w:start w:val="1"/>
      <w:numFmt w:val="decimal"/>
      <w:lvlText w:val="%7."/>
      <w:lvlJc w:val="left"/>
      <w:pPr>
        <w:ind w:left="5040" w:hanging="360"/>
      </w:pPr>
    </w:lvl>
    <w:lvl w:ilvl="7" w:tplc="C3AEA010" w:tentative="1">
      <w:start w:val="1"/>
      <w:numFmt w:val="lowerLetter"/>
      <w:lvlText w:val="%8."/>
      <w:lvlJc w:val="left"/>
      <w:pPr>
        <w:ind w:left="5760" w:hanging="360"/>
      </w:pPr>
    </w:lvl>
    <w:lvl w:ilvl="8" w:tplc="1110ED1E" w:tentative="1">
      <w:start w:val="1"/>
      <w:numFmt w:val="lowerRoman"/>
      <w:lvlText w:val="%9."/>
      <w:lvlJc w:val="right"/>
      <w:pPr>
        <w:ind w:left="6480" w:hanging="180"/>
      </w:pPr>
    </w:lvl>
  </w:abstractNum>
  <w:abstractNum w:abstractNumId="144" w15:restartNumberingAfterBreak="0">
    <w:nsid w:val="5A2C12D8"/>
    <w:multiLevelType w:val="hybridMultilevel"/>
    <w:tmpl w:val="86B2FC70"/>
    <w:lvl w:ilvl="0" w:tplc="27CE803C">
      <w:start w:val="1"/>
      <w:numFmt w:val="bullet"/>
      <w:lvlText w:val=""/>
      <w:lvlJc w:val="left"/>
      <w:pPr>
        <w:ind w:left="720" w:hanging="360"/>
      </w:pPr>
      <w:rPr>
        <w:rFonts w:ascii="Symbol" w:hAnsi="Symbol" w:hint="default"/>
      </w:rPr>
    </w:lvl>
    <w:lvl w:ilvl="1" w:tplc="E766DE34" w:tentative="1">
      <w:start w:val="1"/>
      <w:numFmt w:val="bullet"/>
      <w:lvlText w:val="o"/>
      <w:lvlJc w:val="left"/>
      <w:pPr>
        <w:ind w:left="1440" w:hanging="360"/>
      </w:pPr>
      <w:rPr>
        <w:rFonts w:ascii="Courier New" w:hAnsi="Courier New" w:cs="Courier New" w:hint="default"/>
      </w:rPr>
    </w:lvl>
    <w:lvl w:ilvl="2" w:tplc="3626E298" w:tentative="1">
      <w:start w:val="1"/>
      <w:numFmt w:val="bullet"/>
      <w:lvlText w:val=""/>
      <w:lvlJc w:val="left"/>
      <w:pPr>
        <w:ind w:left="2160" w:hanging="360"/>
      </w:pPr>
      <w:rPr>
        <w:rFonts w:ascii="Wingdings" w:hAnsi="Wingdings" w:hint="default"/>
      </w:rPr>
    </w:lvl>
    <w:lvl w:ilvl="3" w:tplc="951E3B9C" w:tentative="1">
      <w:start w:val="1"/>
      <w:numFmt w:val="bullet"/>
      <w:lvlText w:val=""/>
      <w:lvlJc w:val="left"/>
      <w:pPr>
        <w:ind w:left="2880" w:hanging="360"/>
      </w:pPr>
      <w:rPr>
        <w:rFonts w:ascii="Symbol" w:hAnsi="Symbol" w:hint="default"/>
      </w:rPr>
    </w:lvl>
    <w:lvl w:ilvl="4" w:tplc="3D6E0676" w:tentative="1">
      <w:start w:val="1"/>
      <w:numFmt w:val="bullet"/>
      <w:lvlText w:val="o"/>
      <w:lvlJc w:val="left"/>
      <w:pPr>
        <w:ind w:left="3600" w:hanging="360"/>
      </w:pPr>
      <w:rPr>
        <w:rFonts w:ascii="Courier New" w:hAnsi="Courier New" w:cs="Courier New" w:hint="default"/>
      </w:rPr>
    </w:lvl>
    <w:lvl w:ilvl="5" w:tplc="4E1CEE7A" w:tentative="1">
      <w:start w:val="1"/>
      <w:numFmt w:val="bullet"/>
      <w:lvlText w:val=""/>
      <w:lvlJc w:val="left"/>
      <w:pPr>
        <w:ind w:left="4320" w:hanging="360"/>
      </w:pPr>
      <w:rPr>
        <w:rFonts w:ascii="Wingdings" w:hAnsi="Wingdings" w:hint="default"/>
      </w:rPr>
    </w:lvl>
    <w:lvl w:ilvl="6" w:tplc="709EBB38" w:tentative="1">
      <w:start w:val="1"/>
      <w:numFmt w:val="bullet"/>
      <w:lvlText w:val=""/>
      <w:lvlJc w:val="left"/>
      <w:pPr>
        <w:ind w:left="5040" w:hanging="360"/>
      </w:pPr>
      <w:rPr>
        <w:rFonts w:ascii="Symbol" w:hAnsi="Symbol" w:hint="default"/>
      </w:rPr>
    </w:lvl>
    <w:lvl w:ilvl="7" w:tplc="C882A4D0" w:tentative="1">
      <w:start w:val="1"/>
      <w:numFmt w:val="bullet"/>
      <w:lvlText w:val="o"/>
      <w:lvlJc w:val="left"/>
      <w:pPr>
        <w:ind w:left="5760" w:hanging="360"/>
      </w:pPr>
      <w:rPr>
        <w:rFonts w:ascii="Courier New" w:hAnsi="Courier New" w:cs="Courier New" w:hint="default"/>
      </w:rPr>
    </w:lvl>
    <w:lvl w:ilvl="8" w:tplc="46A46F42" w:tentative="1">
      <w:start w:val="1"/>
      <w:numFmt w:val="bullet"/>
      <w:lvlText w:val=""/>
      <w:lvlJc w:val="left"/>
      <w:pPr>
        <w:ind w:left="6480" w:hanging="360"/>
      </w:pPr>
      <w:rPr>
        <w:rFonts w:ascii="Wingdings" w:hAnsi="Wingdings" w:hint="default"/>
      </w:rPr>
    </w:lvl>
  </w:abstractNum>
  <w:abstractNum w:abstractNumId="145" w15:restartNumberingAfterBreak="0">
    <w:nsid w:val="5A7F026D"/>
    <w:multiLevelType w:val="multilevel"/>
    <w:tmpl w:val="1AF220B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B465F8D"/>
    <w:multiLevelType w:val="hybridMultilevel"/>
    <w:tmpl w:val="CFFC7104"/>
    <w:lvl w:ilvl="0" w:tplc="A4DE7FDC">
      <w:start w:val="1"/>
      <w:numFmt w:val="bullet"/>
      <w:lvlText w:val=""/>
      <w:lvlJc w:val="left"/>
      <w:pPr>
        <w:ind w:left="720" w:hanging="360"/>
      </w:pPr>
      <w:rPr>
        <w:rFonts w:ascii="Symbol" w:hAnsi="Symbol" w:hint="default"/>
      </w:rPr>
    </w:lvl>
    <w:lvl w:ilvl="1" w:tplc="B9021C96" w:tentative="1">
      <w:start w:val="1"/>
      <w:numFmt w:val="bullet"/>
      <w:lvlText w:val="o"/>
      <w:lvlJc w:val="left"/>
      <w:pPr>
        <w:ind w:left="1440" w:hanging="360"/>
      </w:pPr>
      <w:rPr>
        <w:rFonts w:ascii="Courier New" w:hAnsi="Courier New" w:cs="Courier New" w:hint="default"/>
      </w:rPr>
    </w:lvl>
    <w:lvl w:ilvl="2" w:tplc="2748533C" w:tentative="1">
      <w:start w:val="1"/>
      <w:numFmt w:val="bullet"/>
      <w:lvlText w:val=""/>
      <w:lvlJc w:val="left"/>
      <w:pPr>
        <w:ind w:left="2160" w:hanging="360"/>
      </w:pPr>
      <w:rPr>
        <w:rFonts w:ascii="Wingdings" w:hAnsi="Wingdings" w:hint="default"/>
      </w:rPr>
    </w:lvl>
    <w:lvl w:ilvl="3" w:tplc="86E0D1F4" w:tentative="1">
      <w:start w:val="1"/>
      <w:numFmt w:val="bullet"/>
      <w:lvlText w:val=""/>
      <w:lvlJc w:val="left"/>
      <w:pPr>
        <w:ind w:left="2880" w:hanging="360"/>
      </w:pPr>
      <w:rPr>
        <w:rFonts w:ascii="Symbol" w:hAnsi="Symbol" w:hint="default"/>
      </w:rPr>
    </w:lvl>
    <w:lvl w:ilvl="4" w:tplc="02C0DA96" w:tentative="1">
      <w:start w:val="1"/>
      <w:numFmt w:val="bullet"/>
      <w:lvlText w:val="o"/>
      <w:lvlJc w:val="left"/>
      <w:pPr>
        <w:ind w:left="3600" w:hanging="360"/>
      </w:pPr>
      <w:rPr>
        <w:rFonts w:ascii="Courier New" w:hAnsi="Courier New" w:cs="Courier New" w:hint="default"/>
      </w:rPr>
    </w:lvl>
    <w:lvl w:ilvl="5" w:tplc="62C483A8" w:tentative="1">
      <w:start w:val="1"/>
      <w:numFmt w:val="bullet"/>
      <w:lvlText w:val=""/>
      <w:lvlJc w:val="left"/>
      <w:pPr>
        <w:ind w:left="4320" w:hanging="360"/>
      </w:pPr>
      <w:rPr>
        <w:rFonts w:ascii="Wingdings" w:hAnsi="Wingdings" w:hint="default"/>
      </w:rPr>
    </w:lvl>
    <w:lvl w:ilvl="6" w:tplc="3050BBE8" w:tentative="1">
      <w:start w:val="1"/>
      <w:numFmt w:val="bullet"/>
      <w:lvlText w:val=""/>
      <w:lvlJc w:val="left"/>
      <w:pPr>
        <w:ind w:left="5040" w:hanging="360"/>
      </w:pPr>
      <w:rPr>
        <w:rFonts w:ascii="Symbol" w:hAnsi="Symbol" w:hint="default"/>
      </w:rPr>
    </w:lvl>
    <w:lvl w:ilvl="7" w:tplc="5510D9FE" w:tentative="1">
      <w:start w:val="1"/>
      <w:numFmt w:val="bullet"/>
      <w:lvlText w:val="o"/>
      <w:lvlJc w:val="left"/>
      <w:pPr>
        <w:ind w:left="5760" w:hanging="360"/>
      </w:pPr>
      <w:rPr>
        <w:rFonts w:ascii="Courier New" w:hAnsi="Courier New" w:cs="Courier New" w:hint="default"/>
      </w:rPr>
    </w:lvl>
    <w:lvl w:ilvl="8" w:tplc="68203372" w:tentative="1">
      <w:start w:val="1"/>
      <w:numFmt w:val="bullet"/>
      <w:lvlText w:val=""/>
      <w:lvlJc w:val="left"/>
      <w:pPr>
        <w:ind w:left="6480" w:hanging="360"/>
      </w:pPr>
      <w:rPr>
        <w:rFonts w:ascii="Wingdings" w:hAnsi="Wingdings" w:hint="default"/>
      </w:rPr>
    </w:lvl>
  </w:abstractNum>
  <w:abstractNum w:abstractNumId="147" w15:restartNumberingAfterBreak="0">
    <w:nsid w:val="5C405171"/>
    <w:multiLevelType w:val="multilevel"/>
    <w:tmpl w:val="B58C49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mbria" w:eastAsiaTheme="majorEastAsia" w:hAnsi="Cambria" w:cs="Times New Roman" w:hint="default"/>
        <w:b w:val="0"/>
        <w:bCs/>
        <w:i w:val="0"/>
        <w:iCs/>
        <w:color w:val="000000" w:themeColor="text1"/>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D1C4F2E"/>
    <w:multiLevelType w:val="hybridMultilevel"/>
    <w:tmpl w:val="DB14389C"/>
    <w:lvl w:ilvl="0" w:tplc="55FE8882">
      <w:start w:val="1"/>
      <w:numFmt w:val="lowerRoman"/>
      <w:lvlText w:val="%1."/>
      <w:lvlJc w:val="right"/>
      <w:pPr>
        <w:ind w:left="1080" w:hanging="360"/>
      </w:pPr>
    </w:lvl>
    <w:lvl w:ilvl="1" w:tplc="57689A04">
      <w:start w:val="1"/>
      <w:numFmt w:val="lowerLetter"/>
      <w:lvlText w:val="%2."/>
      <w:lvlJc w:val="left"/>
      <w:pPr>
        <w:ind w:left="1800" w:hanging="360"/>
      </w:pPr>
    </w:lvl>
    <w:lvl w:ilvl="2" w:tplc="1450A618">
      <w:start w:val="1"/>
      <w:numFmt w:val="decimal"/>
      <w:lvlText w:val="%3."/>
      <w:lvlJc w:val="left"/>
      <w:pPr>
        <w:ind w:left="1440" w:hanging="360"/>
      </w:pPr>
    </w:lvl>
    <w:lvl w:ilvl="3" w:tplc="79EE0C5E" w:tentative="1">
      <w:start w:val="1"/>
      <w:numFmt w:val="decimal"/>
      <w:lvlText w:val="%4."/>
      <w:lvlJc w:val="left"/>
      <w:pPr>
        <w:ind w:left="3240" w:hanging="360"/>
      </w:pPr>
    </w:lvl>
    <w:lvl w:ilvl="4" w:tplc="E8E6597E" w:tentative="1">
      <w:start w:val="1"/>
      <w:numFmt w:val="lowerLetter"/>
      <w:lvlText w:val="%5."/>
      <w:lvlJc w:val="left"/>
      <w:pPr>
        <w:ind w:left="3960" w:hanging="360"/>
      </w:pPr>
    </w:lvl>
    <w:lvl w:ilvl="5" w:tplc="8A14B458" w:tentative="1">
      <w:start w:val="1"/>
      <w:numFmt w:val="lowerRoman"/>
      <w:lvlText w:val="%6."/>
      <w:lvlJc w:val="right"/>
      <w:pPr>
        <w:ind w:left="4680" w:hanging="180"/>
      </w:pPr>
    </w:lvl>
    <w:lvl w:ilvl="6" w:tplc="16D8C78A" w:tentative="1">
      <w:start w:val="1"/>
      <w:numFmt w:val="decimal"/>
      <w:lvlText w:val="%7."/>
      <w:lvlJc w:val="left"/>
      <w:pPr>
        <w:ind w:left="5400" w:hanging="360"/>
      </w:pPr>
    </w:lvl>
    <w:lvl w:ilvl="7" w:tplc="80F49F0E" w:tentative="1">
      <w:start w:val="1"/>
      <w:numFmt w:val="lowerLetter"/>
      <w:lvlText w:val="%8."/>
      <w:lvlJc w:val="left"/>
      <w:pPr>
        <w:ind w:left="6120" w:hanging="360"/>
      </w:pPr>
    </w:lvl>
    <w:lvl w:ilvl="8" w:tplc="8296289A" w:tentative="1">
      <w:start w:val="1"/>
      <w:numFmt w:val="lowerRoman"/>
      <w:lvlText w:val="%9."/>
      <w:lvlJc w:val="right"/>
      <w:pPr>
        <w:ind w:left="6840" w:hanging="180"/>
      </w:pPr>
    </w:lvl>
  </w:abstractNum>
  <w:abstractNum w:abstractNumId="149" w15:restartNumberingAfterBreak="0">
    <w:nsid w:val="5D1F40A5"/>
    <w:multiLevelType w:val="hybridMultilevel"/>
    <w:tmpl w:val="8DB4AD38"/>
    <w:lvl w:ilvl="0" w:tplc="0DDAB26C">
      <w:start w:val="1"/>
      <w:numFmt w:val="bullet"/>
      <w:lvlText w:val=""/>
      <w:lvlJc w:val="left"/>
      <w:pPr>
        <w:ind w:left="720" w:hanging="360"/>
      </w:pPr>
      <w:rPr>
        <w:rFonts w:ascii="Symbol" w:hAnsi="Symbol" w:hint="default"/>
      </w:rPr>
    </w:lvl>
    <w:lvl w:ilvl="1" w:tplc="87EABDA4" w:tentative="1">
      <w:start w:val="1"/>
      <w:numFmt w:val="bullet"/>
      <w:lvlText w:val="o"/>
      <w:lvlJc w:val="left"/>
      <w:pPr>
        <w:ind w:left="1440" w:hanging="360"/>
      </w:pPr>
      <w:rPr>
        <w:rFonts w:ascii="Courier New" w:hAnsi="Courier New" w:cs="Courier New" w:hint="default"/>
      </w:rPr>
    </w:lvl>
    <w:lvl w:ilvl="2" w:tplc="F3B86EBA" w:tentative="1">
      <w:start w:val="1"/>
      <w:numFmt w:val="bullet"/>
      <w:lvlText w:val=""/>
      <w:lvlJc w:val="left"/>
      <w:pPr>
        <w:ind w:left="2160" w:hanging="360"/>
      </w:pPr>
      <w:rPr>
        <w:rFonts w:ascii="Wingdings" w:hAnsi="Wingdings" w:hint="default"/>
      </w:rPr>
    </w:lvl>
    <w:lvl w:ilvl="3" w:tplc="2F6CBE06" w:tentative="1">
      <w:start w:val="1"/>
      <w:numFmt w:val="bullet"/>
      <w:lvlText w:val=""/>
      <w:lvlJc w:val="left"/>
      <w:pPr>
        <w:ind w:left="2880" w:hanging="360"/>
      </w:pPr>
      <w:rPr>
        <w:rFonts w:ascii="Symbol" w:hAnsi="Symbol" w:hint="default"/>
      </w:rPr>
    </w:lvl>
    <w:lvl w:ilvl="4" w:tplc="669A9728" w:tentative="1">
      <w:start w:val="1"/>
      <w:numFmt w:val="bullet"/>
      <w:lvlText w:val="o"/>
      <w:lvlJc w:val="left"/>
      <w:pPr>
        <w:ind w:left="3600" w:hanging="360"/>
      </w:pPr>
      <w:rPr>
        <w:rFonts w:ascii="Courier New" w:hAnsi="Courier New" w:cs="Courier New" w:hint="default"/>
      </w:rPr>
    </w:lvl>
    <w:lvl w:ilvl="5" w:tplc="651AF0FA" w:tentative="1">
      <w:start w:val="1"/>
      <w:numFmt w:val="bullet"/>
      <w:lvlText w:val=""/>
      <w:lvlJc w:val="left"/>
      <w:pPr>
        <w:ind w:left="4320" w:hanging="360"/>
      </w:pPr>
      <w:rPr>
        <w:rFonts w:ascii="Wingdings" w:hAnsi="Wingdings" w:hint="default"/>
      </w:rPr>
    </w:lvl>
    <w:lvl w:ilvl="6" w:tplc="6F06C65A" w:tentative="1">
      <w:start w:val="1"/>
      <w:numFmt w:val="bullet"/>
      <w:lvlText w:val=""/>
      <w:lvlJc w:val="left"/>
      <w:pPr>
        <w:ind w:left="5040" w:hanging="360"/>
      </w:pPr>
      <w:rPr>
        <w:rFonts w:ascii="Symbol" w:hAnsi="Symbol" w:hint="default"/>
      </w:rPr>
    </w:lvl>
    <w:lvl w:ilvl="7" w:tplc="F292654A" w:tentative="1">
      <w:start w:val="1"/>
      <w:numFmt w:val="bullet"/>
      <w:lvlText w:val="o"/>
      <w:lvlJc w:val="left"/>
      <w:pPr>
        <w:ind w:left="5760" w:hanging="360"/>
      </w:pPr>
      <w:rPr>
        <w:rFonts w:ascii="Courier New" w:hAnsi="Courier New" w:cs="Courier New" w:hint="default"/>
      </w:rPr>
    </w:lvl>
    <w:lvl w:ilvl="8" w:tplc="36E8AF4A" w:tentative="1">
      <w:start w:val="1"/>
      <w:numFmt w:val="bullet"/>
      <w:lvlText w:val=""/>
      <w:lvlJc w:val="left"/>
      <w:pPr>
        <w:ind w:left="6480" w:hanging="360"/>
      </w:pPr>
      <w:rPr>
        <w:rFonts w:ascii="Wingdings" w:hAnsi="Wingdings" w:hint="default"/>
      </w:rPr>
    </w:lvl>
  </w:abstractNum>
  <w:abstractNum w:abstractNumId="150" w15:restartNumberingAfterBreak="0">
    <w:nsid w:val="5D537304"/>
    <w:multiLevelType w:val="multilevel"/>
    <w:tmpl w:val="5C48D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5D8C7CBA"/>
    <w:multiLevelType w:val="multilevel"/>
    <w:tmpl w:val="7FFEC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5D931801"/>
    <w:multiLevelType w:val="multilevel"/>
    <w:tmpl w:val="0FB28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5D9C60D2"/>
    <w:multiLevelType w:val="hybridMultilevel"/>
    <w:tmpl w:val="661A6F84"/>
    <w:lvl w:ilvl="0" w:tplc="1D9AE48E">
      <w:start w:val="1"/>
      <w:numFmt w:val="bullet"/>
      <w:lvlText w:val=""/>
      <w:lvlJc w:val="left"/>
      <w:pPr>
        <w:ind w:left="720" w:hanging="360"/>
      </w:pPr>
      <w:rPr>
        <w:rFonts w:ascii="Symbol" w:hAnsi="Symbol" w:hint="default"/>
      </w:rPr>
    </w:lvl>
    <w:lvl w:ilvl="1" w:tplc="C2A4B616" w:tentative="1">
      <w:start w:val="1"/>
      <w:numFmt w:val="bullet"/>
      <w:lvlText w:val="o"/>
      <w:lvlJc w:val="left"/>
      <w:pPr>
        <w:ind w:left="1440" w:hanging="360"/>
      </w:pPr>
      <w:rPr>
        <w:rFonts w:ascii="Courier New" w:hAnsi="Courier New" w:cs="Courier New" w:hint="default"/>
      </w:rPr>
    </w:lvl>
    <w:lvl w:ilvl="2" w:tplc="F46A1BC8" w:tentative="1">
      <w:start w:val="1"/>
      <w:numFmt w:val="bullet"/>
      <w:lvlText w:val=""/>
      <w:lvlJc w:val="left"/>
      <w:pPr>
        <w:ind w:left="2160" w:hanging="360"/>
      </w:pPr>
      <w:rPr>
        <w:rFonts w:ascii="Wingdings" w:hAnsi="Wingdings" w:hint="default"/>
      </w:rPr>
    </w:lvl>
    <w:lvl w:ilvl="3" w:tplc="1EB43F76" w:tentative="1">
      <w:start w:val="1"/>
      <w:numFmt w:val="bullet"/>
      <w:lvlText w:val=""/>
      <w:lvlJc w:val="left"/>
      <w:pPr>
        <w:ind w:left="2880" w:hanging="360"/>
      </w:pPr>
      <w:rPr>
        <w:rFonts w:ascii="Symbol" w:hAnsi="Symbol" w:hint="default"/>
      </w:rPr>
    </w:lvl>
    <w:lvl w:ilvl="4" w:tplc="E660ADC2" w:tentative="1">
      <w:start w:val="1"/>
      <w:numFmt w:val="bullet"/>
      <w:lvlText w:val="o"/>
      <w:lvlJc w:val="left"/>
      <w:pPr>
        <w:ind w:left="3600" w:hanging="360"/>
      </w:pPr>
      <w:rPr>
        <w:rFonts w:ascii="Courier New" w:hAnsi="Courier New" w:cs="Courier New" w:hint="default"/>
      </w:rPr>
    </w:lvl>
    <w:lvl w:ilvl="5" w:tplc="6ED66E1E" w:tentative="1">
      <w:start w:val="1"/>
      <w:numFmt w:val="bullet"/>
      <w:lvlText w:val=""/>
      <w:lvlJc w:val="left"/>
      <w:pPr>
        <w:ind w:left="4320" w:hanging="360"/>
      </w:pPr>
      <w:rPr>
        <w:rFonts w:ascii="Wingdings" w:hAnsi="Wingdings" w:hint="default"/>
      </w:rPr>
    </w:lvl>
    <w:lvl w:ilvl="6" w:tplc="DD9093EE" w:tentative="1">
      <w:start w:val="1"/>
      <w:numFmt w:val="bullet"/>
      <w:lvlText w:val=""/>
      <w:lvlJc w:val="left"/>
      <w:pPr>
        <w:ind w:left="5040" w:hanging="360"/>
      </w:pPr>
      <w:rPr>
        <w:rFonts w:ascii="Symbol" w:hAnsi="Symbol" w:hint="default"/>
      </w:rPr>
    </w:lvl>
    <w:lvl w:ilvl="7" w:tplc="AD984EBC" w:tentative="1">
      <w:start w:val="1"/>
      <w:numFmt w:val="bullet"/>
      <w:lvlText w:val="o"/>
      <w:lvlJc w:val="left"/>
      <w:pPr>
        <w:ind w:left="5760" w:hanging="360"/>
      </w:pPr>
      <w:rPr>
        <w:rFonts w:ascii="Courier New" w:hAnsi="Courier New" w:cs="Courier New" w:hint="default"/>
      </w:rPr>
    </w:lvl>
    <w:lvl w:ilvl="8" w:tplc="D77A216E" w:tentative="1">
      <w:start w:val="1"/>
      <w:numFmt w:val="bullet"/>
      <w:lvlText w:val=""/>
      <w:lvlJc w:val="left"/>
      <w:pPr>
        <w:ind w:left="6480" w:hanging="360"/>
      </w:pPr>
      <w:rPr>
        <w:rFonts w:ascii="Wingdings" w:hAnsi="Wingdings" w:hint="default"/>
      </w:rPr>
    </w:lvl>
  </w:abstractNum>
  <w:abstractNum w:abstractNumId="154" w15:restartNumberingAfterBreak="0">
    <w:nsid w:val="5DB37929"/>
    <w:multiLevelType w:val="hybridMultilevel"/>
    <w:tmpl w:val="F53ECEEC"/>
    <w:lvl w:ilvl="0" w:tplc="C43CEA52">
      <w:start w:val="1"/>
      <w:numFmt w:val="decimal"/>
      <w:lvlText w:val="%1."/>
      <w:lvlJc w:val="left"/>
      <w:pPr>
        <w:ind w:left="720" w:hanging="360"/>
      </w:pPr>
      <w:rPr>
        <w:rFonts w:hint="default"/>
      </w:rPr>
    </w:lvl>
    <w:lvl w:ilvl="1" w:tplc="F8FA4E7A" w:tentative="1">
      <w:start w:val="1"/>
      <w:numFmt w:val="lowerLetter"/>
      <w:lvlText w:val="%2."/>
      <w:lvlJc w:val="left"/>
      <w:pPr>
        <w:ind w:left="1440" w:hanging="360"/>
      </w:pPr>
    </w:lvl>
    <w:lvl w:ilvl="2" w:tplc="1B2A83EC" w:tentative="1">
      <w:start w:val="1"/>
      <w:numFmt w:val="lowerRoman"/>
      <w:lvlText w:val="%3."/>
      <w:lvlJc w:val="right"/>
      <w:pPr>
        <w:ind w:left="2160" w:hanging="180"/>
      </w:pPr>
    </w:lvl>
    <w:lvl w:ilvl="3" w:tplc="8FBCAD8A" w:tentative="1">
      <w:start w:val="1"/>
      <w:numFmt w:val="decimal"/>
      <w:lvlText w:val="%4."/>
      <w:lvlJc w:val="left"/>
      <w:pPr>
        <w:ind w:left="2880" w:hanging="360"/>
      </w:pPr>
    </w:lvl>
    <w:lvl w:ilvl="4" w:tplc="02526098" w:tentative="1">
      <w:start w:val="1"/>
      <w:numFmt w:val="lowerLetter"/>
      <w:lvlText w:val="%5."/>
      <w:lvlJc w:val="left"/>
      <w:pPr>
        <w:ind w:left="3600" w:hanging="360"/>
      </w:pPr>
    </w:lvl>
    <w:lvl w:ilvl="5" w:tplc="2B3ADEBC" w:tentative="1">
      <w:start w:val="1"/>
      <w:numFmt w:val="lowerRoman"/>
      <w:lvlText w:val="%6."/>
      <w:lvlJc w:val="right"/>
      <w:pPr>
        <w:ind w:left="4320" w:hanging="180"/>
      </w:pPr>
    </w:lvl>
    <w:lvl w:ilvl="6" w:tplc="5832EF2E" w:tentative="1">
      <w:start w:val="1"/>
      <w:numFmt w:val="decimal"/>
      <w:lvlText w:val="%7."/>
      <w:lvlJc w:val="left"/>
      <w:pPr>
        <w:ind w:left="5040" w:hanging="360"/>
      </w:pPr>
    </w:lvl>
    <w:lvl w:ilvl="7" w:tplc="68E237D4" w:tentative="1">
      <w:start w:val="1"/>
      <w:numFmt w:val="lowerLetter"/>
      <w:lvlText w:val="%8."/>
      <w:lvlJc w:val="left"/>
      <w:pPr>
        <w:ind w:left="5760" w:hanging="360"/>
      </w:pPr>
    </w:lvl>
    <w:lvl w:ilvl="8" w:tplc="48703CE0" w:tentative="1">
      <w:start w:val="1"/>
      <w:numFmt w:val="lowerRoman"/>
      <w:lvlText w:val="%9."/>
      <w:lvlJc w:val="right"/>
      <w:pPr>
        <w:ind w:left="6480" w:hanging="180"/>
      </w:pPr>
    </w:lvl>
  </w:abstractNum>
  <w:abstractNum w:abstractNumId="155" w15:restartNumberingAfterBreak="0">
    <w:nsid w:val="5E33073D"/>
    <w:multiLevelType w:val="hybridMultilevel"/>
    <w:tmpl w:val="C270D300"/>
    <w:lvl w:ilvl="0" w:tplc="B41AF41C">
      <w:start w:val="1"/>
      <w:numFmt w:val="decimal"/>
      <w:lvlText w:val="%1."/>
      <w:lvlJc w:val="left"/>
      <w:pPr>
        <w:ind w:left="720" w:hanging="360"/>
      </w:pPr>
    </w:lvl>
    <w:lvl w:ilvl="1" w:tplc="873A51D2" w:tentative="1">
      <w:start w:val="1"/>
      <w:numFmt w:val="lowerLetter"/>
      <w:lvlText w:val="%2."/>
      <w:lvlJc w:val="left"/>
      <w:pPr>
        <w:ind w:left="1440" w:hanging="360"/>
      </w:pPr>
    </w:lvl>
    <w:lvl w:ilvl="2" w:tplc="4B186844" w:tentative="1">
      <w:start w:val="1"/>
      <w:numFmt w:val="lowerRoman"/>
      <w:lvlText w:val="%3."/>
      <w:lvlJc w:val="right"/>
      <w:pPr>
        <w:ind w:left="2160" w:hanging="180"/>
      </w:pPr>
    </w:lvl>
    <w:lvl w:ilvl="3" w:tplc="90ACB158" w:tentative="1">
      <w:start w:val="1"/>
      <w:numFmt w:val="decimal"/>
      <w:lvlText w:val="%4."/>
      <w:lvlJc w:val="left"/>
      <w:pPr>
        <w:ind w:left="2880" w:hanging="360"/>
      </w:pPr>
    </w:lvl>
    <w:lvl w:ilvl="4" w:tplc="0D6EB186" w:tentative="1">
      <w:start w:val="1"/>
      <w:numFmt w:val="lowerLetter"/>
      <w:lvlText w:val="%5."/>
      <w:lvlJc w:val="left"/>
      <w:pPr>
        <w:ind w:left="3600" w:hanging="360"/>
      </w:pPr>
    </w:lvl>
    <w:lvl w:ilvl="5" w:tplc="FACE776C" w:tentative="1">
      <w:start w:val="1"/>
      <w:numFmt w:val="lowerRoman"/>
      <w:lvlText w:val="%6."/>
      <w:lvlJc w:val="right"/>
      <w:pPr>
        <w:ind w:left="4320" w:hanging="180"/>
      </w:pPr>
    </w:lvl>
    <w:lvl w:ilvl="6" w:tplc="FFFC2EB8" w:tentative="1">
      <w:start w:val="1"/>
      <w:numFmt w:val="decimal"/>
      <w:lvlText w:val="%7."/>
      <w:lvlJc w:val="left"/>
      <w:pPr>
        <w:ind w:left="5040" w:hanging="360"/>
      </w:pPr>
    </w:lvl>
    <w:lvl w:ilvl="7" w:tplc="A2B6A2E2" w:tentative="1">
      <w:start w:val="1"/>
      <w:numFmt w:val="lowerLetter"/>
      <w:lvlText w:val="%8."/>
      <w:lvlJc w:val="left"/>
      <w:pPr>
        <w:ind w:left="5760" w:hanging="360"/>
      </w:pPr>
    </w:lvl>
    <w:lvl w:ilvl="8" w:tplc="50869AC2" w:tentative="1">
      <w:start w:val="1"/>
      <w:numFmt w:val="lowerRoman"/>
      <w:lvlText w:val="%9."/>
      <w:lvlJc w:val="right"/>
      <w:pPr>
        <w:ind w:left="6480" w:hanging="180"/>
      </w:pPr>
    </w:lvl>
  </w:abstractNum>
  <w:abstractNum w:abstractNumId="156" w15:restartNumberingAfterBreak="0">
    <w:nsid w:val="5E5111F5"/>
    <w:multiLevelType w:val="hybridMultilevel"/>
    <w:tmpl w:val="27506B64"/>
    <w:lvl w:ilvl="0" w:tplc="427299FC">
      <w:start w:val="1"/>
      <w:numFmt w:val="bullet"/>
      <w:lvlText w:val=""/>
      <w:lvlJc w:val="left"/>
      <w:pPr>
        <w:ind w:left="720" w:hanging="360"/>
      </w:pPr>
      <w:rPr>
        <w:rFonts w:ascii="Symbol" w:hAnsi="Symbol" w:hint="default"/>
      </w:rPr>
    </w:lvl>
    <w:lvl w:ilvl="1" w:tplc="D27438A2" w:tentative="1">
      <w:start w:val="1"/>
      <w:numFmt w:val="bullet"/>
      <w:lvlText w:val="o"/>
      <w:lvlJc w:val="left"/>
      <w:pPr>
        <w:ind w:left="1440" w:hanging="360"/>
      </w:pPr>
      <w:rPr>
        <w:rFonts w:ascii="Courier New" w:hAnsi="Courier New" w:cs="Courier New" w:hint="default"/>
      </w:rPr>
    </w:lvl>
    <w:lvl w:ilvl="2" w:tplc="188CFEE6" w:tentative="1">
      <w:start w:val="1"/>
      <w:numFmt w:val="bullet"/>
      <w:lvlText w:val=""/>
      <w:lvlJc w:val="left"/>
      <w:pPr>
        <w:ind w:left="2160" w:hanging="360"/>
      </w:pPr>
      <w:rPr>
        <w:rFonts w:ascii="Wingdings" w:hAnsi="Wingdings" w:hint="default"/>
      </w:rPr>
    </w:lvl>
    <w:lvl w:ilvl="3" w:tplc="74C0754E" w:tentative="1">
      <w:start w:val="1"/>
      <w:numFmt w:val="bullet"/>
      <w:lvlText w:val=""/>
      <w:lvlJc w:val="left"/>
      <w:pPr>
        <w:ind w:left="2880" w:hanging="360"/>
      </w:pPr>
      <w:rPr>
        <w:rFonts w:ascii="Symbol" w:hAnsi="Symbol" w:hint="default"/>
      </w:rPr>
    </w:lvl>
    <w:lvl w:ilvl="4" w:tplc="B1CED53E" w:tentative="1">
      <w:start w:val="1"/>
      <w:numFmt w:val="bullet"/>
      <w:lvlText w:val="o"/>
      <w:lvlJc w:val="left"/>
      <w:pPr>
        <w:ind w:left="3600" w:hanging="360"/>
      </w:pPr>
      <w:rPr>
        <w:rFonts w:ascii="Courier New" w:hAnsi="Courier New" w:cs="Courier New" w:hint="default"/>
      </w:rPr>
    </w:lvl>
    <w:lvl w:ilvl="5" w:tplc="4C9C5876" w:tentative="1">
      <w:start w:val="1"/>
      <w:numFmt w:val="bullet"/>
      <w:lvlText w:val=""/>
      <w:lvlJc w:val="left"/>
      <w:pPr>
        <w:ind w:left="4320" w:hanging="360"/>
      </w:pPr>
      <w:rPr>
        <w:rFonts w:ascii="Wingdings" w:hAnsi="Wingdings" w:hint="default"/>
      </w:rPr>
    </w:lvl>
    <w:lvl w:ilvl="6" w:tplc="1EF4F3DA" w:tentative="1">
      <w:start w:val="1"/>
      <w:numFmt w:val="bullet"/>
      <w:lvlText w:val=""/>
      <w:lvlJc w:val="left"/>
      <w:pPr>
        <w:ind w:left="5040" w:hanging="360"/>
      </w:pPr>
      <w:rPr>
        <w:rFonts w:ascii="Symbol" w:hAnsi="Symbol" w:hint="default"/>
      </w:rPr>
    </w:lvl>
    <w:lvl w:ilvl="7" w:tplc="B8A64344" w:tentative="1">
      <w:start w:val="1"/>
      <w:numFmt w:val="bullet"/>
      <w:lvlText w:val="o"/>
      <w:lvlJc w:val="left"/>
      <w:pPr>
        <w:ind w:left="5760" w:hanging="360"/>
      </w:pPr>
      <w:rPr>
        <w:rFonts w:ascii="Courier New" w:hAnsi="Courier New" w:cs="Courier New" w:hint="default"/>
      </w:rPr>
    </w:lvl>
    <w:lvl w:ilvl="8" w:tplc="000AF7D6" w:tentative="1">
      <w:start w:val="1"/>
      <w:numFmt w:val="bullet"/>
      <w:lvlText w:val=""/>
      <w:lvlJc w:val="left"/>
      <w:pPr>
        <w:ind w:left="6480" w:hanging="360"/>
      </w:pPr>
      <w:rPr>
        <w:rFonts w:ascii="Wingdings" w:hAnsi="Wingdings" w:hint="default"/>
      </w:rPr>
    </w:lvl>
  </w:abstractNum>
  <w:abstractNum w:abstractNumId="157" w15:restartNumberingAfterBreak="0">
    <w:nsid w:val="5F883733"/>
    <w:multiLevelType w:val="hybridMultilevel"/>
    <w:tmpl w:val="95BE0D2E"/>
    <w:lvl w:ilvl="0" w:tplc="1370F086">
      <w:start w:val="1"/>
      <w:numFmt w:val="bullet"/>
      <w:lvlText w:val=""/>
      <w:lvlJc w:val="left"/>
      <w:pPr>
        <w:ind w:left="720" w:hanging="360"/>
      </w:pPr>
      <w:rPr>
        <w:rFonts w:ascii="Symbol" w:hAnsi="Symbol" w:hint="default"/>
        <w:sz w:val="22"/>
        <w:szCs w:val="22"/>
      </w:rPr>
    </w:lvl>
    <w:lvl w:ilvl="1" w:tplc="E496CEA0" w:tentative="1">
      <w:start w:val="1"/>
      <w:numFmt w:val="bullet"/>
      <w:lvlText w:val="o"/>
      <w:lvlJc w:val="left"/>
      <w:pPr>
        <w:ind w:left="1440" w:hanging="360"/>
      </w:pPr>
      <w:rPr>
        <w:rFonts w:ascii="Courier New" w:hAnsi="Courier New" w:cs="Courier New" w:hint="default"/>
      </w:rPr>
    </w:lvl>
    <w:lvl w:ilvl="2" w:tplc="862CD864" w:tentative="1">
      <w:start w:val="1"/>
      <w:numFmt w:val="bullet"/>
      <w:lvlText w:val=""/>
      <w:lvlJc w:val="left"/>
      <w:pPr>
        <w:ind w:left="2160" w:hanging="360"/>
      </w:pPr>
      <w:rPr>
        <w:rFonts w:ascii="Wingdings" w:hAnsi="Wingdings" w:hint="default"/>
      </w:rPr>
    </w:lvl>
    <w:lvl w:ilvl="3" w:tplc="16AE7A8E" w:tentative="1">
      <w:start w:val="1"/>
      <w:numFmt w:val="bullet"/>
      <w:lvlText w:val=""/>
      <w:lvlJc w:val="left"/>
      <w:pPr>
        <w:ind w:left="2880" w:hanging="360"/>
      </w:pPr>
      <w:rPr>
        <w:rFonts w:ascii="Symbol" w:hAnsi="Symbol" w:hint="default"/>
      </w:rPr>
    </w:lvl>
    <w:lvl w:ilvl="4" w:tplc="34E6A758" w:tentative="1">
      <w:start w:val="1"/>
      <w:numFmt w:val="bullet"/>
      <w:lvlText w:val="o"/>
      <w:lvlJc w:val="left"/>
      <w:pPr>
        <w:ind w:left="3600" w:hanging="360"/>
      </w:pPr>
      <w:rPr>
        <w:rFonts w:ascii="Courier New" w:hAnsi="Courier New" w:cs="Courier New" w:hint="default"/>
      </w:rPr>
    </w:lvl>
    <w:lvl w:ilvl="5" w:tplc="6F7A0174" w:tentative="1">
      <w:start w:val="1"/>
      <w:numFmt w:val="bullet"/>
      <w:lvlText w:val=""/>
      <w:lvlJc w:val="left"/>
      <w:pPr>
        <w:ind w:left="4320" w:hanging="360"/>
      </w:pPr>
      <w:rPr>
        <w:rFonts w:ascii="Wingdings" w:hAnsi="Wingdings" w:hint="default"/>
      </w:rPr>
    </w:lvl>
    <w:lvl w:ilvl="6" w:tplc="2D3EE7BA" w:tentative="1">
      <w:start w:val="1"/>
      <w:numFmt w:val="bullet"/>
      <w:lvlText w:val=""/>
      <w:lvlJc w:val="left"/>
      <w:pPr>
        <w:ind w:left="5040" w:hanging="360"/>
      </w:pPr>
      <w:rPr>
        <w:rFonts w:ascii="Symbol" w:hAnsi="Symbol" w:hint="default"/>
      </w:rPr>
    </w:lvl>
    <w:lvl w:ilvl="7" w:tplc="5F803C38" w:tentative="1">
      <w:start w:val="1"/>
      <w:numFmt w:val="bullet"/>
      <w:lvlText w:val="o"/>
      <w:lvlJc w:val="left"/>
      <w:pPr>
        <w:ind w:left="5760" w:hanging="360"/>
      </w:pPr>
      <w:rPr>
        <w:rFonts w:ascii="Courier New" w:hAnsi="Courier New" w:cs="Courier New" w:hint="default"/>
      </w:rPr>
    </w:lvl>
    <w:lvl w:ilvl="8" w:tplc="8E049C96" w:tentative="1">
      <w:start w:val="1"/>
      <w:numFmt w:val="bullet"/>
      <w:lvlText w:val=""/>
      <w:lvlJc w:val="left"/>
      <w:pPr>
        <w:ind w:left="6480" w:hanging="360"/>
      </w:pPr>
      <w:rPr>
        <w:rFonts w:ascii="Wingdings" w:hAnsi="Wingdings" w:hint="default"/>
      </w:rPr>
    </w:lvl>
  </w:abstractNum>
  <w:abstractNum w:abstractNumId="158" w15:restartNumberingAfterBreak="0">
    <w:nsid w:val="60067F31"/>
    <w:multiLevelType w:val="hybridMultilevel"/>
    <w:tmpl w:val="EDF46516"/>
    <w:lvl w:ilvl="0" w:tplc="D76CF49C">
      <w:start w:val="1"/>
      <w:numFmt w:val="bullet"/>
      <w:lvlText w:val=""/>
      <w:lvlJc w:val="left"/>
      <w:pPr>
        <w:ind w:left="720" w:hanging="360"/>
      </w:pPr>
      <w:rPr>
        <w:rFonts w:ascii="Symbol" w:hAnsi="Symbol" w:hint="default"/>
      </w:rPr>
    </w:lvl>
    <w:lvl w:ilvl="1" w:tplc="CCCC2E42" w:tentative="1">
      <w:start w:val="1"/>
      <w:numFmt w:val="bullet"/>
      <w:lvlText w:val="o"/>
      <w:lvlJc w:val="left"/>
      <w:pPr>
        <w:ind w:left="1440" w:hanging="360"/>
      </w:pPr>
      <w:rPr>
        <w:rFonts w:ascii="Courier New" w:hAnsi="Courier New" w:cs="Courier New" w:hint="default"/>
      </w:rPr>
    </w:lvl>
    <w:lvl w:ilvl="2" w:tplc="12BE4310" w:tentative="1">
      <w:start w:val="1"/>
      <w:numFmt w:val="bullet"/>
      <w:lvlText w:val=""/>
      <w:lvlJc w:val="left"/>
      <w:pPr>
        <w:ind w:left="2160" w:hanging="360"/>
      </w:pPr>
      <w:rPr>
        <w:rFonts w:ascii="Wingdings" w:hAnsi="Wingdings" w:hint="default"/>
      </w:rPr>
    </w:lvl>
    <w:lvl w:ilvl="3" w:tplc="47029AEE" w:tentative="1">
      <w:start w:val="1"/>
      <w:numFmt w:val="bullet"/>
      <w:lvlText w:val=""/>
      <w:lvlJc w:val="left"/>
      <w:pPr>
        <w:ind w:left="2880" w:hanging="360"/>
      </w:pPr>
      <w:rPr>
        <w:rFonts w:ascii="Symbol" w:hAnsi="Symbol" w:hint="default"/>
      </w:rPr>
    </w:lvl>
    <w:lvl w:ilvl="4" w:tplc="03A639BE" w:tentative="1">
      <w:start w:val="1"/>
      <w:numFmt w:val="bullet"/>
      <w:lvlText w:val="o"/>
      <w:lvlJc w:val="left"/>
      <w:pPr>
        <w:ind w:left="3600" w:hanging="360"/>
      </w:pPr>
      <w:rPr>
        <w:rFonts w:ascii="Courier New" w:hAnsi="Courier New" w:cs="Courier New" w:hint="default"/>
      </w:rPr>
    </w:lvl>
    <w:lvl w:ilvl="5" w:tplc="B346F2F8" w:tentative="1">
      <w:start w:val="1"/>
      <w:numFmt w:val="bullet"/>
      <w:lvlText w:val=""/>
      <w:lvlJc w:val="left"/>
      <w:pPr>
        <w:ind w:left="4320" w:hanging="360"/>
      </w:pPr>
      <w:rPr>
        <w:rFonts w:ascii="Wingdings" w:hAnsi="Wingdings" w:hint="default"/>
      </w:rPr>
    </w:lvl>
    <w:lvl w:ilvl="6" w:tplc="AA0C36E0" w:tentative="1">
      <w:start w:val="1"/>
      <w:numFmt w:val="bullet"/>
      <w:lvlText w:val=""/>
      <w:lvlJc w:val="left"/>
      <w:pPr>
        <w:ind w:left="5040" w:hanging="360"/>
      </w:pPr>
      <w:rPr>
        <w:rFonts w:ascii="Symbol" w:hAnsi="Symbol" w:hint="default"/>
      </w:rPr>
    </w:lvl>
    <w:lvl w:ilvl="7" w:tplc="8FE23D7A" w:tentative="1">
      <w:start w:val="1"/>
      <w:numFmt w:val="bullet"/>
      <w:lvlText w:val="o"/>
      <w:lvlJc w:val="left"/>
      <w:pPr>
        <w:ind w:left="5760" w:hanging="360"/>
      </w:pPr>
      <w:rPr>
        <w:rFonts w:ascii="Courier New" w:hAnsi="Courier New" w:cs="Courier New" w:hint="default"/>
      </w:rPr>
    </w:lvl>
    <w:lvl w:ilvl="8" w:tplc="D2B61E68" w:tentative="1">
      <w:start w:val="1"/>
      <w:numFmt w:val="bullet"/>
      <w:lvlText w:val=""/>
      <w:lvlJc w:val="left"/>
      <w:pPr>
        <w:ind w:left="6480" w:hanging="360"/>
      </w:pPr>
      <w:rPr>
        <w:rFonts w:ascii="Wingdings" w:hAnsi="Wingdings" w:hint="default"/>
      </w:rPr>
    </w:lvl>
  </w:abstractNum>
  <w:abstractNum w:abstractNumId="159" w15:restartNumberingAfterBreak="0">
    <w:nsid w:val="602950DF"/>
    <w:multiLevelType w:val="hybridMultilevel"/>
    <w:tmpl w:val="9E5CD4E2"/>
    <w:lvl w:ilvl="0" w:tplc="E6225308">
      <w:start w:val="1"/>
      <w:numFmt w:val="bullet"/>
      <w:lvlText w:val=""/>
      <w:lvlJc w:val="left"/>
      <w:pPr>
        <w:ind w:left="720" w:hanging="360"/>
      </w:pPr>
      <w:rPr>
        <w:rFonts w:ascii="Symbol" w:hAnsi="Symbol" w:hint="default"/>
      </w:rPr>
    </w:lvl>
    <w:lvl w:ilvl="1" w:tplc="EF901E66" w:tentative="1">
      <w:start w:val="1"/>
      <w:numFmt w:val="bullet"/>
      <w:lvlText w:val="o"/>
      <w:lvlJc w:val="left"/>
      <w:pPr>
        <w:ind w:left="1440" w:hanging="360"/>
      </w:pPr>
      <w:rPr>
        <w:rFonts w:ascii="Courier New" w:hAnsi="Courier New" w:cs="Courier New" w:hint="default"/>
      </w:rPr>
    </w:lvl>
    <w:lvl w:ilvl="2" w:tplc="9050B008" w:tentative="1">
      <w:start w:val="1"/>
      <w:numFmt w:val="bullet"/>
      <w:lvlText w:val=""/>
      <w:lvlJc w:val="left"/>
      <w:pPr>
        <w:ind w:left="2160" w:hanging="360"/>
      </w:pPr>
      <w:rPr>
        <w:rFonts w:ascii="Wingdings" w:hAnsi="Wingdings" w:hint="default"/>
      </w:rPr>
    </w:lvl>
    <w:lvl w:ilvl="3" w:tplc="B57A7A3A" w:tentative="1">
      <w:start w:val="1"/>
      <w:numFmt w:val="bullet"/>
      <w:lvlText w:val=""/>
      <w:lvlJc w:val="left"/>
      <w:pPr>
        <w:ind w:left="2880" w:hanging="360"/>
      </w:pPr>
      <w:rPr>
        <w:rFonts w:ascii="Symbol" w:hAnsi="Symbol" w:hint="default"/>
      </w:rPr>
    </w:lvl>
    <w:lvl w:ilvl="4" w:tplc="921CDF3C" w:tentative="1">
      <w:start w:val="1"/>
      <w:numFmt w:val="bullet"/>
      <w:lvlText w:val="o"/>
      <w:lvlJc w:val="left"/>
      <w:pPr>
        <w:ind w:left="3600" w:hanging="360"/>
      </w:pPr>
      <w:rPr>
        <w:rFonts w:ascii="Courier New" w:hAnsi="Courier New" w:cs="Courier New" w:hint="default"/>
      </w:rPr>
    </w:lvl>
    <w:lvl w:ilvl="5" w:tplc="7E5279A2" w:tentative="1">
      <w:start w:val="1"/>
      <w:numFmt w:val="bullet"/>
      <w:lvlText w:val=""/>
      <w:lvlJc w:val="left"/>
      <w:pPr>
        <w:ind w:left="4320" w:hanging="360"/>
      </w:pPr>
      <w:rPr>
        <w:rFonts w:ascii="Wingdings" w:hAnsi="Wingdings" w:hint="default"/>
      </w:rPr>
    </w:lvl>
    <w:lvl w:ilvl="6" w:tplc="A3D0E366" w:tentative="1">
      <w:start w:val="1"/>
      <w:numFmt w:val="bullet"/>
      <w:lvlText w:val=""/>
      <w:lvlJc w:val="left"/>
      <w:pPr>
        <w:ind w:left="5040" w:hanging="360"/>
      </w:pPr>
      <w:rPr>
        <w:rFonts w:ascii="Symbol" w:hAnsi="Symbol" w:hint="default"/>
      </w:rPr>
    </w:lvl>
    <w:lvl w:ilvl="7" w:tplc="4338186C" w:tentative="1">
      <w:start w:val="1"/>
      <w:numFmt w:val="bullet"/>
      <w:lvlText w:val="o"/>
      <w:lvlJc w:val="left"/>
      <w:pPr>
        <w:ind w:left="5760" w:hanging="360"/>
      </w:pPr>
      <w:rPr>
        <w:rFonts w:ascii="Courier New" w:hAnsi="Courier New" w:cs="Courier New" w:hint="default"/>
      </w:rPr>
    </w:lvl>
    <w:lvl w:ilvl="8" w:tplc="4EBA92E2" w:tentative="1">
      <w:start w:val="1"/>
      <w:numFmt w:val="bullet"/>
      <w:lvlText w:val=""/>
      <w:lvlJc w:val="left"/>
      <w:pPr>
        <w:ind w:left="6480" w:hanging="360"/>
      </w:pPr>
      <w:rPr>
        <w:rFonts w:ascii="Wingdings" w:hAnsi="Wingdings" w:hint="default"/>
      </w:rPr>
    </w:lvl>
  </w:abstractNum>
  <w:abstractNum w:abstractNumId="160" w15:restartNumberingAfterBreak="0">
    <w:nsid w:val="61036C0D"/>
    <w:multiLevelType w:val="multilevel"/>
    <w:tmpl w:val="20BA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61320088"/>
    <w:multiLevelType w:val="hybridMultilevel"/>
    <w:tmpl w:val="1C4281EE"/>
    <w:lvl w:ilvl="0" w:tplc="F2D697CE">
      <w:start w:val="1"/>
      <w:numFmt w:val="lowerLetter"/>
      <w:lvlText w:val="%1."/>
      <w:lvlJc w:val="left"/>
      <w:pPr>
        <w:ind w:left="1080" w:hanging="360"/>
      </w:pPr>
    </w:lvl>
    <w:lvl w:ilvl="1" w:tplc="56F4447A" w:tentative="1">
      <w:start w:val="1"/>
      <w:numFmt w:val="lowerLetter"/>
      <w:lvlText w:val="%2."/>
      <w:lvlJc w:val="left"/>
      <w:pPr>
        <w:ind w:left="1800" w:hanging="360"/>
      </w:pPr>
    </w:lvl>
    <w:lvl w:ilvl="2" w:tplc="8ED89CCA">
      <w:start w:val="1"/>
      <w:numFmt w:val="lowerRoman"/>
      <w:lvlText w:val="%3."/>
      <w:lvlJc w:val="right"/>
      <w:pPr>
        <w:ind w:left="2520" w:hanging="180"/>
      </w:pPr>
    </w:lvl>
    <w:lvl w:ilvl="3" w:tplc="88D24FAC" w:tentative="1">
      <w:start w:val="1"/>
      <w:numFmt w:val="decimal"/>
      <w:lvlText w:val="%4."/>
      <w:lvlJc w:val="left"/>
      <w:pPr>
        <w:ind w:left="3240" w:hanging="360"/>
      </w:pPr>
    </w:lvl>
    <w:lvl w:ilvl="4" w:tplc="E15652B2" w:tentative="1">
      <w:start w:val="1"/>
      <w:numFmt w:val="lowerLetter"/>
      <w:lvlText w:val="%5."/>
      <w:lvlJc w:val="left"/>
      <w:pPr>
        <w:ind w:left="3960" w:hanging="360"/>
      </w:pPr>
    </w:lvl>
    <w:lvl w:ilvl="5" w:tplc="F3E65242" w:tentative="1">
      <w:start w:val="1"/>
      <w:numFmt w:val="lowerRoman"/>
      <w:lvlText w:val="%6."/>
      <w:lvlJc w:val="right"/>
      <w:pPr>
        <w:ind w:left="4680" w:hanging="180"/>
      </w:pPr>
    </w:lvl>
    <w:lvl w:ilvl="6" w:tplc="49548FD2" w:tentative="1">
      <w:start w:val="1"/>
      <w:numFmt w:val="decimal"/>
      <w:lvlText w:val="%7."/>
      <w:lvlJc w:val="left"/>
      <w:pPr>
        <w:ind w:left="5400" w:hanging="360"/>
      </w:pPr>
    </w:lvl>
    <w:lvl w:ilvl="7" w:tplc="DFDA2DCA" w:tentative="1">
      <w:start w:val="1"/>
      <w:numFmt w:val="lowerLetter"/>
      <w:lvlText w:val="%8."/>
      <w:lvlJc w:val="left"/>
      <w:pPr>
        <w:ind w:left="6120" w:hanging="360"/>
      </w:pPr>
    </w:lvl>
    <w:lvl w:ilvl="8" w:tplc="17C41974" w:tentative="1">
      <w:start w:val="1"/>
      <w:numFmt w:val="lowerRoman"/>
      <w:lvlText w:val="%9."/>
      <w:lvlJc w:val="right"/>
      <w:pPr>
        <w:ind w:left="6840" w:hanging="180"/>
      </w:pPr>
    </w:lvl>
  </w:abstractNum>
  <w:abstractNum w:abstractNumId="162" w15:restartNumberingAfterBreak="0">
    <w:nsid w:val="61931DC3"/>
    <w:multiLevelType w:val="hybridMultilevel"/>
    <w:tmpl w:val="EB68AD94"/>
    <w:lvl w:ilvl="0" w:tplc="BD249E4C">
      <w:start w:val="1"/>
      <w:numFmt w:val="bullet"/>
      <w:lvlText w:val=""/>
      <w:lvlJc w:val="left"/>
      <w:pPr>
        <w:ind w:left="720" w:hanging="360"/>
      </w:pPr>
      <w:rPr>
        <w:rFonts w:ascii="Symbol" w:hAnsi="Symbol" w:hint="default"/>
      </w:rPr>
    </w:lvl>
    <w:lvl w:ilvl="1" w:tplc="3CC24EC6" w:tentative="1">
      <w:start w:val="1"/>
      <w:numFmt w:val="bullet"/>
      <w:lvlText w:val="o"/>
      <w:lvlJc w:val="left"/>
      <w:pPr>
        <w:ind w:left="1440" w:hanging="360"/>
      </w:pPr>
      <w:rPr>
        <w:rFonts w:ascii="Courier New" w:hAnsi="Courier New" w:cs="Courier New" w:hint="default"/>
      </w:rPr>
    </w:lvl>
    <w:lvl w:ilvl="2" w:tplc="54E66378" w:tentative="1">
      <w:start w:val="1"/>
      <w:numFmt w:val="bullet"/>
      <w:lvlText w:val=""/>
      <w:lvlJc w:val="left"/>
      <w:pPr>
        <w:ind w:left="2160" w:hanging="360"/>
      </w:pPr>
      <w:rPr>
        <w:rFonts w:ascii="Wingdings" w:hAnsi="Wingdings" w:hint="default"/>
      </w:rPr>
    </w:lvl>
    <w:lvl w:ilvl="3" w:tplc="5D9807A8" w:tentative="1">
      <w:start w:val="1"/>
      <w:numFmt w:val="bullet"/>
      <w:lvlText w:val=""/>
      <w:lvlJc w:val="left"/>
      <w:pPr>
        <w:ind w:left="2880" w:hanging="360"/>
      </w:pPr>
      <w:rPr>
        <w:rFonts w:ascii="Symbol" w:hAnsi="Symbol" w:hint="default"/>
      </w:rPr>
    </w:lvl>
    <w:lvl w:ilvl="4" w:tplc="35625782" w:tentative="1">
      <w:start w:val="1"/>
      <w:numFmt w:val="bullet"/>
      <w:lvlText w:val="o"/>
      <w:lvlJc w:val="left"/>
      <w:pPr>
        <w:ind w:left="3600" w:hanging="360"/>
      </w:pPr>
      <w:rPr>
        <w:rFonts w:ascii="Courier New" w:hAnsi="Courier New" w:cs="Courier New" w:hint="default"/>
      </w:rPr>
    </w:lvl>
    <w:lvl w:ilvl="5" w:tplc="81145FBA" w:tentative="1">
      <w:start w:val="1"/>
      <w:numFmt w:val="bullet"/>
      <w:lvlText w:val=""/>
      <w:lvlJc w:val="left"/>
      <w:pPr>
        <w:ind w:left="4320" w:hanging="360"/>
      </w:pPr>
      <w:rPr>
        <w:rFonts w:ascii="Wingdings" w:hAnsi="Wingdings" w:hint="default"/>
      </w:rPr>
    </w:lvl>
    <w:lvl w:ilvl="6" w:tplc="E1B6C278" w:tentative="1">
      <w:start w:val="1"/>
      <w:numFmt w:val="bullet"/>
      <w:lvlText w:val=""/>
      <w:lvlJc w:val="left"/>
      <w:pPr>
        <w:ind w:left="5040" w:hanging="360"/>
      </w:pPr>
      <w:rPr>
        <w:rFonts w:ascii="Symbol" w:hAnsi="Symbol" w:hint="default"/>
      </w:rPr>
    </w:lvl>
    <w:lvl w:ilvl="7" w:tplc="F432AA70" w:tentative="1">
      <w:start w:val="1"/>
      <w:numFmt w:val="bullet"/>
      <w:lvlText w:val="o"/>
      <w:lvlJc w:val="left"/>
      <w:pPr>
        <w:ind w:left="5760" w:hanging="360"/>
      </w:pPr>
      <w:rPr>
        <w:rFonts w:ascii="Courier New" w:hAnsi="Courier New" w:cs="Courier New" w:hint="default"/>
      </w:rPr>
    </w:lvl>
    <w:lvl w:ilvl="8" w:tplc="0FA23888" w:tentative="1">
      <w:start w:val="1"/>
      <w:numFmt w:val="bullet"/>
      <w:lvlText w:val=""/>
      <w:lvlJc w:val="left"/>
      <w:pPr>
        <w:ind w:left="6480" w:hanging="360"/>
      </w:pPr>
      <w:rPr>
        <w:rFonts w:ascii="Wingdings" w:hAnsi="Wingdings" w:hint="default"/>
      </w:rPr>
    </w:lvl>
  </w:abstractNum>
  <w:abstractNum w:abstractNumId="163" w15:restartNumberingAfterBreak="0">
    <w:nsid w:val="624133DA"/>
    <w:multiLevelType w:val="hybridMultilevel"/>
    <w:tmpl w:val="E2F0D212"/>
    <w:lvl w:ilvl="0" w:tplc="5412A162">
      <w:start w:val="1"/>
      <w:numFmt w:val="bullet"/>
      <w:lvlText w:val=""/>
      <w:lvlJc w:val="left"/>
      <w:pPr>
        <w:ind w:left="720" w:hanging="360"/>
      </w:pPr>
      <w:rPr>
        <w:rFonts w:ascii="Symbol" w:hAnsi="Symbol" w:hint="default"/>
      </w:rPr>
    </w:lvl>
    <w:lvl w:ilvl="1" w:tplc="DCFC6594" w:tentative="1">
      <w:start w:val="1"/>
      <w:numFmt w:val="bullet"/>
      <w:lvlText w:val="o"/>
      <w:lvlJc w:val="left"/>
      <w:pPr>
        <w:ind w:left="1440" w:hanging="360"/>
      </w:pPr>
      <w:rPr>
        <w:rFonts w:ascii="Courier New" w:hAnsi="Courier New" w:cs="Courier New" w:hint="default"/>
      </w:rPr>
    </w:lvl>
    <w:lvl w:ilvl="2" w:tplc="67D0323A" w:tentative="1">
      <w:start w:val="1"/>
      <w:numFmt w:val="bullet"/>
      <w:lvlText w:val=""/>
      <w:lvlJc w:val="left"/>
      <w:pPr>
        <w:ind w:left="2160" w:hanging="360"/>
      </w:pPr>
      <w:rPr>
        <w:rFonts w:ascii="Wingdings" w:hAnsi="Wingdings" w:hint="default"/>
      </w:rPr>
    </w:lvl>
    <w:lvl w:ilvl="3" w:tplc="45CAA87C" w:tentative="1">
      <w:start w:val="1"/>
      <w:numFmt w:val="bullet"/>
      <w:lvlText w:val=""/>
      <w:lvlJc w:val="left"/>
      <w:pPr>
        <w:ind w:left="2880" w:hanging="360"/>
      </w:pPr>
      <w:rPr>
        <w:rFonts w:ascii="Symbol" w:hAnsi="Symbol" w:hint="default"/>
      </w:rPr>
    </w:lvl>
    <w:lvl w:ilvl="4" w:tplc="3EE427E6" w:tentative="1">
      <w:start w:val="1"/>
      <w:numFmt w:val="bullet"/>
      <w:lvlText w:val="o"/>
      <w:lvlJc w:val="left"/>
      <w:pPr>
        <w:ind w:left="3600" w:hanging="360"/>
      </w:pPr>
      <w:rPr>
        <w:rFonts w:ascii="Courier New" w:hAnsi="Courier New" w:cs="Courier New" w:hint="default"/>
      </w:rPr>
    </w:lvl>
    <w:lvl w:ilvl="5" w:tplc="0E5AE7B2" w:tentative="1">
      <w:start w:val="1"/>
      <w:numFmt w:val="bullet"/>
      <w:lvlText w:val=""/>
      <w:lvlJc w:val="left"/>
      <w:pPr>
        <w:ind w:left="4320" w:hanging="360"/>
      </w:pPr>
      <w:rPr>
        <w:rFonts w:ascii="Wingdings" w:hAnsi="Wingdings" w:hint="default"/>
      </w:rPr>
    </w:lvl>
    <w:lvl w:ilvl="6" w:tplc="4C7EE006" w:tentative="1">
      <w:start w:val="1"/>
      <w:numFmt w:val="bullet"/>
      <w:lvlText w:val=""/>
      <w:lvlJc w:val="left"/>
      <w:pPr>
        <w:ind w:left="5040" w:hanging="360"/>
      </w:pPr>
      <w:rPr>
        <w:rFonts w:ascii="Symbol" w:hAnsi="Symbol" w:hint="default"/>
      </w:rPr>
    </w:lvl>
    <w:lvl w:ilvl="7" w:tplc="EF589332" w:tentative="1">
      <w:start w:val="1"/>
      <w:numFmt w:val="bullet"/>
      <w:lvlText w:val="o"/>
      <w:lvlJc w:val="left"/>
      <w:pPr>
        <w:ind w:left="5760" w:hanging="360"/>
      </w:pPr>
      <w:rPr>
        <w:rFonts w:ascii="Courier New" w:hAnsi="Courier New" w:cs="Courier New" w:hint="default"/>
      </w:rPr>
    </w:lvl>
    <w:lvl w:ilvl="8" w:tplc="8E700348" w:tentative="1">
      <w:start w:val="1"/>
      <w:numFmt w:val="bullet"/>
      <w:lvlText w:val=""/>
      <w:lvlJc w:val="left"/>
      <w:pPr>
        <w:ind w:left="6480" w:hanging="360"/>
      </w:pPr>
      <w:rPr>
        <w:rFonts w:ascii="Wingdings" w:hAnsi="Wingdings" w:hint="default"/>
      </w:rPr>
    </w:lvl>
  </w:abstractNum>
  <w:abstractNum w:abstractNumId="164" w15:restartNumberingAfterBreak="0">
    <w:nsid w:val="634D55BA"/>
    <w:multiLevelType w:val="hybridMultilevel"/>
    <w:tmpl w:val="07825B5A"/>
    <w:lvl w:ilvl="0" w:tplc="E84C48D4">
      <w:start w:val="1"/>
      <w:numFmt w:val="bullet"/>
      <w:lvlText w:val=""/>
      <w:lvlJc w:val="left"/>
      <w:pPr>
        <w:ind w:left="360" w:hanging="360"/>
      </w:pPr>
      <w:rPr>
        <w:rFonts w:ascii="Symbol" w:hAnsi="Symbol" w:hint="default"/>
      </w:rPr>
    </w:lvl>
    <w:lvl w:ilvl="1" w:tplc="8354C650" w:tentative="1">
      <w:start w:val="1"/>
      <w:numFmt w:val="bullet"/>
      <w:lvlText w:val="o"/>
      <w:lvlJc w:val="left"/>
      <w:pPr>
        <w:ind w:left="1080" w:hanging="360"/>
      </w:pPr>
      <w:rPr>
        <w:rFonts w:ascii="Courier New" w:hAnsi="Courier New" w:cs="Courier New" w:hint="default"/>
      </w:rPr>
    </w:lvl>
    <w:lvl w:ilvl="2" w:tplc="950680FE" w:tentative="1">
      <w:start w:val="1"/>
      <w:numFmt w:val="bullet"/>
      <w:lvlText w:val=""/>
      <w:lvlJc w:val="left"/>
      <w:pPr>
        <w:ind w:left="1800" w:hanging="360"/>
      </w:pPr>
      <w:rPr>
        <w:rFonts w:ascii="Wingdings" w:hAnsi="Wingdings" w:hint="default"/>
      </w:rPr>
    </w:lvl>
    <w:lvl w:ilvl="3" w:tplc="19287D5A" w:tentative="1">
      <w:start w:val="1"/>
      <w:numFmt w:val="bullet"/>
      <w:lvlText w:val=""/>
      <w:lvlJc w:val="left"/>
      <w:pPr>
        <w:ind w:left="2520" w:hanging="360"/>
      </w:pPr>
      <w:rPr>
        <w:rFonts w:ascii="Symbol" w:hAnsi="Symbol" w:hint="default"/>
      </w:rPr>
    </w:lvl>
    <w:lvl w:ilvl="4" w:tplc="6C94CC7C" w:tentative="1">
      <w:start w:val="1"/>
      <w:numFmt w:val="bullet"/>
      <w:lvlText w:val="o"/>
      <w:lvlJc w:val="left"/>
      <w:pPr>
        <w:ind w:left="3240" w:hanging="360"/>
      </w:pPr>
      <w:rPr>
        <w:rFonts w:ascii="Courier New" w:hAnsi="Courier New" w:cs="Courier New" w:hint="default"/>
      </w:rPr>
    </w:lvl>
    <w:lvl w:ilvl="5" w:tplc="25DE1EF8" w:tentative="1">
      <w:start w:val="1"/>
      <w:numFmt w:val="bullet"/>
      <w:lvlText w:val=""/>
      <w:lvlJc w:val="left"/>
      <w:pPr>
        <w:ind w:left="3960" w:hanging="360"/>
      </w:pPr>
      <w:rPr>
        <w:rFonts w:ascii="Wingdings" w:hAnsi="Wingdings" w:hint="default"/>
      </w:rPr>
    </w:lvl>
    <w:lvl w:ilvl="6" w:tplc="8CCA92E6" w:tentative="1">
      <w:start w:val="1"/>
      <w:numFmt w:val="bullet"/>
      <w:lvlText w:val=""/>
      <w:lvlJc w:val="left"/>
      <w:pPr>
        <w:ind w:left="4680" w:hanging="360"/>
      </w:pPr>
      <w:rPr>
        <w:rFonts w:ascii="Symbol" w:hAnsi="Symbol" w:hint="default"/>
      </w:rPr>
    </w:lvl>
    <w:lvl w:ilvl="7" w:tplc="EC04F44E" w:tentative="1">
      <w:start w:val="1"/>
      <w:numFmt w:val="bullet"/>
      <w:lvlText w:val="o"/>
      <w:lvlJc w:val="left"/>
      <w:pPr>
        <w:ind w:left="5400" w:hanging="360"/>
      </w:pPr>
      <w:rPr>
        <w:rFonts w:ascii="Courier New" w:hAnsi="Courier New" w:cs="Courier New" w:hint="default"/>
      </w:rPr>
    </w:lvl>
    <w:lvl w:ilvl="8" w:tplc="1B1A3E0A" w:tentative="1">
      <w:start w:val="1"/>
      <w:numFmt w:val="bullet"/>
      <w:lvlText w:val=""/>
      <w:lvlJc w:val="left"/>
      <w:pPr>
        <w:ind w:left="6120" w:hanging="360"/>
      </w:pPr>
      <w:rPr>
        <w:rFonts w:ascii="Wingdings" w:hAnsi="Wingdings" w:hint="default"/>
      </w:rPr>
    </w:lvl>
  </w:abstractNum>
  <w:abstractNum w:abstractNumId="165" w15:restartNumberingAfterBreak="0">
    <w:nsid w:val="648F207F"/>
    <w:multiLevelType w:val="hybridMultilevel"/>
    <w:tmpl w:val="B3AA3336"/>
    <w:lvl w:ilvl="0" w:tplc="80745056">
      <w:start w:val="1"/>
      <w:numFmt w:val="bullet"/>
      <w:lvlText w:val=""/>
      <w:lvlJc w:val="left"/>
      <w:pPr>
        <w:ind w:left="720" w:hanging="360"/>
      </w:pPr>
      <w:rPr>
        <w:rFonts w:ascii="Symbol" w:hAnsi="Symbol" w:hint="default"/>
      </w:rPr>
    </w:lvl>
    <w:lvl w:ilvl="1" w:tplc="4CB07D08" w:tentative="1">
      <w:start w:val="1"/>
      <w:numFmt w:val="bullet"/>
      <w:lvlText w:val="o"/>
      <w:lvlJc w:val="left"/>
      <w:pPr>
        <w:ind w:left="1440" w:hanging="360"/>
      </w:pPr>
      <w:rPr>
        <w:rFonts w:ascii="Courier New" w:hAnsi="Courier New" w:cs="Courier New" w:hint="default"/>
      </w:rPr>
    </w:lvl>
    <w:lvl w:ilvl="2" w:tplc="16E6E3F6" w:tentative="1">
      <w:start w:val="1"/>
      <w:numFmt w:val="bullet"/>
      <w:lvlText w:val=""/>
      <w:lvlJc w:val="left"/>
      <w:pPr>
        <w:ind w:left="2160" w:hanging="360"/>
      </w:pPr>
      <w:rPr>
        <w:rFonts w:ascii="Wingdings" w:hAnsi="Wingdings" w:hint="default"/>
      </w:rPr>
    </w:lvl>
    <w:lvl w:ilvl="3" w:tplc="08A053CE" w:tentative="1">
      <w:start w:val="1"/>
      <w:numFmt w:val="bullet"/>
      <w:lvlText w:val=""/>
      <w:lvlJc w:val="left"/>
      <w:pPr>
        <w:ind w:left="2880" w:hanging="360"/>
      </w:pPr>
      <w:rPr>
        <w:rFonts w:ascii="Symbol" w:hAnsi="Symbol" w:hint="default"/>
      </w:rPr>
    </w:lvl>
    <w:lvl w:ilvl="4" w:tplc="776846EC" w:tentative="1">
      <w:start w:val="1"/>
      <w:numFmt w:val="bullet"/>
      <w:lvlText w:val="o"/>
      <w:lvlJc w:val="left"/>
      <w:pPr>
        <w:ind w:left="3600" w:hanging="360"/>
      </w:pPr>
      <w:rPr>
        <w:rFonts w:ascii="Courier New" w:hAnsi="Courier New" w:cs="Courier New" w:hint="default"/>
      </w:rPr>
    </w:lvl>
    <w:lvl w:ilvl="5" w:tplc="29CCD20C" w:tentative="1">
      <w:start w:val="1"/>
      <w:numFmt w:val="bullet"/>
      <w:lvlText w:val=""/>
      <w:lvlJc w:val="left"/>
      <w:pPr>
        <w:ind w:left="4320" w:hanging="360"/>
      </w:pPr>
      <w:rPr>
        <w:rFonts w:ascii="Wingdings" w:hAnsi="Wingdings" w:hint="default"/>
      </w:rPr>
    </w:lvl>
    <w:lvl w:ilvl="6" w:tplc="CE58923A" w:tentative="1">
      <w:start w:val="1"/>
      <w:numFmt w:val="bullet"/>
      <w:lvlText w:val=""/>
      <w:lvlJc w:val="left"/>
      <w:pPr>
        <w:ind w:left="5040" w:hanging="360"/>
      </w:pPr>
      <w:rPr>
        <w:rFonts w:ascii="Symbol" w:hAnsi="Symbol" w:hint="default"/>
      </w:rPr>
    </w:lvl>
    <w:lvl w:ilvl="7" w:tplc="47ACF8BA" w:tentative="1">
      <w:start w:val="1"/>
      <w:numFmt w:val="bullet"/>
      <w:lvlText w:val="o"/>
      <w:lvlJc w:val="left"/>
      <w:pPr>
        <w:ind w:left="5760" w:hanging="360"/>
      </w:pPr>
      <w:rPr>
        <w:rFonts w:ascii="Courier New" w:hAnsi="Courier New" w:cs="Courier New" w:hint="default"/>
      </w:rPr>
    </w:lvl>
    <w:lvl w:ilvl="8" w:tplc="86D4FD3E" w:tentative="1">
      <w:start w:val="1"/>
      <w:numFmt w:val="bullet"/>
      <w:lvlText w:val=""/>
      <w:lvlJc w:val="left"/>
      <w:pPr>
        <w:ind w:left="6480" w:hanging="360"/>
      </w:pPr>
      <w:rPr>
        <w:rFonts w:ascii="Wingdings" w:hAnsi="Wingdings" w:hint="default"/>
      </w:rPr>
    </w:lvl>
  </w:abstractNum>
  <w:abstractNum w:abstractNumId="166" w15:restartNumberingAfterBreak="0">
    <w:nsid w:val="657C021C"/>
    <w:multiLevelType w:val="multilevel"/>
    <w:tmpl w:val="162C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65EF60F8"/>
    <w:multiLevelType w:val="hybridMultilevel"/>
    <w:tmpl w:val="1C4281EE"/>
    <w:lvl w:ilvl="0" w:tplc="4CD26EE8">
      <w:start w:val="1"/>
      <w:numFmt w:val="lowerLetter"/>
      <w:lvlText w:val="%1."/>
      <w:lvlJc w:val="left"/>
      <w:pPr>
        <w:ind w:left="1080" w:hanging="360"/>
      </w:pPr>
    </w:lvl>
    <w:lvl w:ilvl="1" w:tplc="548C0616" w:tentative="1">
      <w:start w:val="1"/>
      <w:numFmt w:val="lowerLetter"/>
      <w:lvlText w:val="%2."/>
      <w:lvlJc w:val="left"/>
      <w:pPr>
        <w:ind w:left="1800" w:hanging="360"/>
      </w:pPr>
    </w:lvl>
    <w:lvl w:ilvl="2" w:tplc="D0D868E6">
      <w:start w:val="1"/>
      <w:numFmt w:val="lowerRoman"/>
      <w:lvlText w:val="%3."/>
      <w:lvlJc w:val="right"/>
      <w:pPr>
        <w:ind w:left="2520" w:hanging="180"/>
      </w:pPr>
    </w:lvl>
    <w:lvl w:ilvl="3" w:tplc="C862CA0C" w:tentative="1">
      <w:start w:val="1"/>
      <w:numFmt w:val="decimal"/>
      <w:lvlText w:val="%4."/>
      <w:lvlJc w:val="left"/>
      <w:pPr>
        <w:ind w:left="3240" w:hanging="360"/>
      </w:pPr>
    </w:lvl>
    <w:lvl w:ilvl="4" w:tplc="D300232C" w:tentative="1">
      <w:start w:val="1"/>
      <w:numFmt w:val="lowerLetter"/>
      <w:lvlText w:val="%5."/>
      <w:lvlJc w:val="left"/>
      <w:pPr>
        <w:ind w:left="3960" w:hanging="360"/>
      </w:pPr>
    </w:lvl>
    <w:lvl w:ilvl="5" w:tplc="A5FA1484" w:tentative="1">
      <w:start w:val="1"/>
      <w:numFmt w:val="lowerRoman"/>
      <w:lvlText w:val="%6."/>
      <w:lvlJc w:val="right"/>
      <w:pPr>
        <w:ind w:left="4680" w:hanging="180"/>
      </w:pPr>
    </w:lvl>
    <w:lvl w:ilvl="6" w:tplc="7BF4A1F6" w:tentative="1">
      <w:start w:val="1"/>
      <w:numFmt w:val="decimal"/>
      <w:lvlText w:val="%7."/>
      <w:lvlJc w:val="left"/>
      <w:pPr>
        <w:ind w:left="5400" w:hanging="360"/>
      </w:pPr>
    </w:lvl>
    <w:lvl w:ilvl="7" w:tplc="F1A4E9D8" w:tentative="1">
      <w:start w:val="1"/>
      <w:numFmt w:val="lowerLetter"/>
      <w:lvlText w:val="%8."/>
      <w:lvlJc w:val="left"/>
      <w:pPr>
        <w:ind w:left="6120" w:hanging="360"/>
      </w:pPr>
    </w:lvl>
    <w:lvl w:ilvl="8" w:tplc="8FAEAD9C" w:tentative="1">
      <w:start w:val="1"/>
      <w:numFmt w:val="lowerRoman"/>
      <w:lvlText w:val="%9."/>
      <w:lvlJc w:val="right"/>
      <w:pPr>
        <w:ind w:left="6840" w:hanging="180"/>
      </w:pPr>
    </w:lvl>
  </w:abstractNum>
  <w:abstractNum w:abstractNumId="168" w15:restartNumberingAfterBreak="0">
    <w:nsid w:val="66186E94"/>
    <w:multiLevelType w:val="hybridMultilevel"/>
    <w:tmpl w:val="D7F20366"/>
    <w:lvl w:ilvl="0" w:tplc="CB12250A">
      <w:start w:val="1"/>
      <w:numFmt w:val="bullet"/>
      <w:lvlText w:val=""/>
      <w:lvlJc w:val="left"/>
      <w:pPr>
        <w:ind w:left="720" w:hanging="360"/>
      </w:pPr>
      <w:rPr>
        <w:rFonts w:ascii="Symbol" w:hAnsi="Symbol" w:hint="default"/>
      </w:rPr>
    </w:lvl>
    <w:lvl w:ilvl="1" w:tplc="660662EA" w:tentative="1">
      <w:start w:val="1"/>
      <w:numFmt w:val="bullet"/>
      <w:lvlText w:val="o"/>
      <w:lvlJc w:val="left"/>
      <w:pPr>
        <w:ind w:left="1440" w:hanging="360"/>
      </w:pPr>
      <w:rPr>
        <w:rFonts w:ascii="Courier New" w:hAnsi="Courier New" w:cs="Courier New" w:hint="default"/>
      </w:rPr>
    </w:lvl>
    <w:lvl w:ilvl="2" w:tplc="3B4EA958" w:tentative="1">
      <w:start w:val="1"/>
      <w:numFmt w:val="bullet"/>
      <w:lvlText w:val=""/>
      <w:lvlJc w:val="left"/>
      <w:pPr>
        <w:ind w:left="2160" w:hanging="360"/>
      </w:pPr>
      <w:rPr>
        <w:rFonts w:ascii="Wingdings" w:hAnsi="Wingdings" w:hint="default"/>
      </w:rPr>
    </w:lvl>
    <w:lvl w:ilvl="3" w:tplc="1696E628" w:tentative="1">
      <w:start w:val="1"/>
      <w:numFmt w:val="bullet"/>
      <w:lvlText w:val=""/>
      <w:lvlJc w:val="left"/>
      <w:pPr>
        <w:ind w:left="2880" w:hanging="360"/>
      </w:pPr>
      <w:rPr>
        <w:rFonts w:ascii="Symbol" w:hAnsi="Symbol" w:hint="default"/>
      </w:rPr>
    </w:lvl>
    <w:lvl w:ilvl="4" w:tplc="37063B06" w:tentative="1">
      <w:start w:val="1"/>
      <w:numFmt w:val="bullet"/>
      <w:lvlText w:val="o"/>
      <w:lvlJc w:val="left"/>
      <w:pPr>
        <w:ind w:left="3600" w:hanging="360"/>
      </w:pPr>
      <w:rPr>
        <w:rFonts w:ascii="Courier New" w:hAnsi="Courier New" w:cs="Courier New" w:hint="default"/>
      </w:rPr>
    </w:lvl>
    <w:lvl w:ilvl="5" w:tplc="A2B8FBB2" w:tentative="1">
      <w:start w:val="1"/>
      <w:numFmt w:val="bullet"/>
      <w:lvlText w:val=""/>
      <w:lvlJc w:val="left"/>
      <w:pPr>
        <w:ind w:left="4320" w:hanging="360"/>
      </w:pPr>
      <w:rPr>
        <w:rFonts w:ascii="Wingdings" w:hAnsi="Wingdings" w:hint="default"/>
      </w:rPr>
    </w:lvl>
    <w:lvl w:ilvl="6" w:tplc="986C1278" w:tentative="1">
      <w:start w:val="1"/>
      <w:numFmt w:val="bullet"/>
      <w:lvlText w:val=""/>
      <w:lvlJc w:val="left"/>
      <w:pPr>
        <w:ind w:left="5040" w:hanging="360"/>
      </w:pPr>
      <w:rPr>
        <w:rFonts w:ascii="Symbol" w:hAnsi="Symbol" w:hint="default"/>
      </w:rPr>
    </w:lvl>
    <w:lvl w:ilvl="7" w:tplc="E988C186" w:tentative="1">
      <w:start w:val="1"/>
      <w:numFmt w:val="bullet"/>
      <w:lvlText w:val="o"/>
      <w:lvlJc w:val="left"/>
      <w:pPr>
        <w:ind w:left="5760" w:hanging="360"/>
      </w:pPr>
      <w:rPr>
        <w:rFonts w:ascii="Courier New" w:hAnsi="Courier New" w:cs="Courier New" w:hint="default"/>
      </w:rPr>
    </w:lvl>
    <w:lvl w:ilvl="8" w:tplc="A7889968" w:tentative="1">
      <w:start w:val="1"/>
      <w:numFmt w:val="bullet"/>
      <w:lvlText w:val=""/>
      <w:lvlJc w:val="left"/>
      <w:pPr>
        <w:ind w:left="6480" w:hanging="360"/>
      </w:pPr>
      <w:rPr>
        <w:rFonts w:ascii="Wingdings" w:hAnsi="Wingdings" w:hint="default"/>
      </w:rPr>
    </w:lvl>
  </w:abstractNum>
  <w:abstractNum w:abstractNumId="169" w15:restartNumberingAfterBreak="0">
    <w:nsid w:val="66372A14"/>
    <w:multiLevelType w:val="multilevel"/>
    <w:tmpl w:val="1D04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66B5074F"/>
    <w:multiLevelType w:val="multilevel"/>
    <w:tmpl w:val="1D30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6786464E"/>
    <w:multiLevelType w:val="hybridMultilevel"/>
    <w:tmpl w:val="E5AC87C0"/>
    <w:lvl w:ilvl="0" w:tplc="FD0405B8">
      <w:start w:val="1"/>
      <w:numFmt w:val="bullet"/>
      <w:lvlText w:val=""/>
      <w:lvlJc w:val="left"/>
      <w:pPr>
        <w:ind w:left="720" w:hanging="360"/>
      </w:pPr>
      <w:rPr>
        <w:rFonts w:ascii="Symbol" w:hAnsi="Symbol" w:hint="default"/>
      </w:rPr>
    </w:lvl>
    <w:lvl w:ilvl="1" w:tplc="D7C8B84E" w:tentative="1">
      <w:start w:val="1"/>
      <w:numFmt w:val="bullet"/>
      <w:lvlText w:val="o"/>
      <w:lvlJc w:val="left"/>
      <w:pPr>
        <w:ind w:left="1440" w:hanging="360"/>
      </w:pPr>
      <w:rPr>
        <w:rFonts w:ascii="Courier New" w:hAnsi="Courier New" w:cs="Courier New" w:hint="default"/>
      </w:rPr>
    </w:lvl>
    <w:lvl w:ilvl="2" w:tplc="016AC15E" w:tentative="1">
      <w:start w:val="1"/>
      <w:numFmt w:val="bullet"/>
      <w:lvlText w:val=""/>
      <w:lvlJc w:val="left"/>
      <w:pPr>
        <w:ind w:left="2160" w:hanging="360"/>
      </w:pPr>
      <w:rPr>
        <w:rFonts w:ascii="Wingdings" w:hAnsi="Wingdings" w:hint="default"/>
      </w:rPr>
    </w:lvl>
    <w:lvl w:ilvl="3" w:tplc="C55CFEEC" w:tentative="1">
      <w:start w:val="1"/>
      <w:numFmt w:val="bullet"/>
      <w:lvlText w:val=""/>
      <w:lvlJc w:val="left"/>
      <w:pPr>
        <w:ind w:left="2880" w:hanging="360"/>
      </w:pPr>
      <w:rPr>
        <w:rFonts w:ascii="Symbol" w:hAnsi="Symbol" w:hint="default"/>
      </w:rPr>
    </w:lvl>
    <w:lvl w:ilvl="4" w:tplc="5B6E19E0" w:tentative="1">
      <w:start w:val="1"/>
      <w:numFmt w:val="bullet"/>
      <w:lvlText w:val="o"/>
      <w:lvlJc w:val="left"/>
      <w:pPr>
        <w:ind w:left="3600" w:hanging="360"/>
      </w:pPr>
      <w:rPr>
        <w:rFonts w:ascii="Courier New" w:hAnsi="Courier New" w:cs="Courier New" w:hint="default"/>
      </w:rPr>
    </w:lvl>
    <w:lvl w:ilvl="5" w:tplc="23D64356" w:tentative="1">
      <w:start w:val="1"/>
      <w:numFmt w:val="bullet"/>
      <w:lvlText w:val=""/>
      <w:lvlJc w:val="left"/>
      <w:pPr>
        <w:ind w:left="4320" w:hanging="360"/>
      </w:pPr>
      <w:rPr>
        <w:rFonts w:ascii="Wingdings" w:hAnsi="Wingdings" w:hint="default"/>
      </w:rPr>
    </w:lvl>
    <w:lvl w:ilvl="6" w:tplc="9350D5A2" w:tentative="1">
      <w:start w:val="1"/>
      <w:numFmt w:val="bullet"/>
      <w:lvlText w:val=""/>
      <w:lvlJc w:val="left"/>
      <w:pPr>
        <w:ind w:left="5040" w:hanging="360"/>
      </w:pPr>
      <w:rPr>
        <w:rFonts w:ascii="Symbol" w:hAnsi="Symbol" w:hint="default"/>
      </w:rPr>
    </w:lvl>
    <w:lvl w:ilvl="7" w:tplc="31F4DC60" w:tentative="1">
      <w:start w:val="1"/>
      <w:numFmt w:val="bullet"/>
      <w:lvlText w:val="o"/>
      <w:lvlJc w:val="left"/>
      <w:pPr>
        <w:ind w:left="5760" w:hanging="360"/>
      </w:pPr>
      <w:rPr>
        <w:rFonts w:ascii="Courier New" w:hAnsi="Courier New" w:cs="Courier New" w:hint="default"/>
      </w:rPr>
    </w:lvl>
    <w:lvl w:ilvl="8" w:tplc="E140D3E4" w:tentative="1">
      <w:start w:val="1"/>
      <w:numFmt w:val="bullet"/>
      <w:lvlText w:val=""/>
      <w:lvlJc w:val="left"/>
      <w:pPr>
        <w:ind w:left="6480" w:hanging="360"/>
      </w:pPr>
      <w:rPr>
        <w:rFonts w:ascii="Wingdings" w:hAnsi="Wingdings" w:hint="default"/>
      </w:rPr>
    </w:lvl>
  </w:abstractNum>
  <w:abstractNum w:abstractNumId="172" w15:restartNumberingAfterBreak="0">
    <w:nsid w:val="67E0532A"/>
    <w:multiLevelType w:val="hybridMultilevel"/>
    <w:tmpl w:val="5EAA3A68"/>
    <w:lvl w:ilvl="0" w:tplc="D73CA154">
      <w:start w:val="1"/>
      <w:numFmt w:val="bullet"/>
      <w:lvlText w:val=""/>
      <w:lvlJc w:val="left"/>
      <w:pPr>
        <w:ind w:left="720" w:hanging="360"/>
      </w:pPr>
      <w:rPr>
        <w:rFonts w:ascii="Symbol" w:hAnsi="Symbol" w:hint="default"/>
      </w:rPr>
    </w:lvl>
    <w:lvl w:ilvl="1" w:tplc="AB14C326" w:tentative="1">
      <w:start w:val="1"/>
      <w:numFmt w:val="bullet"/>
      <w:lvlText w:val="o"/>
      <w:lvlJc w:val="left"/>
      <w:pPr>
        <w:ind w:left="1440" w:hanging="360"/>
      </w:pPr>
      <w:rPr>
        <w:rFonts w:ascii="Courier New" w:hAnsi="Courier New" w:cs="Courier New" w:hint="default"/>
      </w:rPr>
    </w:lvl>
    <w:lvl w:ilvl="2" w:tplc="FE82793E" w:tentative="1">
      <w:start w:val="1"/>
      <w:numFmt w:val="bullet"/>
      <w:lvlText w:val=""/>
      <w:lvlJc w:val="left"/>
      <w:pPr>
        <w:ind w:left="2160" w:hanging="360"/>
      </w:pPr>
      <w:rPr>
        <w:rFonts w:ascii="Wingdings" w:hAnsi="Wingdings" w:hint="default"/>
      </w:rPr>
    </w:lvl>
    <w:lvl w:ilvl="3" w:tplc="A49C6C58" w:tentative="1">
      <w:start w:val="1"/>
      <w:numFmt w:val="bullet"/>
      <w:lvlText w:val=""/>
      <w:lvlJc w:val="left"/>
      <w:pPr>
        <w:ind w:left="2880" w:hanging="360"/>
      </w:pPr>
      <w:rPr>
        <w:rFonts w:ascii="Symbol" w:hAnsi="Symbol" w:hint="default"/>
      </w:rPr>
    </w:lvl>
    <w:lvl w:ilvl="4" w:tplc="EEEEB4EE" w:tentative="1">
      <w:start w:val="1"/>
      <w:numFmt w:val="bullet"/>
      <w:lvlText w:val="o"/>
      <w:lvlJc w:val="left"/>
      <w:pPr>
        <w:ind w:left="3600" w:hanging="360"/>
      </w:pPr>
      <w:rPr>
        <w:rFonts w:ascii="Courier New" w:hAnsi="Courier New" w:cs="Courier New" w:hint="default"/>
      </w:rPr>
    </w:lvl>
    <w:lvl w:ilvl="5" w:tplc="8974B4BE" w:tentative="1">
      <w:start w:val="1"/>
      <w:numFmt w:val="bullet"/>
      <w:lvlText w:val=""/>
      <w:lvlJc w:val="left"/>
      <w:pPr>
        <w:ind w:left="4320" w:hanging="360"/>
      </w:pPr>
      <w:rPr>
        <w:rFonts w:ascii="Wingdings" w:hAnsi="Wingdings" w:hint="default"/>
      </w:rPr>
    </w:lvl>
    <w:lvl w:ilvl="6" w:tplc="78364AB2" w:tentative="1">
      <w:start w:val="1"/>
      <w:numFmt w:val="bullet"/>
      <w:lvlText w:val=""/>
      <w:lvlJc w:val="left"/>
      <w:pPr>
        <w:ind w:left="5040" w:hanging="360"/>
      </w:pPr>
      <w:rPr>
        <w:rFonts w:ascii="Symbol" w:hAnsi="Symbol" w:hint="default"/>
      </w:rPr>
    </w:lvl>
    <w:lvl w:ilvl="7" w:tplc="0CB84214" w:tentative="1">
      <w:start w:val="1"/>
      <w:numFmt w:val="bullet"/>
      <w:lvlText w:val="o"/>
      <w:lvlJc w:val="left"/>
      <w:pPr>
        <w:ind w:left="5760" w:hanging="360"/>
      </w:pPr>
      <w:rPr>
        <w:rFonts w:ascii="Courier New" w:hAnsi="Courier New" w:cs="Courier New" w:hint="default"/>
      </w:rPr>
    </w:lvl>
    <w:lvl w:ilvl="8" w:tplc="58D691CE" w:tentative="1">
      <w:start w:val="1"/>
      <w:numFmt w:val="bullet"/>
      <w:lvlText w:val=""/>
      <w:lvlJc w:val="left"/>
      <w:pPr>
        <w:ind w:left="6480" w:hanging="360"/>
      </w:pPr>
      <w:rPr>
        <w:rFonts w:ascii="Wingdings" w:hAnsi="Wingdings" w:hint="default"/>
      </w:rPr>
    </w:lvl>
  </w:abstractNum>
  <w:abstractNum w:abstractNumId="173" w15:restartNumberingAfterBreak="0">
    <w:nsid w:val="68C63013"/>
    <w:multiLevelType w:val="multilevel"/>
    <w:tmpl w:val="C372A56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ptos" w:eastAsia="Times New Roman" w:hAnsi="Aptos" w:cstheme="minorBidi"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692460ED"/>
    <w:multiLevelType w:val="hybridMultilevel"/>
    <w:tmpl w:val="7062EA14"/>
    <w:lvl w:ilvl="0" w:tplc="40F8F39C">
      <w:start w:val="1"/>
      <w:numFmt w:val="bullet"/>
      <w:lvlText w:val=""/>
      <w:lvlJc w:val="left"/>
      <w:pPr>
        <w:ind w:left="720" w:hanging="360"/>
      </w:pPr>
      <w:rPr>
        <w:rFonts w:ascii="Symbol" w:hAnsi="Symbol" w:hint="default"/>
        <w:w w:val="100"/>
        <w:sz w:val="22"/>
        <w:szCs w:val="22"/>
      </w:rPr>
    </w:lvl>
    <w:lvl w:ilvl="1" w:tplc="34225FF4" w:tentative="1">
      <w:start w:val="1"/>
      <w:numFmt w:val="bullet"/>
      <w:lvlText w:val="o"/>
      <w:lvlJc w:val="left"/>
      <w:pPr>
        <w:ind w:left="1440" w:hanging="360"/>
      </w:pPr>
      <w:rPr>
        <w:rFonts w:ascii="Courier New" w:hAnsi="Courier New" w:cs="Courier New" w:hint="default"/>
      </w:rPr>
    </w:lvl>
    <w:lvl w:ilvl="2" w:tplc="91A600AA" w:tentative="1">
      <w:start w:val="1"/>
      <w:numFmt w:val="bullet"/>
      <w:lvlText w:val=""/>
      <w:lvlJc w:val="left"/>
      <w:pPr>
        <w:ind w:left="2160" w:hanging="360"/>
      </w:pPr>
      <w:rPr>
        <w:rFonts w:ascii="Wingdings" w:hAnsi="Wingdings" w:hint="default"/>
      </w:rPr>
    </w:lvl>
    <w:lvl w:ilvl="3" w:tplc="ED2423CC" w:tentative="1">
      <w:start w:val="1"/>
      <w:numFmt w:val="bullet"/>
      <w:lvlText w:val=""/>
      <w:lvlJc w:val="left"/>
      <w:pPr>
        <w:ind w:left="2880" w:hanging="360"/>
      </w:pPr>
      <w:rPr>
        <w:rFonts w:ascii="Symbol" w:hAnsi="Symbol" w:hint="default"/>
      </w:rPr>
    </w:lvl>
    <w:lvl w:ilvl="4" w:tplc="BA40D5F4" w:tentative="1">
      <w:start w:val="1"/>
      <w:numFmt w:val="bullet"/>
      <w:lvlText w:val="o"/>
      <w:lvlJc w:val="left"/>
      <w:pPr>
        <w:ind w:left="3600" w:hanging="360"/>
      </w:pPr>
      <w:rPr>
        <w:rFonts w:ascii="Courier New" w:hAnsi="Courier New" w:cs="Courier New" w:hint="default"/>
      </w:rPr>
    </w:lvl>
    <w:lvl w:ilvl="5" w:tplc="A25897E6" w:tentative="1">
      <w:start w:val="1"/>
      <w:numFmt w:val="bullet"/>
      <w:lvlText w:val=""/>
      <w:lvlJc w:val="left"/>
      <w:pPr>
        <w:ind w:left="4320" w:hanging="360"/>
      </w:pPr>
      <w:rPr>
        <w:rFonts w:ascii="Wingdings" w:hAnsi="Wingdings" w:hint="default"/>
      </w:rPr>
    </w:lvl>
    <w:lvl w:ilvl="6" w:tplc="EFAA1518" w:tentative="1">
      <w:start w:val="1"/>
      <w:numFmt w:val="bullet"/>
      <w:lvlText w:val=""/>
      <w:lvlJc w:val="left"/>
      <w:pPr>
        <w:ind w:left="5040" w:hanging="360"/>
      </w:pPr>
      <w:rPr>
        <w:rFonts w:ascii="Symbol" w:hAnsi="Symbol" w:hint="default"/>
      </w:rPr>
    </w:lvl>
    <w:lvl w:ilvl="7" w:tplc="B8B2F7A0" w:tentative="1">
      <w:start w:val="1"/>
      <w:numFmt w:val="bullet"/>
      <w:lvlText w:val="o"/>
      <w:lvlJc w:val="left"/>
      <w:pPr>
        <w:ind w:left="5760" w:hanging="360"/>
      </w:pPr>
      <w:rPr>
        <w:rFonts w:ascii="Courier New" w:hAnsi="Courier New" w:cs="Courier New" w:hint="default"/>
      </w:rPr>
    </w:lvl>
    <w:lvl w:ilvl="8" w:tplc="6A8635EE" w:tentative="1">
      <w:start w:val="1"/>
      <w:numFmt w:val="bullet"/>
      <w:lvlText w:val=""/>
      <w:lvlJc w:val="left"/>
      <w:pPr>
        <w:ind w:left="6480" w:hanging="360"/>
      </w:pPr>
      <w:rPr>
        <w:rFonts w:ascii="Wingdings" w:hAnsi="Wingdings" w:hint="default"/>
      </w:rPr>
    </w:lvl>
  </w:abstractNum>
  <w:abstractNum w:abstractNumId="175" w15:restartNumberingAfterBreak="0">
    <w:nsid w:val="69D60BB4"/>
    <w:multiLevelType w:val="hybridMultilevel"/>
    <w:tmpl w:val="2F506634"/>
    <w:lvl w:ilvl="0" w:tplc="0B6C7D1E">
      <w:start w:val="1"/>
      <w:numFmt w:val="lowerRoman"/>
      <w:lvlText w:val="%1."/>
      <w:lvlJc w:val="right"/>
      <w:pPr>
        <w:ind w:left="720" w:hanging="360"/>
      </w:pPr>
    </w:lvl>
    <w:lvl w:ilvl="1" w:tplc="44502BBC" w:tentative="1">
      <w:start w:val="1"/>
      <w:numFmt w:val="lowerLetter"/>
      <w:lvlText w:val="%2."/>
      <w:lvlJc w:val="left"/>
      <w:pPr>
        <w:ind w:left="1440" w:hanging="360"/>
      </w:pPr>
    </w:lvl>
    <w:lvl w:ilvl="2" w:tplc="212E44D8" w:tentative="1">
      <w:start w:val="1"/>
      <w:numFmt w:val="lowerRoman"/>
      <w:lvlText w:val="%3."/>
      <w:lvlJc w:val="right"/>
      <w:pPr>
        <w:ind w:left="2160" w:hanging="180"/>
      </w:pPr>
    </w:lvl>
    <w:lvl w:ilvl="3" w:tplc="789466F2" w:tentative="1">
      <w:start w:val="1"/>
      <w:numFmt w:val="decimal"/>
      <w:lvlText w:val="%4."/>
      <w:lvlJc w:val="left"/>
      <w:pPr>
        <w:ind w:left="2880" w:hanging="360"/>
      </w:pPr>
    </w:lvl>
    <w:lvl w:ilvl="4" w:tplc="DB76E690" w:tentative="1">
      <w:start w:val="1"/>
      <w:numFmt w:val="lowerLetter"/>
      <w:lvlText w:val="%5."/>
      <w:lvlJc w:val="left"/>
      <w:pPr>
        <w:ind w:left="3600" w:hanging="360"/>
      </w:pPr>
    </w:lvl>
    <w:lvl w:ilvl="5" w:tplc="CFA0B266" w:tentative="1">
      <w:start w:val="1"/>
      <w:numFmt w:val="lowerRoman"/>
      <w:lvlText w:val="%6."/>
      <w:lvlJc w:val="right"/>
      <w:pPr>
        <w:ind w:left="4320" w:hanging="180"/>
      </w:pPr>
    </w:lvl>
    <w:lvl w:ilvl="6" w:tplc="9238F224" w:tentative="1">
      <w:start w:val="1"/>
      <w:numFmt w:val="decimal"/>
      <w:lvlText w:val="%7."/>
      <w:lvlJc w:val="left"/>
      <w:pPr>
        <w:ind w:left="5040" w:hanging="360"/>
      </w:pPr>
    </w:lvl>
    <w:lvl w:ilvl="7" w:tplc="E94A4566" w:tentative="1">
      <w:start w:val="1"/>
      <w:numFmt w:val="lowerLetter"/>
      <w:lvlText w:val="%8."/>
      <w:lvlJc w:val="left"/>
      <w:pPr>
        <w:ind w:left="5760" w:hanging="360"/>
      </w:pPr>
    </w:lvl>
    <w:lvl w:ilvl="8" w:tplc="ECC61710" w:tentative="1">
      <w:start w:val="1"/>
      <w:numFmt w:val="lowerRoman"/>
      <w:lvlText w:val="%9."/>
      <w:lvlJc w:val="right"/>
      <w:pPr>
        <w:ind w:left="6480" w:hanging="180"/>
      </w:pPr>
    </w:lvl>
  </w:abstractNum>
  <w:abstractNum w:abstractNumId="176" w15:restartNumberingAfterBreak="0">
    <w:nsid w:val="6A047A1B"/>
    <w:multiLevelType w:val="hybridMultilevel"/>
    <w:tmpl w:val="E1EA7A8A"/>
    <w:lvl w:ilvl="0" w:tplc="E1DE8DB6">
      <w:start w:val="1"/>
      <w:numFmt w:val="upperLetter"/>
      <w:lvlText w:val="%1."/>
      <w:lvlJc w:val="left"/>
      <w:pPr>
        <w:ind w:left="720" w:hanging="360"/>
      </w:pPr>
    </w:lvl>
    <w:lvl w:ilvl="1" w:tplc="EBD29DE4">
      <w:start w:val="1"/>
      <w:numFmt w:val="decimal"/>
      <w:lvlText w:val="%2."/>
      <w:lvlJc w:val="left"/>
      <w:pPr>
        <w:ind w:left="1440" w:hanging="360"/>
      </w:pPr>
    </w:lvl>
    <w:lvl w:ilvl="2" w:tplc="AD82E70E">
      <w:start w:val="1"/>
      <w:numFmt w:val="lowerRoman"/>
      <w:lvlText w:val="%3."/>
      <w:lvlJc w:val="right"/>
      <w:pPr>
        <w:ind w:left="2160" w:hanging="180"/>
      </w:pPr>
    </w:lvl>
    <w:lvl w:ilvl="3" w:tplc="BA18D594" w:tentative="1">
      <w:start w:val="1"/>
      <w:numFmt w:val="decimal"/>
      <w:lvlText w:val="%4."/>
      <w:lvlJc w:val="left"/>
      <w:pPr>
        <w:ind w:left="2880" w:hanging="360"/>
      </w:pPr>
    </w:lvl>
    <w:lvl w:ilvl="4" w:tplc="4A726F54" w:tentative="1">
      <w:start w:val="1"/>
      <w:numFmt w:val="lowerLetter"/>
      <w:lvlText w:val="%5."/>
      <w:lvlJc w:val="left"/>
      <w:pPr>
        <w:ind w:left="3600" w:hanging="360"/>
      </w:pPr>
    </w:lvl>
    <w:lvl w:ilvl="5" w:tplc="67AE10EC" w:tentative="1">
      <w:start w:val="1"/>
      <w:numFmt w:val="lowerRoman"/>
      <w:lvlText w:val="%6."/>
      <w:lvlJc w:val="right"/>
      <w:pPr>
        <w:ind w:left="4320" w:hanging="180"/>
      </w:pPr>
    </w:lvl>
    <w:lvl w:ilvl="6" w:tplc="8FD8F4D6" w:tentative="1">
      <w:start w:val="1"/>
      <w:numFmt w:val="decimal"/>
      <w:lvlText w:val="%7."/>
      <w:lvlJc w:val="left"/>
      <w:pPr>
        <w:ind w:left="5040" w:hanging="360"/>
      </w:pPr>
    </w:lvl>
    <w:lvl w:ilvl="7" w:tplc="386CECDE" w:tentative="1">
      <w:start w:val="1"/>
      <w:numFmt w:val="lowerLetter"/>
      <w:lvlText w:val="%8."/>
      <w:lvlJc w:val="left"/>
      <w:pPr>
        <w:ind w:left="5760" w:hanging="360"/>
      </w:pPr>
    </w:lvl>
    <w:lvl w:ilvl="8" w:tplc="A6FC9E88" w:tentative="1">
      <w:start w:val="1"/>
      <w:numFmt w:val="lowerRoman"/>
      <w:lvlText w:val="%9."/>
      <w:lvlJc w:val="right"/>
      <w:pPr>
        <w:ind w:left="6480" w:hanging="180"/>
      </w:pPr>
    </w:lvl>
  </w:abstractNum>
  <w:abstractNum w:abstractNumId="177" w15:restartNumberingAfterBreak="0">
    <w:nsid w:val="6AFC1F51"/>
    <w:multiLevelType w:val="hybridMultilevel"/>
    <w:tmpl w:val="50FEB852"/>
    <w:lvl w:ilvl="0" w:tplc="6F9C0D8A">
      <w:start w:val="1"/>
      <w:numFmt w:val="bullet"/>
      <w:lvlText w:val=""/>
      <w:lvlJc w:val="left"/>
      <w:pPr>
        <w:ind w:left="720" w:hanging="360"/>
      </w:pPr>
      <w:rPr>
        <w:rFonts w:ascii="Symbol" w:hAnsi="Symbol" w:hint="default"/>
      </w:rPr>
    </w:lvl>
    <w:lvl w:ilvl="1" w:tplc="BE1CBC44" w:tentative="1">
      <w:start w:val="1"/>
      <w:numFmt w:val="bullet"/>
      <w:lvlText w:val="o"/>
      <w:lvlJc w:val="left"/>
      <w:pPr>
        <w:ind w:left="1440" w:hanging="360"/>
      </w:pPr>
      <w:rPr>
        <w:rFonts w:ascii="Courier New" w:hAnsi="Courier New" w:cs="Courier New" w:hint="default"/>
      </w:rPr>
    </w:lvl>
    <w:lvl w:ilvl="2" w:tplc="125224F6" w:tentative="1">
      <w:start w:val="1"/>
      <w:numFmt w:val="bullet"/>
      <w:lvlText w:val=""/>
      <w:lvlJc w:val="left"/>
      <w:pPr>
        <w:ind w:left="2160" w:hanging="360"/>
      </w:pPr>
      <w:rPr>
        <w:rFonts w:ascii="Wingdings" w:hAnsi="Wingdings" w:hint="default"/>
      </w:rPr>
    </w:lvl>
    <w:lvl w:ilvl="3" w:tplc="7CA0A596" w:tentative="1">
      <w:start w:val="1"/>
      <w:numFmt w:val="bullet"/>
      <w:lvlText w:val=""/>
      <w:lvlJc w:val="left"/>
      <w:pPr>
        <w:ind w:left="2880" w:hanging="360"/>
      </w:pPr>
      <w:rPr>
        <w:rFonts w:ascii="Symbol" w:hAnsi="Symbol" w:hint="default"/>
      </w:rPr>
    </w:lvl>
    <w:lvl w:ilvl="4" w:tplc="DC902A84" w:tentative="1">
      <w:start w:val="1"/>
      <w:numFmt w:val="bullet"/>
      <w:lvlText w:val="o"/>
      <w:lvlJc w:val="left"/>
      <w:pPr>
        <w:ind w:left="3600" w:hanging="360"/>
      </w:pPr>
      <w:rPr>
        <w:rFonts w:ascii="Courier New" w:hAnsi="Courier New" w:cs="Courier New" w:hint="default"/>
      </w:rPr>
    </w:lvl>
    <w:lvl w:ilvl="5" w:tplc="7E74A696" w:tentative="1">
      <w:start w:val="1"/>
      <w:numFmt w:val="bullet"/>
      <w:lvlText w:val=""/>
      <w:lvlJc w:val="left"/>
      <w:pPr>
        <w:ind w:left="4320" w:hanging="360"/>
      </w:pPr>
      <w:rPr>
        <w:rFonts w:ascii="Wingdings" w:hAnsi="Wingdings" w:hint="default"/>
      </w:rPr>
    </w:lvl>
    <w:lvl w:ilvl="6" w:tplc="35206C7E" w:tentative="1">
      <w:start w:val="1"/>
      <w:numFmt w:val="bullet"/>
      <w:lvlText w:val=""/>
      <w:lvlJc w:val="left"/>
      <w:pPr>
        <w:ind w:left="5040" w:hanging="360"/>
      </w:pPr>
      <w:rPr>
        <w:rFonts w:ascii="Symbol" w:hAnsi="Symbol" w:hint="default"/>
      </w:rPr>
    </w:lvl>
    <w:lvl w:ilvl="7" w:tplc="B1EC29D0" w:tentative="1">
      <w:start w:val="1"/>
      <w:numFmt w:val="bullet"/>
      <w:lvlText w:val="o"/>
      <w:lvlJc w:val="left"/>
      <w:pPr>
        <w:ind w:left="5760" w:hanging="360"/>
      </w:pPr>
      <w:rPr>
        <w:rFonts w:ascii="Courier New" w:hAnsi="Courier New" w:cs="Courier New" w:hint="default"/>
      </w:rPr>
    </w:lvl>
    <w:lvl w:ilvl="8" w:tplc="55343954" w:tentative="1">
      <w:start w:val="1"/>
      <w:numFmt w:val="bullet"/>
      <w:lvlText w:val=""/>
      <w:lvlJc w:val="left"/>
      <w:pPr>
        <w:ind w:left="6480" w:hanging="360"/>
      </w:pPr>
      <w:rPr>
        <w:rFonts w:ascii="Wingdings" w:hAnsi="Wingdings" w:hint="default"/>
      </w:rPr>
    </w:lvl>
  </w:abstractNum>
  <w:abstractNum w:abstractNumId="178" w15:restartNumberingAfterBreak="0">
    <w:nsid w:val="6B5C0420"/>
    <w:multiLevelType w:val="hybridMultilevel"/>
    <w:tmpl w:val="590EBF2A"/>
    <w:lvl w:ilvl="0" w:tplc="B39E305E">
      <w:start w:val="1"/>
      <w:numFmt w:val="bullet"/>
      <w:lvlText w:val=""/>
      <w:lvlJc w:val="left"/>
      <w:pPr>
        <w:ind w:left="720" w:hanging="360"/>
      </w:pPr>
      <w:rPr>
        <w:rFonts w:ascii="Symbol" w:hAnsi="Symbol" w:hint="default"/>
      </w:rPr>
    </w:lvl>
    <w:lvl w:ilvl="1" w:tplc="1388A0E4" w:tentative="1">
      <w:start w:val="1"/>
      <w:numFmt w:val="bullet"/>
      <w:lvlText w:val="o"/>
      <w:lvlJc w:val="left"/>
      <w:pPr>
        <w:ind w:left="1440" w:hanging="360"/>
      </w:pPr>
      <w:rPr>
        <w:rFonts w:ascii="Courier New" w:hAnsi="Courier New" w:cs="Courier New" w:hint="default"/>
      </w:rPr>
    </w:lvl>
    <w:lvl w:ilvl="2" w:tplc="F582FFCC" w:tentative="1">
      <w:start w:val="1"/>
      <w:numFmt w:val="bullet"/>
      <w:lvlText w:val=""/>
      <w:lvlJc w:val="left"/>
      <w:pPr>
        <w:ind w:left="2160" w:hanging="360"/>
      </w:pPr>
      <w:rPr>
        <w:rFonts w:ascii="Wingdings" w:hAnsi="Wingdings" w:hint="default"/>
      </w:rPr>
    </w:lvl>
    <w:lvl w:ilvl="3" w:tplc="F6ACC486" w:tentative="1">
      <w:start w:val="1"/>
      <w:numFmt w:val="bullet"/>
      <w:lvlText w:val=""/>
      <w:lvlJc w:val="left"/>
      <w:pPr>
        <w:ind w:left="2880" w:hanging="360"/>
      </w:pPr>
      <w:rPr>
        <w:rFonts w:ascii="Symbol" w:hAnsi="Symbol" w:hint="default"/>
      </w:rPr>
    </w:lvl>
    <w:lvl w:ilvl="4" w:tplc="F0E62E2C" w:tentative="1">
      <w:start w:val="1"/>
      <w:numFmt w:val="bullet"/>
      <w:lvlText w:val="o"/>
      <w:lvlJc w:val="left"/>
      <w:pPr>
        <w:ind w:left="3600" w:hanging="360"/>
      </w:pPr>
      <w:rPr>
        <w:rFonts w:ascii="Courier New" w:hAnsi="Courier New" w:cs="Courier New" w:hint="default"/>
      </w:rPr>
    </w:lvl>
    <w:lvl w:ilvl="5" w:tplc="9282F92C" w:tentative="1">
      <w:start w:val="1"/>
      <w:numFmt w:val="bullet"/>
      <w:lvlText w:val=""/>
      <w:lvlJc w:val="left"/>
      <w:pPr>
        <w:ind w:left="4320" w:hanging="360"/>
      </w:pPr>
      <w:rPr>
        <w:rFonts w:ascii="Wingdings" w:hAnsi="Wingdings" w:hint="default"/>
      </w:rPr>
    </w:lvl>
    <w:lvl w:ilvl="6" w:tplc="B8C85C02" w:tentative="1">
      <w:start w:val="1"/>
      <w:numFmt w:val="bullet"/>
      <w:lvlText w:val=""/>
      <w:lvlJc w:val="left"/>
      <w:pPr>
        <w:ind w:left="5040" w:hanging="360"/>
      </w:pPr>
      <w:rPr>
        <w:rFonts w:ascii="Symbol" w:hAnsi="Symbol" w:hint="default"/>
      </w:rPr>
    </w:lvl>
    <w:lvl w:ilvl="7" w:tplc="2E3060CA" w:tentative="1">
      <w:start w:val="1"/>
      <w:numFmt w:val="bullet"/>
      <w:lvlText w:val="o"/>
      <w:lvlJc w:val="left"/>
      <w:pPr>
        <w:ind w:left="5760" w:hanging="360"/>
      </w:pPr>
      <w:rPr>
        <w:rFonts w:ascii="Courier New" w:hAnsi="Courier New" w:cs="Courier New" w:hint="default"/>
      </w:rPr>
    </w:lvl>
    <w:lvl w:ilvl="8" w:tplc="8D94CC4A" w:tentative="1">
      <w:start w:val="1"/>
      <w:numFmt w:val="bullet"/>
      <w:lvlText w:val=""/>
      <w:lvlJc w:val="left"/>
      <w:pPr>
        <w:ind w:left="6480" w:hanging="360"/>
      </w:pPr>
      <w:rPr>
        <w:rFonts w:ascii="Wingdings" w:hAnsi="Wingdings" w:hint="default"/>
      </w:rPr>
    </w:lvl>
  </w:abstractNum>
  <w:abstractNum w:abstractNumId="179" w15:restartNumberingAfterBreak="0">
    <w:nsid w:val="6D325EF5"/>
    <w:multiLevelType w:val="hybridMultilevel"/>
    <w:tmpl w:val="2CC4D07A"/>
    <w:lvl w:ilvl="0" w:tplc="3A22A7BC">
      <w:start w:val="1"/>
      <w:numFmt w:val="bullet"/>
      <w:lvlText w:val=""/>
      <w:lvlJc w:val="left"/>
      <w:pPr>
        <w:ind w:left="720" w:hanging="360"/>
      </w:pPr>
      <w:rPr>
        <w:rFonts w:ascii="Symbol" w:hAnsi="Symbol" w:hint="default"/>
      </w:rPr>
    </w:lvl>
    <w:lvl w:ilvl="1" w:tplc="605AC3EE" w:tentative="1">
      <w:start w:val="1"/>
      <w:numFmt w:val="bullet"/>
      <w:lvlText w:val="o"/>
      <w:lvlJc w:val="left"/>
      <w:pPr>
        <w:ind w:left="1440" w:hanging="360"/>
      </w:pPr>
      <w:rPr>
        <w:rFonts w:ascii="Courier New" w:hAnsi="Courier New" w:cs="Courier New" w:hint="default"/>
      </w:rPr>
    </w:lvl>
    <w:lvl w:ilvl="2" w:tplc="FBC6A43A" w:tentative="1">
      <w:start w:val="1"/>
      <w:numFmt w:val="bullet"/>
      <w:lvlText w:val=""/>
      <w:lvlJc w:val="left"/>
      <w:pPr>
        <w:ind w:left="2160" w:hanging="360"/>
      </w:pPr>
      <w:rPr>
        <w:rFonts w:ascii="Wingdings" w:hAnsi="Wingdings" w:hint="default"/>
      </w:rPr>
    </w:lvl>
    <w:lvl w:ilvl="3" w:tplc="E5881E3C" w:tentative="1">
      <w:start w:val="1"/>
      <w:numFmt w:val="bullet"/>
      <w:lvlText w:val=""/>
      <w:lvlJc w:val="left"/>
      <w:pPr>
        <w:ind w:left="2880" w:hanging="360"/>
      </w:pPr>
      <w:rPr>
        <w:rFonts w:ascii="Symbol" w:hAnsi="Symbol" w:hint="default"/>
      </w:rPr>
    </w:lvl>
    <w:lvl w:ilvl="4" w:tplc="3F0AC368" w:tentative="1">
      <w:start w:val="1"/>
      <w:numFmt w:val="bullet"/>
      <w:lvlText w:val="o"/>
      <w:lvlJc w:val="left"/>
      <w:pPr>
        <w:ind w:left="3600" w:hanging="360"/>
      </w:pPr>
      <w:rPr>
        <w:rFonts w:ascii="Courier New" w:hAnsi="Courier New" w:cs="Courier New" w:hint="default"/>
      </w:rPr>
    </w:lvl>
    <w:lvl w:ilvl="5" w:tplc="0466259E" w:tentative="1">
      <w:start w:val="1"/>
      <w:numFmt w:val="bullet"/>
      <w:lvlText w:val=""/>
      <w:lvlJc w:val="left"/>
      <w:pPr>
        <w:ind w:left="4320" w:hanging="360"/>
      </w:pPr>
      <w:rPr>
        <w:rFonts w:ascii="Wingdings" w:hAnsi="Wingdings" w:hint="default"/>
      </w:rPr>
    </w:lvl>
    <w:lvl w:ilvl="6" w:tplc="6FAA5CD8" w:tentative="1">
      <w:start w:val="1"/>
      <w:numFmt w:val="bullet"/>
      <w:lvlText w:val=""/>
      <w:lvlJc w:val="left"/>
      <w:pPr>
        <w:ind w:left="5040" w:hanging="360"/>
      </w:pPr>
      <w:rPr>
        <w:rFonts w:ascii="Symbol" w:hAnsi="Symbol" w:hint="default"/>
      </w:rPr>
    </w:lvl>
    <w:lvl w:ilvl="7" w:tplc="450E9E2E" w:tentative="1">
      <w:start w:val="1"/>
      <w:numFmt w:val="bullet"/>
      <w:lvlText w:val="o"/>
      <w:lvlJc w:val="left"/>
      <w:pPr>
        <w:ind w:left="5760" w:hanging="360"/>
      </w:pPr>
      <w:rPr>
        <w:rFonts w:ascii="Courier New" w:hAnsi="Courier New" w:cs="Courier New" w:hint="default"/>
      </w:rPr>
    </w:lvl>
    <w:lvl w:ilvl="8" w:tplc="F5488534" w:tentative="1">
      <w:start w:val="1"/>
      <w:numFmt w:val="bullet"/>
      <w:lvlText w:val=""/>
      <w:lvlJc w:val="left"/>
      <w:pPr>
        <w:ind w:left="6480" w:hanging="360"/>
      </w:pPr>
      <w:rPr>
        <w:rFonts w:ascii="Wingdings" w:hAnsi="Wingdings" w:hint="default"/>
      </w:rPr>
    </w:lvl>
  </w:abstractNum>
  <w:abstractNum w:abstractNumId="180" w15:restartNumberingAfterBreak="0">
    <w:nsid w:val="6D760E36"/>
    <w:multiLevelType w:val="hybridMultilevel"/>
    <w:tmpl w:val="80E8D256"/>
    <w:lvl w:ilvl="0" w:tplc="4E92CEDC">
      <w:start w:val="1"/>
      <w:numFmt w:val="bullet"/>
      <w:lvlText w:val=""/>
      <w:lvlJc w:val="left"/>
      <w:pPr>
        <w:ind w:left="720" w:hanging="360"/>
      </w:pPr>
      <w:rPr>
        <w:rFonts w:ascii="Symbol" w:hAnsi="Symbol" w:hint="default"/>
      </w:rPr>
    </w:lvl>
    <w:lvl w:ilvl="1" w:tplc="6A36F170" w:tentative="1">
      <w:start w:val="1"/>
      <w:numFmt w:val="bullet"/>
      <w:lvlText w:val="o"/>
      <w:lvlJc w:val="left"/>
      <w:pPr>
        <w:ind w:left="1440" w:hanging="360"/>
      </w:pPr>
      <w:rPr>
        <w:rFonts w:ascii="Courier New" w:hAnsi="Courier New" w:cs="Courier New" w:hint="default"/>
      </w:rPr>
    </w:lvl>
    <w:lvl w:ilvl="2" w:tplc="189A35C8" w:tentative="1">
      <w:start w:val="1"/>
      <w:numFmt w:val="bullet"/>
      <w:lvlText w:val=""/>
      <w:lvlJc w:val="left"/>
      <w:pPr>
        <w:ind w:left="2160" w:hanging="360"/>
      </w:pPr>
      <w:rPr>
        <w:rFonts w:ascii="Wingdings" w:hAnsi="Wingdings" w:hint="default"/>
      </w:rPr>
    </w:lvl>
    <w:lvl w:ilvl="3" w:tplc="B1B60986" w:tentative="1">
      <w:start w:val="1"/>
      <w:numFmt w:val="bullet"/>
      <w:lvlText w:val=""/>
      <w:lvlJc w:val="left"/>
      <w:pPr>
        <w:ind w:left="2880" w:hanging="360"/>
      </w:pPr>
      <w:rPr>
        <w:rFonts w:ascii="Symbol" w:hAnsi="Symbol" w:hint="default"/>
      </w:rPr>
    </w:lvl>
    <w:lvl w:ilvl="4" w:tplc="9E44FC54" w:tentative="1">
      <w:start w:val="1"/>
      <w:numFmt w:val="bullet"/>
      <w:lvlText w:val="o"/>
      <w:lvlJc w:val="left"/>
      <w:pPr>
        <w:ind w:left="3600" w:hanging="360"/>
      </w:pPr>
      <w:rPr>
        <w:rFonts w:ascii="Courier New" w:hAnsi="Courier New" w:cs="Courier New" w:hint="default"/>
      </w:rPr>
    </w:lvl>
    <w:lvl w:ilvl="5" w:tplc="B2A27BFA" w:tentative="1">
      <w:start w:val="1"/>
      <w:numFmt w:val="bullet"/>
      <w:lvlText w:val=""/>
      <w:lvlJc w:val="left"/>
      <w:pPr>
        <w:ind w:left="4320" w:hanging="360"/>
      </w:pPr>
      <w:rPr>
        <w:rFonts w:ascii="Wingdings" w:hAnsi="Wingdings" w:hint="default"/>
      </w:rPr>
    </w:lvl>
    <w:lvl w:ilvl="6" w:tplc="B4B04F1C" w:tentative="1">
      <w:start w:val="1"/>
      <w:numFmt w:val="bullet"/>
      <w:lvlText w:val=""/>
      <w:lvlJc w:val="left"/>
      <w:pPr>
        <w:ind w:left="5040" w:hanging="360"/>
      </w:pPr>
      <w:rPr>
        <w:rFonts w:ascii="Symbol" w:hAnsi="Symbol" w:hint="default"/>
      </w:rPr>
    </w:lvl>
    <w:lvl w:ilvl="7" w:tplc="6D0001D6" w:tentative="1">
      <w:start w:val="1"/>
      <w:numFmt w:val="bullet"/>
      <w:lvlText w:val="o"/>
      <w:lvlJc w:val="left"/>
      <w:pPr>
        <w:ind w:left="5760" w:hanging="360"/>
      </w:pPr>
      <w:rPr>
        <w:rFonts w:ascii="Courier New" w:hAnsi="Courier New" w:cs="Courier New" w:hint="default"/>
      </w:rPr>
    </w:lvl>
    <w:lvl w:ilvl="8" w:tplc="DB447DF8" w:tentative="1">
      <w:start w:val="1"/>
      <w:numFmt w:val="bullet"/>
      <w:lvlText w:val=""/>
      <w:lvlJc w:val="left"/>
      <w:pPr>
        <w:ind w:left="6480" w:hanging="360"/>
      </w:pPr>
      <w:rPr>
        <w:rFonts w:ascii="Wingdings" w:hAnsi="Wingdings" w:hint="default"/>
      </w:rPr>
    </w:lvl>
  </w:abstractNum>
  <w:abstractNum w:abstractNumId="181" w15:restartNumberingAfterBreak="0">
    <w:nsid w:val="6D800A20"/>
    <w:multiLevelType w:val="hybridMultilevel"/>
    <w:tmpl w:val="1A466456"/>
    <w:lvl w:ilvl="0" w:tplc="B7E8DA2E">
      <w:start w:val="1"/>
      <w:numFmt w:val="bullet"/>
      <w:lvlText w:val=""/>
      <w:lvlJc w:val="left"/>
      <w:pPr>
        <w:ind w:left="720" w:hanging="360"/>
      </w:pPr>
      <w:rPr>
        <w:rFonts w:ascii="Symbol" w:hAnsi="Symbol" w:hint="default"/>
      </w:rPr>
    </w:lvl>
    <w:lvl w:ilvl="1" w:tplc="AE5C6F34">
      <w:start w:val="1"/>
      <w:numFmt w:val="bullet"/>
      <w:lvlText w:val="o"/>
      <w:lvlJc w:val="left"/>
      <w:pPr>
        <w:ind w:left="1440" w:hanging="360"/>
      </w:pPr>
      <w:rPr>
        <w:rFonts w:ascii="Courier New" w:hAnsi="Courier New" w:cs="Courier New" w:hint="default"/>
      </w:rPr>
    </w:lvl>
    <w:lvl w:ilvl="2" w:tplc="9072E6A6" w:tentative="1">
      <w:start w:val="1"/>
      <w:numFmt w:val="bullet"/>
      <w:lvlText w:val=""/>
      <w:lvlJc w:val="left"/>
      <w:pPr>
        <w:ind w:left="2160" w:hanging="360"/>
      </w:pPr>
      <w:rPr>
        <w:rFonts w:ascii="Wingdings" w:hAnsi="Wingdings" w:hint="default"/>
      </w:rPr>
    </w:lvl>
    <w:lvl w:ilvl="3" w:tplc="1B002F24" w:tentative="1">
      <w:start w:val="1"/>
      <w:numFmt w:val="bullet"/>
      <w:lvlText w:val=""/>
      <w:lvlJc w:val="left"/>
      <w:pPr>
        <w:ind w:left="2880" w:hanging="360"/>
      </w:pPr>
      <w:rPr>
        <w:rFonts w:ascii="Symbol" w:hAnsi="Symbol" w:hint="default"/>
      </w:rPr>
    </w:lvl>
    <w:lvl w:ilvl="4" w:tplc="08FE7A42" w:tentative="1">
      <w:start w:val="1"/>
      <w:numFmt w:val="bullet"/>
      <w:lvlText w:val="o"/>
      <w:lvlJc w:val="left"/>
      <w:pPr>
        <w:ind w:left="3600" w:hanging="360"/>
      </w:pPr>
      <w:rPr>
        <w:rFonts w:ascii="Courier New" w:hAnsi="Courier New" w:cs="Courier New" w:hint="default"/>
      </w:rPr>
    </w:lvl>
    <w:lvl w:ilvl="5" w:tplc="972266F6" w:tentative="1">
      <w:start w:val="1"/>
      <w:numFmt w:val="bullet"/>
      <w:lvlText w:val=""/>
      <w:lvlJc w:val="left"/>
      <w:pPr>
        <w:ind w:left="4320" w:hanging="360"/>
      </w:pPr>
      <w:rPr>
        <w:rFonts w:ascii="Wingdings" w:hAnsi="Wingdings" w:hint="default"/>
      </w:rPr>
    </w:lvl>
    <w:lvl w:ilvl="6" w:tplc="52DEA3E8" w:tentative="1">
      <w:start w:val="1"/>
      <w:numFmt w:val="bullet"/>
      <w:lvlText w:val=""/>
      <w:lvlJc w:val="left"/>
      <w:pPr>
        <w:ind w:left="5040" w:hanging="360"/>
      </w:pPr>
      <w:rPr>
        <w:rFonts w:ascii="Symbol" w:hAnsi="Symbol" w:hint="default"/>
      </w:rPr>
    </w:lvl>
    <w:lvl w:ilvl="7" w:tplc="87FA1B08" w:tentative="1">
      <w:start w:val="1"/>
      <w:numFmt w:val="bullet"/>
      <w:lvlText w:val="o"/>
      <w:lvlJc w:val="left"/>
      <w:pPr>
        <w:ind w:left="5760" w:hanging="360"/>
      </w:pPr>
      <w:rPr>
        <w:rFonts w:ascii="Courier New" w:hAnsi="Courier New" w:cs="Courier New" w:hint="default"/>
      </w:rPr>
    </w:lvl>
    <w:lvl w:ilvl="8" w:tplc="51082858" w:tentative="1">
      <w:start w:val="1"/>
      <w:numFmt w:val="bullet"/>
      <w:lvlText w:val=""/>
      <w:lvlJc w:val="left"/>
      <w:pPr>
        <w:ind w:left="6480" w:hanging="360"/>
      </w:pPr>
      <w:rPr>
        <w:rFonts w:ascii="Wingdings" w:hAnsi="Wingdings" w:hint="default"/>
      </w:rPr>
    </w:lvl>
  </w:abstractNum>
  <w:abstractNum w:abstractNumId="182" w15:restartNumberingAfterBreak="0">
    <w:nsid w:val="6EC37936"/>
    <w:multiLevelType w:val="multilevel"/>
    <w:tmpl w:val="D12C2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6EF320C5"/>
    <w:multiLevelType w:val="hybridMultilevel"/>
    <w:tmpl w:val="CEB0BEEA"/>
    <w:lvl w:ilvl="0" w:tplc="FC6E9DEE">
      <w:start w:val="1"/>
      <w:numFmt w:val="bullet"/>
      <w:lvlText w:val=""/>
      <w:lvlJc w:val="left"/>
      <w:pPr>
        <w:ind w:left="360" w:hanging="360"/>
      </w:pPr>
      <w:rPr>
        <w:rFonts w:ascii="Symbol" w:hAnsi="Symbol" w:hint="default"/>
      </w:rPr>
    </w:lvl>
    <w:lvl w:ilvl="1" w:tplc="4ECA0328" w:tentative="1">
      <w:start w:val="1"/>
      <w:numFmt w:val="bullet"/>
      <w:lvlText w:val="o"/>
      <w:lvlJc w:val="left"/>
      <w:pPr>
        <w:ind w:left="1080" w:hanging="360"/>
      </w:pPr>
      <w:rPr>
        <w:rFonts w:ascii="Courier New" w:hAnsi="Courier New" w:cs="Courier New" w:hint="default"/>
      </w:rPr>
    </w:lvl>
    <w:lvl w:ilvl="2" w:tplc="60AAAD82" w:tentative="1">
      <w:start w:val="1"/>
      <w:numFmt w:val="bullet"/>
      <w:lvlText w:val=""/>
      <w:lvlJc w:val="left"/>
      <w:pPr>
        <w:ind w:left="1800" w:hanging="360"/>
      </w:pPr>
      <w:rPr>
        <w:rFonts w:ascii="Wingdings" w:hAnsi="Wingdings" w:hint="default"/>
      </w:rPr>
    </w:lvl>
    <w:lvl w:ilvl="3" w:tplc="C8F60600" w:tentative="1">
      <w:start w:val="1"/>
      <w:numFmt w:val="bullet"/>
      <w:lvlText w:val=""/>
      <w:lvlJc w:val="left"/>
      <w:pPr>
        <w:ind w:left="2520" w:hanging="360"/>
      </w:pPr>
      <w:rPr>
        <w:rFonts w:ascii="Symbol" w:hAnsi="Symbol" w:hint="default"/>
      </w:rPr>
    </w:lvl>
    <w:lvl w:ilvl="4" w:tplc="AC8C0254" w:tentative="1">
      <w:start w:val="1"/>
      <w:numFmt w:val="bullet"/>
      <w:lvlText w:val="o"/>
      <w:lvlJc w:val="left"/>
      <w:pPr>
        <w:ind w:left="3240" w:hanging="360"/>
      </w:pPr>
      <w:rPr>
        <w:rFonts w:ascii="Courier New" w:hAnsi="Courier New" w:cs="Courier New" w:hint="default"/>
      </w:rPr>
    </w:lvl>
    <w:lvl w:ilvl="5" w:tplc="C30E8768" w:tentative="1">
      <w:start w:val="1"/>
      <w:numFmt w:val="bullet"/>
      <w:lvlText w:val=""/>
      <w:lvlJc w:val="left"/>
      <w:pPr>
        <w:ind w:left="3960" w:hanging="360"/>
      </w:pPr>
      <w:rPr>
        <w:rFonts w:ascii="Wingdings" w:hAnsi="Wingdings" w:hint="default"/>
      </w:rPr>
    </w:lvl>
    <w:lvl w:ilvl="6" w:tplc="108073F2" w:tentative="1">
      <w:start w:val="1"/>
      <w:numFmt w:val="bullet"/>
      <w:lvlText w:val=""/>
      <w:lvlJc w:val="left"/>
      <w:pPr>
        <w:ind w:left="4680" w:hanging="360"/>
      </w:pPr>
      <w:rPr>
        <w:rFonts w:ascii="Symbol" w:hAnsi="Symbol" w:hint="default"/>
      </w:rPr>
    </w:lvl>
    <w:lvl w:ilvl="7" w:tplc="9ECA2ED6" w:tentative="1">
      <w:start w:val="1"/>
      <w:numFmt w:val="bullet"/>
      <w:lvlText w:val="o"/>
      <w:lvlJc w:val="left"/>
      <w:pPr>
        <w:ind w:left="5400" w:hanging="360"/>
      </w:pPr>
      <w:rPr>
        <w:rFonts w:ascii="Courier New" w:hAnsi="Courier New" w:cs="Courier New" w:hint="default"/>
      </w:rPr>
    </w:lvl>
    <w:lvl w:ilvl="8" w:tplc="3774D562" w:tentative="1">
      <w:start w:val="1"/>
      <w:numFmt w:val="bullet"/>
      <w:lvlText w:val=""/>
      <w:lvlJc w:val="left"/>
      <w:pPr>
        <w:ind w:left="6120" w:hanging="360"/>
      </w:pPr>
      <w:rPr>
        <w:rFonts w:ascii="Wingdings" w:hAnsi="Wingdings" w:hint="default"/>
      </w:rPr>
    </w:lvl>
  </w:abstractNum>
  <w:abstractNum w:abstractNumId="184" w15:restartNumberingAfterBreak="0">
    <w:nsid w:val="6F4D26FB"/>
    <w:multiLevelType w:val="hybridMultilevel"/>
    <w:tmpl w:val="0974E09E"/>
    <w:lvl w:ilvl="0" w:tplc="E154EFFA">
      <w:start w:val="1"/>
      <w:numFmt w:val="lowerRoman"/>
      <w:pStyle w:val="ESSAQUESTIONS"/>
      <w:lvlText w:val="%1."/>
      <w:lvlJc w:val="right"/>
      <w:pPr>
        <w:ind w:left="1620" w:hanging="360"/>
      </w:pPr>
      <w:rPr>
        <w:rFonts w:hint="default"/>
        <w:i w:val="0"/>
        <w:iCs w:val="0"/>
        <w:color w:val="auto"/>
      </w:rPr>
    </w:lvl>
    <w:lvl w:ilvl="1" w:tplc="0328624E">
      <w:start w:val="1"/>
      <w:numFmt w:val="lowerLetter"/>
      <w:lvlText w:val="%2."/>
      <w:lvlJc w:val="left"/>
      <w:pPr>
        <w:ind w:left="2340" w:hanging="360"/>
      </w:pPr>
      <w:rPr>
        <w:color w:val="244061" w:themeColor="accent1" w:themeShade="80"/>
      </w:rPr>
    </w:lvl>
    <w:lvl w:ilvl="2" w:tplc="E6C0FAD6">
      <w:start w:val="1"/>
      <w:numFmt w:val="lowerRoman"/>
      <w:lvlText w:val="%3."/>
      <w:lvlJc w:val="right"/>
      <w:pPr>
        <w:ind w:left="3060" w:hanging="180"/>
      </w:pPr>
    </w:lvl>
    <w:lvl w:ilvl="3" w:tplc="6EB82C0C">
      <w:start w:val="1"/>
      <w:numFmt w:val="decimal"/>
      <w:lvlText w:val="%4."/>
      <w:lvlJc w:val="left"/>
      <w:pPr>
        <w:ind w:left="3780" w:hanging="360"/>
      </w:pPr>
    </w:lvl>
    <w:lvl w:ilvl="4" w:tplc="33D4D964">
      <w:start w:val="4"/>
      <w:numFmt w:val="upperLetter"/>
      <w:lvlText w:val="%5."/>
      <w:lvlJc w:val="left"/>
      <w:pPr>
        <w:ind w:left="4500" w:hanging="360"/>
      </w:pPr>
      <w:rPr>
        <w:rFonts w:hint="default"/>
        <w:i/>
        <w:u w:val="single"/>
      </w:rPr>
    </w:lvl>
    <w:lvl w:ilvl="5" w:tplc="675CD2F0">
      <w:start w:val="1"/>
      <w:numFmt w:val="lowerRoman"/>
      <w:lvlText w:val="%6."/>
      <w:lvlJc w:val="right"/>
      <w:pPr>
        <w:ind w:left="5220" w:hanging="180"/>
      </w:pPr>
    </w:lvl>
    <w:lvl w:ilvl="6" w:tplc="E2268A92" w:tentative="1">
      <w:start w:val="1"/>
      <w:numFmt w:val="decimal"/>
      <w:lvlText w:val="%7."/>
      <w:lvlJc w:val="left"/>
      <w:pPr>
        <w:ind w:left="5940" w:hanging="360"/>
      </w:pPr>
    </w:lvl>
    <w:lvl w:ilvl="7" w:tplc="AC2CB880" w:tentative="1">
      <w:start w:val="1"/>
      <w:numFmt w:val="lowerLetter"/>
      <w:lvlText w:val="%8."/>
      <w:lvlJc w:val="left"/>
      <w:pPr>
        <w:ind w:left="6660" w:hanging="360"/>
      </w:pPr>
    </w:lvl>
    <w:lvl w:ilvl="8" w:tplc="A22AB848" w:tentative="1">
      <w:start w:val="1"/>
      <w:numFmt w:val="lowerRoman"/>
      <w:lvlText w:val="%9."/>
      <w:lvlJc w:val="right"/>
      <w:pPr>
        <w:ind w:left="7380" w:hanging="180"/>
      </w:pPr>
    </w:lvl>
  </w:abstractNum>
  <w:abstractNum w:abstractNumId="185" w15:restartNumberingAfterBreak="0">
    <w:nsid w:val="6FB672CC"/>
    <w:multiLevelType w:val="hybridMultilevel"/>
    <w:tmpl w:val="A3128780"/>
    <w:lvl w:ilvl="0" w:tplc="DB222900">
      <w:start w:val="1"/>
      <w:numFmt w:val="bullet"/>
      <w:lvlText w:val=""/>
      <w:lvlJc w:val="left"/>
      <w:pPr>
        <w:ind w:left="720" w:hanging="360"/>
      </w:pPr>
      <w:rPr>
        <w:rFonts w:ascii="Symbol" w:hAnsi="Symbol" w:hint="default"/>
      </w:rPr>
    </w:lvl>
    <w:lvl w:ilvl="1" w:tplc="6CB6F3D8" w:tentative="1">
      <w:start w:val="1"/>
      <w:numFmt w:val="bullet"/>
      <w:lvlText w:val="o"/>
      <w:lvlJc w:val="left"/>
      <w:pPr>
        <w:ind w:left="1440" w:hanging="360"/>
      </w:pPr>
      <w:rPr>
        <w:rFonts w:ascii="Courier New" w:hAnsi="Courier New" w:cs="Courier New" w:hint="default"/>
      </w:rPr>
    </w:lvl>
    <w:lvl w:ilvl="2" w:tplc="2A2AD0AC" w:tentative="1">
      <w:start w:val="1"/>
      <w:numFmt w:val="bullet"/>
      <w:lvlText w:val=""/>
      <w:lvlJc w:val="left"/>
      <w:pPr>
        <w:ind w:left="2160" w:hanging="360"/>
      </w:pPr>
      <w:rPr>
        <w:rFonts w:ascii="Wingdings" w:hAnsi="Wingdings" w:hint="default"/>
      </w:rPr>
    </w:lvl>
    <w:lvl w:ilvl="3" w:tplc="DD30200E" w:tentative="1">
      <w:start w:val="1"/>
      <w:numFmt w:val="bullet"/>
      <w:lvlText w:val=""/>
      <w:lvlJc w:val="left"/>
      <w:pPr>
        <w:ind w:left="2880" w:hanging="360"/>
      </w:pPr>
      <w:rPr>
        <w:rFonts w:ascii="Symbol" w:hAnsi="Symbol" w:hint="default"/>
      </w:rPr>
    </w:lvl>
    <w:lvl w:ilvl="4" w:tplc="0CC41E9C" w:tentative="1">
      <w:start w:val="1"/>
      <w:numFmt w:val="bullet"/>
      <w:lvlText w:val="o"/>
      <w:lvlJc w:val="left"/>
      <w:pPr>
        <w:ind w:left="3600" w:hanging="360"/>
      </w:pPr>
      <w:rPr>
        <w:rFonts w:ascii="Courier New" w:hAnsi="Courier New" w:cs="Courier New" w:hint="default"/>
      </w:rPr>
    </w:lvl>
    <w:lvl w:ilvl="5" w:tplc="C798BBFE" w:tentative="1">
      <w:start w:val="1"/>
      <w:numFmt w:val="bullet"/>
      <w:lvlText w:val=""/>
      <w:lvlJc w:val="left"/>
      <w:pPr>
        <w:ind w:left="4320" w:hanging="360"/>
      </w:pPr>
      <w:rPr>
        <w:rFonts w:ascii="Wingdings" w:hAnsi="Wingdings" w:hint="default"/>
      </w:rPr>
    </w:lvl>
    <w:lvl w:ilvl="6" w:tplc="7AB04EFC" w:tentative="1">
      <w:start w:val="1"/>
      <w:numFmt w:val="bullet"/>
      <w:lvlText w:val=""/>
      <w:lvlJc w:val="left"/>
      <w:pPr>
        <w:ind w:left="5040" w:hanging="360"/>
      </w:pPr>
      <w:rPr>
        <w:rFonts w:ascii="Symbol" w:hAnsi="Symbol" w:hint="default"/>
      </w:rPr>
    </w:lvl>
    <w:lvl w:ilvl="7" w:tplc="8A740504" w:tentative="1">
      <w:start w:val="1"/>
      <w:numFmt w:val="bullet"/>
      <w:lvlText w:val="o"/>
      <w:lvlJc w:val="left"/>
      <w:pPr>
        <w:ind w:left="5760" w:hanging="360"/>
      </w:pPr>
      <w:rPr>
        <w:rFonts w:ascii="Courier New" w:hAnsi="Courier New" w:cs="Courier New" w:hint="default"/>
      </w:rPr>
    </w:lvl>
    <w:lvl w:ilvl="8" w:tplc="CFA8DD40" w:tentative="1">
      <w:start w:val="1"/>
      <w:numFmt w:val="bullet"/>
      <w:lvlText w:val=""/>
      <w:lvlJc w:val="left"/>
      <w:pPr>
        <w:ind w:left="6480" w:hanging="360"/>
      </w:pPr>
      <w:rPr>
        <w:rFonts w:ascii="Wingdings" w:hAnsi="Wingdings" w:hint="default"/>
      </w:rPr>
    </w:lvl>
  </w:abstractNum>
  <w:abstractNum w:abstractNumId="186" w15:restartNumberingAfterBreak="0">
    <w:nsid w:val="70635DF6"/>
    <w:multiLevelType w:val="hybridMultilevel"/>
    <w:tmpl w:val="C2B2B8A4"/>
    <w:lvl w:ilvl="0" w:tplc="FB72F9EC">
      <w:start w:val="1"/>
      <w:numFmt w:val="bullet"/>
      <w:lvlText w:val=""/>
      <w:lvlJc w:val="left"/>
      <w:pPr>
        <w:ind w:left="720" w:hanging="360"/>
      </w:pPr>
      <w:rPr>
        <w:rFonts w:ascii="Symbol" w:hAnsi="Symbol" w:hint="default"/>
      </w:rPr>
    </w:lvl>
    <w:lvl w:ilvl="1" w:tplc="8E0CEBAE" w:tentative="1">
      <w:start w:val="1"/>
      <w:numFmt w:val="bullet"/>
      <w:lvlText w:val="o"/>
      <w:lvlJc w:val="left"/>
      <w:pPr>
        <w:ind w:left="1440" w:hanging="360"/>
      </w:pPr>
      <w:rPr>
        <w:rFonts w:ascii="Courier New" w:hAnsi="Courier New" w:cs="Courier New" w:hint="default"/>
      </w:rPr>
    </w:lvl>
    <w:lvl w:ilvl="2" w:tplc="0BA867F4" w:tentative="1">
      <w:start w:val="1"/>
      <w:numFmt w:val="bullet"/>
      <w:lvlText w:val=""/>
      <w:lvlJc w:val="left"/>
      <w:pPr>
        <w:ind w:left="2160" w:hanging="360"/>
      </w:pPr>
      <w:rPr>
        <w:rFonts w:ascii="Wingdings" w:hAnsi="Wingdings" w:hint="default"/>
      </w:rPr>
    </w:lvl>
    <w:lvl w:ilvl="3" w:tplc="9962C0E2" w:tentative="1">
      <w:start w:val="1"/>
      <w:numFmt w:val="bullet"/>
      <w:lvlText w:val=""/>
      <w:lvlJc w:val="left"/>
      <w:pPr>
        <w:ind w:left="2880" w:hanging="360"/>
      </w:pPr>
      <w:rPr>
        <w:rFonts w:ascii="Symbol" w:hAnsi="Symbol" w:hint="default"/>
      </w:rPr>
    </w:lvl>
    <w:lvl w:ilvl="4" w:tplc="28FEE86A" w:tentative="1">
      <w:start w:val="1"/>
      <w:numFmt w:val="bullet"/>
      <w:lvlText w:val="o"/>
      <w:lvlJc w:val="left"/>
      <w:pPr>
        <w:ind w:left="3600" w:hanging="360"/>
      </w:pPr>
      <w:rPr>
        <w:rFonts w:ascii="Courier New" w:hAnsi="Courier New" w:cs="Courier New" w:hint="default"/>
      </w:rPr>
    </w:lvl>
    <w:lvl w:ilvl="5" w:tplc="E118D700" w:tentative="1">
      <w:start w:val="1"/>
      <w:numFmt w:val="bullet"/>
      <w:lvlText w:val=""/>
      <w:lvlJc w:val="left"/>
      <w:pPr>
        <w:ind w:left="4320" w:hanging="360"/>
      </w:pPr>
      <w:rPr>
        <w:rFonts w:ascii="Wingdings" w:hAnsi="Wingdings" w:hint="default"/>
      </w:rPr>
    </w:lvl>
    <w:lvl w:ilvl="6" w:tplc="DD5831E6" w:tentative="1">
      <w:start w:val="1"/>
      <w:numFmt w:val="bullet"/>
      <w:lvlText w:val=""/>
      <w:lvlJc w:val="left"/>
      <w:pPr>
        <w:ind w:left="5040" w:hanging="360"/>
      </w:pPr>
      <w:rPr>
        <w:rFonts w:ascii="Symbol" w:hAnsi="Symbol" w:hint="default"/>
      </w:rPr>
    </w:lvl>
    <w:lvl w:ilvl="7" w:tplc="93D4B112" w:tentative="1">
      <w:start w:val="1"/>
      <w:numFmt w:val="bullet"/>
      <w:lvlText w:val="o"/>
      <w:lvlJc w:val="left"/>
      <w:pPr>
        <w:ind w:left="5760" w:hanging="360"/>
      </w:pPr>
      <w:rPr>
        <w:rFonts w:ascii="Courier New" w:hAnsi="Courier New" w:cs="Courier New" w:hint="default"/>
      </w:rPr>
    </w:lvl>
    <w:lvl w:ilvl="8" w:tplc="B680F054" w:tentative="1">
      <w:start w:val="1"/>
      <w:numFmt w:val="bullet"/>
      <w:lvlText w:val=""/>
      <w:lvlJc w:val="left"/>
      <w:pPr>
        <w:ind w:left="6480" w:hanging="360"/>
      </w:pPr>
      <w:rPr>
        <w:rFonts w:ascii="Wingdings" w:hAnsi="Wingdings" w:hint="default"/>
      </w:rPr>
    </w:lvl>
  </w:abstractNum>
  <w:abstractNum w:abstractNumId="187" w15:restartNumberingAfterBreak="0">
    <w:nsid w:val="70912D52"/>
    <w:multiLevelType w:val="multilevel"/>
    <w:tmpl w:val="162024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70E258CF"/>
    <w:multiLevelType w:val="multilevel"/>
    <w:tmpl w:val="935C9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720453F7"/>
    <w:multiLevelType w:val="hybridMultilevel"/>
    <w:tmpl w:val="0394898C"/>
    <w:lvl w:ilvl="0" w:tplc="ADD43066">
      <w:start w:val="1"/>
      <w:numFmt w:val="bullet"/>
      <w:lvlText w:val=""/>
      <w:lvlJc w:val="left"/>
      <w:pPr>
        <w:ind w:left="720" w:hanging="360"/>
      </w:pPr>
      <w:rPr>
        <w:rFonts w:ascii="Symbol" w:hAnsi="Symbol" w:hint="default"/>
      </w:rPr>
    </w:lvl>
    <w:lvl w:ilvl="1" w:tplc="FEF6DA02" w:tentative="1">
      <w:start w:val="1"/>
      <w:numFmt w:val="bullet"/>
      <w:lvlText w:val="o"/>
      <w:lvlJc w:val="left"/>
      <w:pPr>
        <w:ind w:left="1440" w:hanging="360"/>
      </w:pPr>
      <w:rPr>
        <w:rFonts w:ascii="Courier New" w:hAnsi="Courier New" w:cs="Courier New" w:hint="default"/>
      </w:rPr>
    </w:lvl>
    <w:lvl w:ilvl="2" w:tplc="040EF572" w:tentative="1">
      <w:start w:val="1"/>
      <w:numFmt w:val="bullet"/>
      <w:lvlText w:val=""/>
      <w:lvlJc w:val="left"/>
      <w:pPr>
        <w:ind w:left="2160" w:hanging="360"/>
      </w:pPr>
      <w:rPr>
        <w:rFonts w:ascii="Wingdings" w:hAnsi="Wingdings" w:hint="default"/>
      </w:rPr>
    </w:lvl>
    <w:lvl w:ilvl="3" w:tplc="CC2A09CA" w:tentative="1">
      <w:start w:val="1"/>
      <w:numFmt w:val="bullet"/>
      <w:lvlText w:val=""/>
      <w:lvlJc w:val="left"/>
      <w:pPr>
        <w:ind w:left="2880" w:hanging="360"/>
      </w:pPr>
      <w:rPr>
        <w:rFonts w:ascii="Symbol" w:hAnsi="Symbol" w:hint="default"/>
      </w:rPr>
    </w:lvl>
    <w:lvl w:ilvl="4" w:tplc="01CC3C94" w:tentative="1">
      <w:start w:val="1"/>
      <w:numFmt w:val="bullet"/>
      <w:lvlText w:val="o"/>
      <w:lvlJc w:val="left"/>
      <w:pPr>
        <w:ind w:left="3600" w:hanging="360"/>
      </w:pPr>
      <w:rPr>
        <w:rFonts w:ascii="Courier New" w:hAnsi="Courier New" w:cs="Courier New" w:hint="default"/>
      </w:rPr>
    </w:lvl>
    <w:lvl w:ilvl="5" w:tplc="611029C8" w:tentative="1">
      <w:start w:val="1"/>
      <w:numFmt w:val="bullet"/>
      <w:lvlText w:val=""/>
      <w:lvlJc w:val="left"/>
      <w:pPr>
        <w:ind w:left="4320" w:hanging="360"/>
      </w:pPr>
      <w:rPr>
        <w:rFonts w:ascii="Wingdings" w:hAnsi="Wingdings" w:hint="default"/>
      </w:rPr>
    </w:lvl>
    <w:lvl w:ilvl="6" w:tplc="56960CDC" w:tentative="1">
      <w:start w:val="1"/>
      <w:numFmt w:val="bullet"/>
      <w:lvlText w:val=""/>
      <w:lvlJc w:val="left"/>
      <w:pPr>
        <w:ind w:left="5040" w:hanging="360"/>
      </w:pPr>
      <w:rPr>
        <w:rFonts w:ascii="Symbol" w:hAnsi="Symbol" w:hint="default"/>
      </w:rPr>
    </w:lvl>
    <w:lvl w:ilvl="7" w:tplc="99CA622C" w:tentative="1">
      <w:start w:val="1"/>
      <w:numFmt w:val="bullet"/>
      <w:lvlText w:val="o"/>
      <w:lvlJc w:val="left"/>
      <w:pPr>
        <w:ind w:left="5760" w:hanging="360"/>
      </w:pPr>
      <w:rPr>
        <w:rFonts w:ascii="Courier New" w:hAnsi="Courier New" w:cs="Courier New" w:hint="default"/>
      </w:rPr>
    </w:lvl>
    <w:lvl w:ilvl="8" w:tplc="8716FDF0" w:tentative="1">
      <w:start w:val="1"/>
      <w:numFmt w:val="bullet"/>
      <w:lvlText w:val=""/>
      <w:lvlJc w:val="left"/>
      <w:pPr>
        <w:ind w:left="6480" w:hanging="360"/>
      </w:pPr>
      <w:rPr>
        <w:rFonts w:ascii="Wingdings" w:hAnsi="Wingdings" w:hint="default"/>
      </w:rPr>
    </w:lvl>
  </w:abstractNum>
  <w:abstractNum w:abstractNumId="190" w15:restartNumberingAfterBreak="0">
    <w:nsid w:val="72627903"/>
    <w:multiLevelType w:val="multilevel"/>
    <w:tmpl w:val="8908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73956027"/>
    <w:multiLevelType w:val="hybridMultilevel"/>
    <w:tmpl w:val="2ACA0F46"/>
    <w:lvl w:ilvl="0" w:tplc="292AA75A">
      <w:start w:val="1"/>
      <w:numFmt w:val="bullet"/>
      <w:lvlText w:val=""/>
      <w:lvlJc w:val="left"/>
      <w:pPr>
        <w:ind w:left="720" w:hanging="360"/>
      </w:pPr>
      <w:rPr>
        <w:rFonts w:ascii="Symbol" w:hAnsi="Symbol" w:hint="default"/>
      </w:rPr>
    </w:lvl>
    <w:lvl w:ilvl="1" w:tplc="BFA48B2C" w:tentative="1">
      <w:start w:val="1"/>
      <w:numFmt w:val="bullet"/>
      <w:lvlText w:val="o"/>
      <w:lvlJc w:val="left"/>
      <w:pPr>
        <w:ind w:left="1440" w:hanging="360"/>
      </w:pPr>
      <w:rPr>
        <w:rFonts w:ascii="Courier New" w:hAnsi="Courier New" w:cs="Courier New" w:hint="default"/>
      </w:rPr>
    </w:lvl>
    <w:lvl w:ilvl="2" w:tplc="7CCAC11E" w:tentative="1">
      <w:start w:val="1"/>
      <w:numFmt w:val="bullet"/>
      <w:lvlText w:val=""/>
      <w:lvlJc w:val="left"/>
      <w:pPr>
        <w:ind w:left="2160" w:hanging="360"/>
      </w:pPr>
      <w:rPr>
        <w:rFonts w:ascii="Wingdings" w:hAnsi="Wingdings" w:hint="default"/>
      </w:rPr>
    </w:lvl>
    <w:lvl w:ilvl="3" w:tplc="4FBA14C8" w:tentative="1">
      <w:start w:val="1"/>
      <w:numFmt w:val="bullet"/>
      <w:lvlText w:val=""/>
      <w:lvlJc w:val="left"/>
      <w:pPr>
        <w:ind w:left="2880" w:hanging="360"/>
      </w:pPr>
      <w:rPr>
        <w:rFonts w:ascii="Symbol" w:hAnsi="Symbol" w:hint="default"/>
      </w:rPr>
    </w:lvl>
    <w:lvl w:ilvl="4" w:tplc="95E60C1A" w:tentative="1">
      <w:start w:val="1"/>
      <w:numFmt w:val="bullet"/>
      <w:lvlText w:val="o"/>
      <w:lvlJc w:val="left"/>
      <w:pPr>
        <w:ind w:left="3600" w:hanging="360"/>
      </w:pPr>
      <w:rPr>
        <w:rFonts w:ascii="Courier New" w:hAnsi="Courier New" w:cs="Courier New" w:hint="default"/>
      </w:rPr>
    </w:lvl>
    <w:lvl w:ilvl="5" w:tplc="9A58B81A" w:tentative="1">
      <w:start w:val="1"/>
      <w:numFmt w:val="bullet"/>
      <w:lvlText w:val=""/>
      <w:lvlJc w:val="left"/>
      <w:pPr>
        <w:ind w:left="4320" w:hanging="360"/>
      </w:pPr>
      <w:rPr>
        <w:rFonts w:ascii="Wingdings" w:hAnsi="Wingdings" w:hint="default"/>
      </w:rPr>
    </w:lvl>
    <w:lvl w:ilvl="6" w:tplc="5C9AD7CE" w:tentative="1">
      <w:start w:val="1"/>
      <w:numFmt w:val="bullet"/>
      <w:lvlText w:val=""/>
      <w:lvlJc w:val="left"/>
      <w:pPr>
        <w:ind w:left="5040" w:hanging="360"/>
      </w:pPr>
      <w:rPr>
        <w:rFonts w:ascii="Symbol" w:hAnsi="Symbol" w:hint="default"/>
      </w:rPr>
    </w:lvl>
    <w:lvl w:ilvl="7" w:tplc="AE14E7FA" w:tentative="1">
      <w:start w:val="1"/>
      <w:numFmt w:val="bullet"/>
      <w:lvlText w:val="o"/>
      <w:lvlJc w:val="left"/>
      <w:pPr>
        <w:ind w:left="5760" w:hanging="360"/>
      </w:pPr>
      <w:rPr>
        <w:rFonts w:ascii="Courier New" w:hAnsi="Courier New" w:cs="Courier New" w:hint="default"/>
      </w:rPr>
    </w:lvl>
    <w:lvl w:ilvl="8" w:tplc="28E2AD94" w:tentative="1">
      <w:start w:val="1"/>
      <w:numFmt w:val="bullet"/>
      <w:lvlText w:val=""/>
      <w:lvlJc w:val="left"/>
      <w:pPr>
        <w:ind w:left="6480" w:hanging="360"/>
      </w:pPr>
      <w:rPr>
        <w:rFonts w:ascii="Wingdings" w:hAnsi="Wingdings" w:hint="default"/>
      </w:rPr>
    </w:lvl>
  </w:abstractNum>
  <w:abstractNum w:abstractNumId="192" w15:restartNumberingAfterBreak="0">
    <w:nsid w:val="746F072C"/>
    <w:multiLevelType w:val="hybridMultilevel"/>
    <w:tmpl w:val="E8A0D37C"/>
    <w:lvl w:ilvl="0" w:tplc="F68632D8">
      <w:start w:val="1"/>
      <w:numFmt w:val="bullet"/>
      <w:lvlText w:val=""/>
      <w:lvlJc w:val="left"/>
      <w:pPr>
        <w:ind w:left="720" w:hanging="360"/>
      </w:pPr>
      <w:rPr>
        <w:rFonts w:ascii="Symbol" w:hAnsi="Symbol" w:hint="default"/>
      </w:rPr>
    </w:lvl>
    <w:lvl w:ilvl="1" w:tplc="07ACA886" w:tentative="1">
      <w:start w:val="1"/>
      <w:numFmt w:val="lowerLetter"/>
      <w:lvlText w:val="%2."/>
      <w:lvlJc w:val="left"/>
      <w:pPr>
        <w:ind w:left="1440" w:hanging="360"/>
      </w:pPr>
    </w:lvl>
    <w:lvl w:ilvl="2" w:tplc="C498AE76" w:tentative="1">
      <w:start w:val="1"/>
      <w:numFmt w:val="lowerRoman"/>
      <w:lvlText w:val="%3."/>
      <w:lvlJc w:val="right"/>
      <w:pPr>
        <w:ind w:left="2160" w:hanging="180"/>
      </w:pPr>
    </w:lvl>
    <w:lvl w:ilvl="3" w:tplc="6786043E" w:tentative="1">
      <w:start w:val="1"/>
      <w:numFmt w:val="decimal"/>
      <w:lvlText w:val="%4."/>
      <w:lvlJc w:val="left"/>
      <w:pPr>
        <w:ind w:left="2880" w:hanging="360"/>
      </w:pPr>
    </w:lvl>
    <w:lvl w:ilvl="4" w:tplc="F9F830FE" w:tentative="1">
      <w:start w:val="1"/>
      <w:numFmt w:val="lowerLetter"/>
      <w:lvlText w:val="%5."/>
      <w:lvlJc w:val="left"/>
      <w:pPr>
        <w:ind w:left="3600" w:hanging="360"/>
      </w:pPr>
    </w:lvl>
    <w:lvl w:ilvl="5" w:tplc="0090DAD6" w:tentative="1">
      <w:start w:val="1"/>
      <w:numFmt w:val="lowerRoman"/>
      <w:lvlText w:val="%6."/>
      <w:lvlJc w:val="right"/>
      <w:pPr>
        <w:ind w:left="4320" w:hanging="180"/>
      </w:pPr>
    </w:lvl>
    <w:lvl w:ilvl="6" w:tplc="E87429B2" w:tentative="1">
      <w:start w:val="1"/>
      <w:numFmt w:val="decimal"/>
      <w:lvlText w:val="%7."/>
      <w:lvlJc w:val="left"/>
      <w:pPr>
        <w:ind w:left="5040" w:hanging="360"/>
      </w:pPr>
    </w:lvl>
    <w:lvl w:ilvl="7" w:tplc="E48C8420" w:tentative="1">
      <w:start w:val="1"/>
      <w:numFmt w:val="lowerLetter"/>
      <w:lvlText w:val="%8."/>
      <w:lvlJc w:val="left"/>
      <w:pPr>
        <w:ind w:left="5760" w:hanging="360"/>
      </w:pPr>
    </w:lvl>
    <w:lvl w:ilvl="8" w:tplc="50AA1962" w:tentative="1">
      <w:start w:val="1"/>
      <w:numFmt w:val="lowerRoman"/>
      <w:lvlText w:val="%9."/>
      <w:lvlJc w:val="right"/>
      <w:pPr>
        <w:ind w:left="6480" w:hanging="180"/>
      </w:pPr>
    </w:lvl>
  </w:abstractNum>
  <w:abstractNum w:abstractNumId="193" w15:restartNumberingAfterBreak="0">
    <w:nsid w:val="751919F5"/>
    <w:multiLevelType w:val="hybridMultilevel"/>
    <w:tmpl w:val="52120056"/>
    <w:lvl w:ilvl="0" w:tplc="2B302482">
      <w:start w:val="1"/>
      <w:numFmt w:val="decimal"/>
      <w:lvlText w:val="%1."/>
      <w:lvlJc w:val="left"/>
      <w:pPr>
        <w:ind w:left="720" w:hanging="360"/>
      </w:pPr>
      <w:rPr>
        <w:rFonts w:ascii="Times New Roman" w:hAnsi="Times New Roman" w:cs="Times New Roman" w:hint="default"/>
      </w:rPr>
    </w:lvl>
    <w:lvl w:ilvl="1" w:tplc="D32AAF42" w:tentative="1">
      <w:start w:val="1"/>
      <w:numFmt w:val="lowerLetter"/>
      <w:lvlText w:val="%2."/>
      <w:lvlJc w:val="left"/>
      <w:pPr>
        <w:ind w:left="1440" w:hanging="360"/>
      </w:pPr>
    </w:lvl>
    <w:lvl w:ilvl="2" w:tplc="13EA6100" w:tentative="1">
      <w:start w:val="1"/>
      <w:numFmt w:val="lowerRoman"/>
      <w:lvlText w:val="%3."/>
      <w:lvlJc w:val="right"/>
      <w:pPr>
        <w:ind w:left="2160" w:hanging="180"/>
      </w:pPr>
    </w:lvl>
    <w:lvl w:ilvl="3" w:tplc="94FCEB12" w:tentative="1">
      <w:start w:val="1"/>
      <w:numFmt w:val="decimal"/>
      <w:lvlText w:val="%4."/>
      <w:lvlJc w:val="left"/>
      <w:pPr>
        <w:ind w:left="2880" w:hanging="360"/>
      </w:pPr>
    </w:lvl>
    <w:lvl w:ilvl="4" w:tplc="9078B488" w:tentative="1">
      <w:start w:val="1"/>
      <w:numFmt w:val="lowerLetter"/>
      <w:lvlText w:val="%5."/>
      <w:lvlJc w:val="left"/>
      <w:pPr>
        <w:ind w:left="3600" w:hanging="360"/>
      </w:pPr>
    </w:lvl>
    <w:lvl w:ilvl="5" w:tplc="6DE6A5A0" w:tentative="1">
      <w:start w:val="1"/>
      <w:numFmt w:val="lowerRoman"/>
      <w:lvlText w:val="%6."/>
      <w:lvlJc w:val="right"/>
      <w:pPr>
        <w:ind w:left="4320" w:hanging="180"/>
      </w:pPr>
    </w:lvl>
    <w:lvl w:ilvl="6" w:tplc="871A7C9E" w:tentative="1">
      <w:start w:val="1"/>
      <w:numFmt w:val="decimal"/>
      <w:lvlText w:val="%7."/>
      <w:lvlJc w:val="left"/>
      <w:pPr>
        <w:ind w:left="5040" w:hanging="360"/>
      </w:pPr>
    </w:lvl>
    <w:lvl w:ilvl="7" w:tplc="54F820CA" w:tentative="1">
      <w:start w:val="1"/>
      <w:numFmt w:val="lowerLetter"/>
      <w:lvlText w:val="%8."/>
      <w:lvlJc w:val="left"/>
      <w:pPr>
        <w:ind w:left="5760" w:hanging="360"/>
      </w:pPr>
    </w:lvl>
    <w:lvl w:ilvl="8" w:tplc="39FCDD36" w:tentative="1">
      <w:start w:val="1"/>
      <w:numFmt w:val="lowerRoman"/>
      <w:lvlText w:val="%9."/>
      <w:lvlJc w:val="right"/>
      <w:pPr>
        <w:ind w:left="6480" w:hanging="180"/>
      </w:pPr>
    </w:lvl>
  </w:abstractNum>
  <w:abstractNum w:abstractNumId="194" w15:restartNumberingAfterBreak="0">
    <w:nsid w:val="755625A7"/>
    <w:multiLevelType w:val="hybridMultilevel"/>
    <w:tmpl w:val="6554AF9E"/>
    <w:lvl w:ilvl="0" w:tplc="6228074C">
      <w:start w:val="1"/>
      <w:numFmt w:val="bullet"/>
      <w:lvlText w:val=""/>
      <w:lvlJc w:val="left"/>
      <w:pPr>
        <w:ind w:left="720" w:hanging="360"/>
      </w:pPr>
      <w:rPr>
        <w:rFonts w:ascii="Symbol" w:hAnsi="Symbol" w:hint="default"/>
      </w:rPr>
    </w:lvl>
    <w:lvl w:ilvl="1" w:tplc="2E76C148" w:tentative="1">
      <w:start w:val="1"/>
      <w:numFmt w:val="bullet"/>
      <w:lvlText w:val="o"/>
      <w:lvlJc w:val="left"/>
      <w:pPr>
        <w:ind w:left="1440" w:hanging="360"/>
      </w:pPr>
      <w:rPr>
        <w:rFonts w:ascii="Courier New" w:hAnsi="Courier New" w:cs="Courier New" w:hint="default"/>
      </w:rPr>
    </w:lvl>
    <w:lvl w:ilvl="2" w:tplc="706678EA" w:tentative="1">
      <w:start w:val="1"/>
      <w:numFmt w:val="bullet"/>
      <w:lvlText w:val=""/>
      <w:lvlJc w:val="left"/>
      <w:pPr>
        <w:ind w:left="2160" w:hanging="360"/>
      </w:pPr>
      <w:rPr>
        <w:rFonts w:ascii="Wingdings" w:hAnsi="Wingdings" w:hint="default"/>
      </w:rPr>
    </w:lvl>
    <w:lvl w:ilvl="3" w:tplc="2E9EE290" w:tentative="1">
      <w:start w:val="1"/>
      <w:numFmt w:val="bullet"/>
      <w:lvlText w:val=""/>
      <w:lvlJc w:val="left"/>
      <w:pPr>
        <w:ind w:left="2880" w:hanging="360"/>
      </w:pPr>
      <w:rPr>
        <w:rFonts w:ascii="Symbol" w:hAnsi="Symbol" w:hint="default"/>
      </w:rPr>
    </w:lvl>
    <w:lvl w:ilvl="4" w:tplc="4F0A9EE6" w:tentative="1">
      <w:start w:val="1"/>
      <w:numFmt w:val="bullet"/>
      <w:lvlText w:val="o"/>
      <w:lvlJc w:val="left"/>
      <w:pPr>
        <w:ind w:left="3600" w:hanging="360"/>
      </w:pPr>
      <w:rPr>
        <w:rFonts w:ascii="Courier New" w:hAnsi="Courier New" w:cs="Courier New" w:hint="default"/>
      </w:rPr>
    </w:lvl>
    <w:lvl w:ilvl="5" w:tplc="4470E7B6" w:tentative="1">
      <w:start w:val="1"/>
      <w:numFmt w:val="bullet"/>
      <w:lvlText w:val=""/>
      <w:lvlJc w:val="left"/>
      <w:pPr>
        <w:ind w:left="4320" w:hanging="360"/>
      </w:pPr>
      <w:rPr>
        <w:rFonts w:ascii="Wingdings" w:hAnsi="Wingdings" w:hint="default"/>
      </w:rPr>
    </w:lvl>
    <w:lvl w:ilvl="6" w:tplc="D51C3C3A" w:tentative="1">
      <w:start w:val="1"/>
      <w:numFmt w:val="bullet"/>
      <w:lvlText w:val=""/>
      <w:lvlJc w:val="left"/>
      <w:pPr>
        <w:ind w:left="5040" w:hanging="360"/>
      </w:pPr>
      <w:rPr>
        <w:rFonts w:ascii="Symbol" w:hAnsi="Symbol" w:hint="default"/>
      </w:rPr>
    </w:lvl>
    <w:lvl w:ilvl="7" w:tplc="03DC6B94" w:tentative="1">
      <w:start w:val="1"/>
      <w:numFmt w:val="bullet"/>
      <w:lvlText w:val="o"/>
      <w:lvlJc w:val="left"/>
      <w:pPr>
        <w:ind w:left="5760" w:hanging="360"/>
      </w:pPr>
      <w:rPr>
        <w:rFonts w:ascii="Courier New" w:hAnsi="Courier New" w:cs="Courier New" w:hint="default"/>
      </w:rPr>
    </w:lvl>
    <w:lvl w:ilvl="8" w:tplc="A5E4B95E" w:tentative="1">
      <w:start w:val="1"/>
      <w:numFmt w:val="bullet"/>
      <w:lvlText w:val=""/>
      <w:lvlJc w:val="left"/>
      <w:pPr>
        <w:ind w:left="6480" w:hanging="360"/>
      </w:pPr>
      <w:rPr>
        <w:rFonts w:ascii="Wingdings" w:hAnsi="Wingdings" w:hint="default"/>
      </w:rPr>
    </w:lvl>
  </w:abstractNum>
  <w:abstractNum w:abstractNumId="195" w15:restartNumberingAfterBreak="0">
    <w:nsid w:val="75FE6666"/>
    <w:multiLevelType w:val="multilevel"/>
    <w:tmpl w:val="48B4B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60C0159"/>
    <w:multiLevelType w:val="multilevel"/>
    <w:tmpl w:val="CC80C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76392C00"/>
    <w:multiLevelType w:val="hybridMultilevel"/>
    <w:tmpl w:val="93882CB8"/>
    <w:lvl w:ilvl="0" w:tplc="8242A38E">
      <w:start w:val="1"/>
      <w:numFmt w:val="decimal"/>
      <w:lvlText w:val="%1."/>
      <w:lvlJc w:val="left"/>
      <w:pPr>
        <w:ind w:left="720" w:hanging="360"/>
      </w:pPr>
    </w:lvl>
    <w:lvl w:ilvl="1" w:tplc="E85C9FC0">
      <w:start w:val="1"/>
      <w:numFmt w:val="decimal"/>
      <w:lvlText w:val="%2."/>
      <w:lvlJc w:val="left"/>
      <w:pPr>
        <w:ind w:left="720" w:hanging="360"/>
      </w:pPr>
    </w:lvl>
    <w:lvl w:ilvl="2" w:tplc="F9EC850C" w:tentative="1">
      <w:start w:val="1"/>
      <w:numFmt w:val="lowerRoman"/>
      <w:lvlText w:val="%3."/>
      <w:lvlJc w:val="right"/>
      <w:pPr>
        <w:ind w:left="2160" w:hanging="180"/>
      </w:pPr>
    </w:lvl>
    <w:lvl w:ilvl="3" w:tplc="A56486D6" w:tentative="1">
      <w:start w:val="1"/>
      <w:numFmt w:val="decimal"/>
      <w:lvlText w:val="%4."/>
      <w:lvlJc w:val="left"/>
      <w:pPr>
        <w:ind w:left="2880" w:hanging="360"/>
      </w:pPr>
    </w:lvl>
    <w:lvl w:ilvl="4" w:tplc="381ACE4A" w:tentative="1">
      <w:start w:val="1"/>
      <w:numFmt w:val="lowerLetter"/>
      <w:lvlText w:val="%5."/>
      <w:lvlJc w:val="left"/>
      <w:pPr>
        <w:ind w:left="3600" w:hanging="360"/>
      </w:pPr>
    </w:lvl>
    <w:lvl w:ilvl="5" w:tplc="7B9C70A0" w:tentative="1">
      <w:start w:val="1"/>
      <w:numFmt w:val="lowerRoman"/>
      <w:lvlText w:val="%6."/>
      <w:lvlJc w:val="right"/>
      <w:pPr>
        <w:ind w:left="4320" w:hanging="180"/>
      </w:pPr>
    </w:lvl>
    <w:lvl w:ilvl="6" w:tplc="035C58BE" w:tentative="1">
      <w:start w:val="1"/>
      <w:numFmt w:val="decimal"/>
      <w:lvlText w:val="%7."/>
      <w:lvlJc w:val="left"/>
      <w:pPr>
        <w:ind w:left="5040" w:hanging="360"/>
      </w:pPr>
    </w:lvl>
    <w:lvl w:ilvl="7" w:tplc="D3060D3C" w:tentative="1">
      <w:start w:val="1"/>
      <w:numFmt w:val="lowerLetter"/>
      <w:lvlText w:val="%8."/>
      <w:lvlJc w:val="left"/>
      <w:pPr>
        <w:ind w:left="5760" w:hanging="360"/>
      </w:pPr>
    </w:lvl>
    <w:lvl w:ilvl="8" w:tplc="20688D0E" w:tentative="1">
      <w:start w:val="1"/>
      <w:numFmt w:val="lowerRoman"/>
      <w:lvlText w:val="%9."/>
      <w:lvlJc w:val="right"/>
      <w:pPr>
        <w:ind w:left="6480" w:hanging="180"/>
      </w:pPr>
    </w:lvl>
  </w:abstractNum>
  <w:abstractNum w:abstractNumId="198" w15:restartNumberingAfterBreak="0">
    <w:nsid w:val="763E68DE"/>
    <w:multiLevelType w:val="multilevel"/>
    <w:tmpl w:val="95BA9C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77390ECE"/>
    <w:multiLevelType w:val="hybridMultilevel"/>
    <w:tmpl w:val="2D06A2BE"/>
    <w:lvl w:ilvl="0" w:tplc="A7CE3AE0">
      <w:start w:val="1"/>
      <w:numFmt w:val="bullet"/>
      <w:lvlText w:val=""/>
      <w:lvlJc w:val="left"/>
      <w:pPr>
        <w:ind w:left="720" w:hanging="360"/>
      </w:pPr>
      <w:rPr>
        <w:rFonts w:ascii="Wingdings" w:hAnsi="Wingdings" w:hint="default"/>
        <w:w w:val="100"/>
        <w:sz w:val="24"/>
        <w:szCs w:val="24"/>
      </w:rPr>
    </w:lvl>
    <w:lvl w:ilvl="1" w:tplc="036A4ED8" w:tentative="1">
      <w:start w:val="1"/>
      <w:numFmt w:val="lowerLetter"/>
      <w:lvlText w:val="%2."/>
      <w:lvlJc w:val="left"/>
      <w:pPr>
        <w:ind w:left="1440" w:hanging="360"/>
      </w:pPr>
    </w:lvl>
    <w:lvl w:ilvl="2" w:tplc="08ACF094" w:tentative="1">
      <w:start w:val="1"/>
      <w:numFmt w:val="lowerRoman"/>
      <w:lvlText w:val="%3."/>
      <w:lvlJc w:val="right"/>
      <w:pPr>
        <w:ind w:left="2160" w:hanging="180"/>
      </w:pPr>
    </w:lvl>
    <w:lvl w:ilvl="3" w:tplc="0A9EB868" w:tentative="1">
      <w:start w:val="1"/>
      <w:numFmt w:val="decimal"/>
      <w:lvlText w:val="%4."/>
      <w:lvlJc w:val="left"/>
      <w:pPr>
        <w:ind w:left="2880" w:hanging="360"/>
      </w:pPr>
    </w:lvl>
    <w:lvl w:ilvl="4" w:tplc="1DCA53E2" w:tentative="1">
      <w:start w:val="1"/>
      <w:numFmt w:val="lowerLetter"/>
      <w:lvlText w:val="%5."/>
      <w:lvlJc w:val="left"/>
      <w:pPr>
        <w:ind w:left="3600" w:hanging="360"/>
      </w:pPr>
    </w:lvl>
    <w:lvl w:ilvl="5" w:tplc="76561D1A" w:tentative="1">
      <w:start w:val="1"/>
      <w:numFmt w:val="lowerRoman"/>
      <w:lvlText w:val="%6."/>
      <w:lvlJc w:val="right"/>
      <w:pPr>
        <w:ind w:left="4320" w:hanging="180"/>
      </w:pPr>
    </w:lvl>
    <w:lvl w:ilvl="6" w:tplc="E434570E" w:tentative="1">
      <w:start w:val="1"/>
      <w:numFmt w:val="decimal"/>
      <w:lvlText w:val="%7."/>
      <w:lvlJc w:val="left"/>
      <w:pPr>
        <w:ind w:left="5040" w:hanging="360"/>
      </w:pPr>
    </w:lvl>
    <w:lvl w:ilvl="7" w:tplc="42927168" w:tentative="1">
      <w:start w:val="1"/>
      <w:numFmt w:val="lowerLetter"/>
      <w:lvlText w:val="%8."/>
      <w:lvlJc w:val="left"/>
      <w:pPr>
        <w:ind w:left="5760" w:hanging="360"/>
      </w:pPr>
    </w:lvl>
    <w:lvl w:ilvl="8" w:tplc="135C1CD8" w:tentative="1">
      <w:start w:val="1"/>
      <w:numFmt w:val="lowerRoman"/>
      <w:lvlText w:val="%9."/>
      <w:lvlJc w:val="right"/>
      <w:pPr>
        <w:ind w:left="6480" w:hanging="180"/>
      </w:pPr>
    </w:lvl>
  </w:abstractNum>
  <w:abstractNum w:abstractNumId="200" w15:restartNumberingAfterBreak="0">
    <w:nsid w:val="775D7777"/>
    <w:multiLevelType w:val="multilevel"/>
    <w:tmpl w:val="E21AC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77846811"/>
    <w:multiLevelType w:val="hybridMultilevel"/>
    <w:tmpl w:val="295E5BF4"/>
    <w:lvl w:ilvl="0" w:tplc="EA66E820">
      <w:start w:val="1"/>
      <w:numFmt w:val="bullet"/>
      <w:lvlText w:val=""/>
      <w:lvlJc w:val="left"/>
      <w:pPr>
        <w:ind w:left="720" w:hanging="360"/>
      </w:pPr>
      <w:rPr>
        <w:rFonts w:ascii="Symbol" w:hAnsi="Symbol" w:hint="default"/>
      </w:rPr>
    </w:lvl>
    <w:lvl w:ilvl="1" w:tplc="D69227BA" w:tentative="1">
      <w:start w:val="1"/>
      <w:numFmt w:val="bullet"/>
      <w:lvlText w:val="o"/>
      <w:lvlJc w:val="left"/>
      <w:pPr>
        <w:ind w:left="1440" w:hanging="360"/>
      </w:pPr>
      <w:rPr>
        <w:rFonts w:ascii="Courier New" w:hAnsi="Courier New" w:cs="Courier New" w:hint="default"/>
      </w:rPr>
    </w:lvl>
    <w:lvl w:ilvl="2" w:tplc="54C0C60A" w:tentative="1">
      <w:start w:val="1"/>
      <w:numFmt w:val="bullet"/>
      <w:lvlText w:val=""/>
      <w:lvlJc w:val="left"/>
      <w:pPr>
        <w:ind w:left="2160" w:hanging="360"/>
      </w:pPr>
      <w:rPr>
        <w:rFonts w:ascii="Wingdings" w:hAnsi="Wingdings" w:hint="default"/>
      </w:rPr>
    </w:lvl>
    <w:lvl w:ilvl="3" w:tplc="EE9A09D4" w:tentative="1">
      <w:start w:val="1"/>
      <w:numFmt w:val="bullet"/>
      <w:lvlText w:val=""/>
      <w:lvlJc w:val="left"/>
      <w:pPr>
        <w:ind w:left="2880" w:hanging="360"/>
      </w:pPr>
      <w:rPr>
        <w:rFonts w:ascii="Symbol" w:hAnsi="Symbol" w:hint="default"/>
      </w:rPr>
    </w:lvl>
    <w:lvl w:ilvl="4" w:tplc="52866362" w:tentative="1">
      <w:start w:val="1"/>
      <w:numFmt w:val="bullet"/>
      <w:lvlText w:val="o"/>
      <w:lvlJc w:val="left"/>
      <w:pPr>
        <w:ind w:left="3600" w:hanging="360"/>
      </w:pPr>
      <w:rPr>
        <w:rFonts w:ascii="Courier New" w:hAnsi="Courier New" w:cs="Courier New" w:hint="default"/>
      </w:rPr>
    </w:lvl>
    <w:lvl w:ilvl="5" w:tplc="FB5C92F6" w:tentative="1">
      <w:start w:val="1"/>
      <w:numFmt w:val="bullet"/>
      <w:lvlText w:val=""/>
      <w:lvlJc w:val="left"/>
      <w:pPr>
        <w:ind w:left="4320" w:hanging="360"/>
      </w:pPr>
      <w:rPr>
        <w:rFonts w:ascii="Wingdings" w:hAnsi="Wingdings" w:hint="default"/>
      </w:rPr>
    </w:lvl>
    <w:lvl w:ilvl="6" w:tplc="8106610A" w:tentative="1">
      <w:start w:val="1"/>
      <w:numFmt w:val="bullet"/>
      <w:lvlText w:val=""/>
      <w:lvlJc w:val="left"/>
      <w:pPr>
        <w:ind w:left="5040" w:hanging="360"/>
      </w:pPr>
      <w:rPr>
        <w:rFonts w:ascii="Symbol" w:hAnsi="Symbol" w:hint="default"/>
      </w:rPr>
    </w:lvl>
    <w:lvl w:ilvl="7" w:tplc="12FCD59E" w:tentative="1">
      <w:start w:val="1"/>
      <w:numFmt w:val="bullet"/>
      <w:lvlText w:val="o"/>
      <w:lvlJc w:val="left"/>
      <w:pPr>
        <w:ind w:left="5760" w:hanging="360"/>
      </w:pPr>
      <w:rPr>
        <w:rFonts w:ascii="Courier New" w:hAnsi="Courier New" w:cs="Courier New" w:hint="default"/>
      </w:rPr>
    </w:lvl>
    <w:lvl w:ilvl="8" w:tplc="99AAB27E" w:tentative="1">
      <w:start w:val="1"/>
      <w:numFmt w:val="bullet"/>
      <w:lvlText w:val=""/>
      <w:lvlJc w:val="left"/>
      <w:pPr>
        <w:ind w:left="6480" w:hanging="360"/>
      </w:pPr>
      <w:rPr>
        <w:rFonts w:ascii="Wingdings" w:hAnsi="Wingdings" w:hint="default"/>
      </w:rPr>
    </w:lvl>
  </w:abstractNum>
  <w:abstractNum w:abstractNumId="202" w15:restartNumberingAfterBreak="0">
    <w:nsid w:val="77A67043"/>
    <w:multiLevelType w:val="hybridMultilevel"/>
    <w:tmpl w:val="1CFEC034"/>
    <w:lvl w:ilvl="0" w:tplc="A1E66972">
      <w:start w:val="1"/>
      <w:numFmt w:val="bullet"/>
      <w:lvlText w:val=""/>
      <w:lvlJc w:val="left"/>
      <w:pPr>
        <w:ind w:left="720" w:hanging="360"/>
      </w:pPr>
      <w:rPr>
        <w:rFonts w:ascii="Symbol" w:hAnsi="Symbol" w:hint="default"/>
      </w:rPr>
    </w:lvl>
    <w:lvl w:ilvl="1" w:tplc="C6A43280" w:tentative="1">
      <w:start w:val="1"/>
      <w:numFmt w:val="bullet"/>
      <w:lvlText w:val="o"/>
      <w:lvlJc w:val="left"/>
      <w:pPr>
        <w:ind w:left="1440" w:hanging="360"/>
      </w:pPr>
      <w:rPr>
        <w:rFonts w:ascii="Courier New" w:hAnsi="Courier New" w:cs="Courier New" w:hint="default"/>
      </w:rPr>
    </w:lvl>
    <w:lvl w:ilvl="2" w:tplc="D000277A" w:tentative="1">
      <w:start w:val="1"/>
      <w:numFmt w:val="bullet"/>
      <w:lvlText w:val=""/>
      <w:lvlJc w:val="left"/>
      <w:pPr>
        <w:ind w:left="2160" w:hanging="360"/>
      </w:pPr>
      <w:rPr>
        <w:rFonts w:ascii="Wingdings" w:hAnsi="Wingdings" w:hint="default"/>
      </w:rPr>
    </w:lvl>
    <w:lvl w:ilvl="3" w:tplc="BBDEE7BA" w:tentative="1">
      <w:start w:val="1"/>
      <w:numFmt w:val="bullet"/>
      <w:lvlText w:val=""/>
      <w:lvlJc w:val="left"/>
      <w:pPr>
        <w:ind w:left="2880" w:hanging="360"/>
      </w:pPr>
      <w:rPr>
        <w:rFonts w:ascii="Symbol" w:hAnsi="Symbol" w:hint="default"/>
      </w:rPr>
    </w:lvl>
    <w:lvl w:ilvl="4" w:tplc="79CC1A50" w:tentative="1">
      <w:start w:val="1"/>
      <w:numFmt w:val="bullet"/>
      <w:lvlText w:val="o"/>
      <w:lvlJc w:val="left"/>
      <w:pPr>
        <w:ind w:left="3600" w:hanging="360"/>
      </w:pPr>
      <w:rPr>
        <w:rFonts w:ascii="Courier New" w:hAnsi="Courier New" w:cs="Courier New" w:hint="default"/>
      </w:rPr>
    </w:lvl>
    <w:lvl w:ilvl="5" w:tplc="BD26D4F4" w:tentative="1">
      <w:start w:val="1"/>
      <w:numFmt w:val="bullet"/>
      <w:lvlText w:val=""/>
      <w:lvlJc w:val="left"/>
      <w:pPr>
        <w:ind w:left="4320" w:hanging="360"/>
      </w:pPr>
      <w:rPr>
        <w:rFonts w:ascii="Wingdings" w:hAnsi="Wingdings" w:hint="default"/>
      </w:rPr>
    </w:lvl>
    <w:lvl w:ilvl="6" w:tplc="3640B9FE" w:tentative="1">
      <w:start w:val="1"/>
      <w:numFmt w:val="bullet"/>
      <w:lvlText w:val=""/>
      <w:lvlJc w:val="left"/>
      <w:pPr>
        <w:ind w:left="5040" w:hanging="360"/>
      </w:pPr>
      <w:rPr>
        <w:rFonts w:ascii="Symbol" w:hAnsi="Symbol" w:hint="default"/>
      </w:rPr>
    </w:lvl>
    <w:lvl w:ilvl="7" w:tplc="DEE22DB2" w:tentative="1">
      <w:start w:val="1"/>
      <w:numFmt w:val="bullet"/>
      <w:lvlText w:val="o"/>
      <w:lvlJc w:val="left"/>
      <w:pPr>
        <w:ind w:left="5760" w:hanging="360"/>
      </w:pPr>
      <w:rPr>
        <w:rFonts w:ascii="Courier New" w:hAnsi="Courier New" w:cs="Courier New" w:hint="default"/>
      </w:rPr>
    </w:lvl>
    <w:lvl w:ilvl="8" w:tplc="6CAA2EF0" w:tentative="1">
      <w:start w:val="1"/>
      <w:numFmt w:val="bullet"/>
      <w:lvlText w:val=""/>
      <w:lvlJc w:val="left"/>
      <w:pPr>
        <w:ind w:left="6480" w:hanging="360"/>
      </w:pPr>
      <w:rPr>
        <w:rFonts w:ascii="Wingdings" w:hAnsi="Wingdings" w:hint="default"/>
      </w:rPr>
    </w:lvl>
  </w:abstractNum>
  <w:abstractNum w:abstractNumId="203" w15:restartNumberingAfterBreak="0">
    <w:nsid w:val="782454C3"/>
    <w:multiLevelType w:val="hybridMultilevel"/>
    <w:tmpl w:val="F2229FBE"/>
    <w:lvl w:ilvl="0" w:tplc="5E0C6034">
      <w:start w:val="1"/>
      <w:numFmt w:val="bullet"/>
      <w:lvlText w:val=""/>
      <w:lvlJc w:val="left"/>
      <w:pPr>
        <w:ind w:left="1800" w:hanging="360"/>
      </w:pPr>
      <w:rPr>
        <w:rFonts w:ascii="Symbol" w:hAnsi="Symbol"/>
      </w:rPr>
    </w:lvl>
    <w:lvl w:ilvl="1" w:tplc="0CAC778C">
      <w:start w:val="1"/>
      <w:numFmt w:val="bullet"/>
      <w:lvlText w:val=""/>
      <w:lvlJc w:val="left"/>
      <w:pPr>
        <w:ind w:left="1800" w:hanging="360"/>
      </w:pPr>
      <w:rPr>
        <w:rFonts w:ascii="Symbol" w:hAnsi="Symbol"/>
      </w:rPr>
    </w:lvl>
    <w:lvl w:ilvl="2" w:tplc="CBF85F26">
      <w:start w:val="1"/>
      <w:numFmt w:val="bullet"/>
      <w:lvlText w:val=""/>
      <w:lvlJc w:val="left"/>
      <w:pPr>
        <w:ind w:left="1800" w:hanging="360"/>
      </w:pPr>
      <w:rPr>
        <w:rFonts w:ascii="Symbol" w:hAnsi="Symbol"/>
      </w:rPr>
    </w:lvl>
    <w:lvl w:ilvl="3" w:tplc="948AEF78">
      <w:start w:val="1"/>
      <w:numFmt w:val="bullet"/>
      <w:lvlText w:val=""/>
      <w:lvlJc w:val="left"/>
      <w:pPr>
        <w:ind w:left="1800" w:hanging="360"/>
      </w:pPr>
      <w:rPr>
        <w:rFonts w:ascii="Symbol" w:hAnsi="Symbol"/>
      </w:rPr>
    </w:lvl>
    <w:lvl w:ilvl="4" w:tplc="55BA5004">
      <w:start w:val="1"/>
      <w:numFmt w:val="bullet"/>
      <w:lvlText w:val=""/>
      <w:lvlJc w:val="left"/>
      <w:pPr>
        <w:ind w:left="1800" w:hanging="360"/>
      </w:pPr>
      <w:rPr>
        <w:rFonts w:ascii="Symbol" w:hAnsi="Symbol"/>
      </w:rPr>
    </w:lvl>
    <w:lvl w:ilvl="5" w:tplc="3C027910">
      <w:start w:val="1"/>
      <w:numFmt w:val="bullet"/>
      <w:lvlText w:val=""/>
      <w:lvlJc w:val="left"/>
      <w:pPr>
        <w:ind w:left="1800" w:hanging="360"/>
      </w:pPr>
      <w:rPr>
        <w:rFonts w:ascii="Symbol" w:hAnsi="Symbol"/>
      </w:rPr>
    </w:lvl>
    <w:lvl w:ilvl="6" w:tplc="F92CCC28">
      <w:start w:val="1"/>
      <w:numFmt w:val="bullet"/>
      <w:lvlText w:val=""/>
      <w:lvlJc w:val="left"/>
      <w:pPr>
        <w:ind w:left="1800" w:hanging="360"/>
      </w:pPr>
      <w:rPr>
        <w:rFonts w:ascii="Symbol" w:hAnsi="Symbol"/>
      </w:rPr>
    </w:lvl>
    <w:lvl w:ilvl="7" w:tplc="9D1A88AA">
      <w:start w:val="1"/>
      <w:numFmt w:val="bullet"/>
      <w:lvlText w:val=""/>
      <w:lvlJc w:val="left"/>
      <w:pPr>
        <w:ind w:left="1800" w:hanging="360"/>
      </w:pPr>
      <w:rPr>
        <w:rFonts w:ascii="Symbol" w:hAnsi="Symbol"/>
      </w:rPr>
    </w:lvl>
    <w:lvl w:ilvl="8" w:tplc="56A689C0">
      <w:start w:val="1"/>
      <w:numFmt w:val="bullet"/>
      <w:lvlText w:val=""/>
      <w:lvlJc w:val="left"/>
      <w:pPr>
        <w:ind w:left="1800" w:hanging="360"/>
      </w:pPr>
      <w:rPr>
        <w:rFonts w:ascii="Symbol" w:hAnsi="Symbol"/>
      </w:rPr>
    </w:lvl>
  </w:abstractNum>
  <w:abstractNum w:abstractNumId="204" w15:restartNumberingAfterBreak="0">
    <w:nsid w:val="78F769A8"/>
    <w:multiLevelType w:val="multilevel"/>
    <w:tmpl w:val="1AF220BC"/>
    <w:lvl w:ilvl="0">
      <w:start w:val="4"/>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94F1C76"/>
    <w:multiLevelType w:val="hybridMultilevel"/>
    <w:tmpl w:val="011492D0"/>
    <w:lvl w:ilvl="0" w:tplc="2ABCED1E">
      <w:start w:val="1"/>
      <w:numFmt w:val="bullet"/>
      <w:lvlText w:val=""/>
      <w:lvlJc w:val="left"/>
      <w:pPr>
        <w:ind w:left="720" w:hanging="360"/>
      </w:pPr>
      <w:rPr>
        <w:rFonts w:ascii="Symbol" w:hAnsi="Symbol" w:hint="default"/>
      </w:rPr>
    </w:lvl>
    <w:lvl w:ilvl="1" w:tplc="3F6A481A" w:tentative="1">
      <w:start w:val="1"/>
      <w:numFmt w:val="bullet"/>
      <w:lvlText w:val="o"/>
      <w:lvlJc w:val="left"/>
      <w:pPr>
        <w:ind w:left="1440" w:hanging="360"/>
      </w:pPr>
      <w:rPr>
        <w:rFonts w:ascii="Courier New" w:hAnsi="Courier New" w:cs="Courier New" w:hint="default"/>
      </w:rPr>
    </w:lvl>
    <w:lvl w:ilvl="2" w:tplc="7C985E6C" w:tentative="1">
      <w:start w:val="1"/>
      <w:numFmt w:val="bullet"/>
      <w:lvlText w:val=""/>
      <w:lvlJc w:val="left"/>
      <w:pPr>
        <w:ind w:left="2160" w:hanging="360"/>
      </w:pPr>
      <w:rPr>
        <w:rFonts w:ascii="Wingdings" w:hAnsi="Wingdings" w:hint="default"/>
      </w:rPr>
    </w:lvl>
    <w:lvl w:ilvl="3" w:tplc="E026A308" w:tentative="1">
      <w:start w:val="1"/>
      <w:numFmt w:val="bullet"/>
      <w:lvlText w:val=""/>
      <w:lvlJc w:val="left"/>
      <w:pPr>
        <w:ind w:left="2880" w:hanging="360"/>
      </w:pPr>
      <w:rPr>
        <w:rFonts w:ascii="Symbol" w:hAnsi="Symbol" w:hint="default"/>
      </w:rPr>
    </w:lvl>
    <w:lvl w:ilvl="4" w:tplc="1598C180" w:tentative="1">
      <w:start w:val="1"/>
      <w:numFmt w:val="bullet"/>
      <w:lvlText w:val="o"/>
      <w:lvlJc w:val="left"/>
      <w:pPr>
        <w:ind w:left="3600" w:hanging="360"/>
      </w:pPr>
      <w:rPr>
        <w:rFonts w:ascii="Courier New" w:hAnsi="Courier New" w:cs="Courier New" w:hint="default"/>
      </w:rPr>
    </w:lvl>
    <w:lvl w:ilvl="5" w:tplc="C406CA00" w:tentative="1">
      <w:start w:val="1"/>
      <w:numFmt w:val="bullet"/>
      <w:lvlText w:val=""/>
      <w:lvlJc w:val="left"/>
      <w:pPr>
        <w:ind w:left="4320" w:hanging="360"/>
      </w:pPr>
      <w:rPr>
        <w:rFonts w:ascii="Wingdings" w:hAnsi="Wingdings" w:hint="default"/>
      </w:rPr>
    </w:lvl>
    <w:lvl w:ilvl="6" w:tplc="F51CFA24" w:tentative="1">
      <w:start w:val="1"/>
      <w:numFmt w:val="bullet"/>
      <w:lvlText w:val=""/>
      <w:lvlJc w:val="left"/>
      <w:pPr>
        <w:ind w:left="5040" w:hanging="360"/>
      </w:pPr>
      <w:rPr>
        <w:rFonts w:ascii="Symbol" w:hAnsi="Symbol" w:hint="default"/>
      </w:rPr>
    </w:lvl>
    <w:lvl w:ilvl="7" w:tplc="FD60EA92" w:tentative="1">
      <w:start w:val="1"/>
      <w:numFmt w:val="bullet"/>
      <w:lvlText w:val="o"/>
      <w:lvlJc w:val="left"/>
      <w:pPr>
        <w:ind w:left="5760" w:hanging="360"/>
      </w:pPr>
      <w:rPr>
        <w:rFonts w:ascii="Courier New" w:hAnsi="Courier New" w:cs="Courier New" w:hint="default"/>
      </w:rPr>
    </w:lvl>
    <w:lvl w:ilvl="8" w:tplc="912CB782" w:tentative="1">
      <w:start w:val="1"/>
      <w:numFmt w:val="bullet"/>
      <w:lvlText w:val=""/>
      <w:lvlJc w:val="left"/>
      <w:pPr>
        <w:ind w:left="6480" w:hanging="360"/>
      </w:pPr>
      <w:rPr>
        <w:rFonts w:ascii="Wingdings" w:hAnsi="Wingdings" w:hint="default"/>
      </w:rPr>
    </w:lvl>
  </w:abstractNum>
  <w:abstractNum w:abstractNumId="206" w15:restartNumberingAfterBreak="0">
    <w:nsid w:val="79771276"/>
    <w:multiLevelType w:val="multilevel"/>
    <w:tmpl w:val="BE82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7A5C6523"/>
    <w:multiLevelType w:val="multilevel"/>
    <w:tmpl w:val="5D805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7AB53EC5"/>
    <w:multiLevelType w:val="hybridMultilevel"/>
    <w:tmpl w:val="8DF0C274"/>
    <w:lvl w:ilvl="0" w:tplc="D33C5326">
      <w:start w:val="1"/>
      <w:numFmt w:val="decimal"/>
      <w:lvlText w:val="%1."/>
      <w:lvlJc w:val="left"/>
      <w:pPr>
        <w:ind w:left="1020" w:hanging="360"/>
      </w:pPr>
    </w:lvl>
    <w:lvl w:ilvl="1" w:tplc="3998EC70">
      <w:start w:val="1"/>
      <w:numFmt w:val="decimal"/>
      <w:lvlText w:val="%2."/>
      <w:lvlJc w:val="left"/>
      <w:pPr>
        <w:ind w:left="1020" w:hanging="360"/>
      </w:pPr>
    </w:lvl>
    <w:lvl w:ilvl="2" w:tplc="1828FC9C">
      <w:start w:val="1"/>
      <w:numFmt w:val="decimal"/>
      <w:lvlText w:val="%3."/>
      <w:lvlJc w:val="left"/>
      <w:pPr>
        <w:ind w:left="1020" w:hanging="360"/>
      </w:pPr>
    </w:lvl>
    <w:lvl w:ilvl="3" w:tplc="8CEC9B24">
      <w:start w:val="1"/>
      <w:numFmt w:val="decimal"/>
      <w:lvlText w:val="%4."/>
      <w:lvlJc w:val="left"/>
      <w:pPr>
        <w:ind w:left="1020" w:hanging="360"/>
      </w:pPr>
    </w:lvl>
    <w:lvl w:ilvl="4" w:tplc="439E8038">
      <w:start w:val="1"/>
      <w:numFmt w:val="decimal"/>
      <w:lvlText w:val="%5."/>
      <w:lvlJc w:val="left"/>
      <w:pPr>
        <w:ind w:left="1020" w:hanging="360"/>
      </w:pPr>
    </w:lvl>
    <w:lvl w:ilvl="5" w:tplc="65409CDE">
      <w:start w:val="1"/>
      <w:numFmt w:val="decimal"/>
      <w:lvlText w:val="%6."/>
      <w:lvlJc w:val="left"/>
      <w:pPr>
        <w:ind w:left="1020" w:hanging="360"/>
      </w:pPr>
    </w:lvl>
    <w:lvl w:ilvl="6" w:tplc="91DAFEBE">
      <w:start w:val="1"/>
      <w:numFmt w:val="decimal"/>
      <w:lvlText w:val="%7."/>
      <w:lvlJc w:val="left"/>
      <w:pPr>
        <w:ind w:left="1020" w:hanging="360"/>
      </w:pPr>
    </w:lvl>
    <w:lvl w:ilvl="7" w:tplc="44CC94C2">
      <w:start w:val="1"/>
      <w:numFmt w:val="decimal"/>
      <w:lvlText w:val="%8."/>
      <w:lvlJc w:val="left"/>
      <w:pPr>
        <w:ind w:left="1020" w:hanging="360"/>
      </w:pPr>
    </w:lvl>
    <w:lvl w:ilvl="8" w:tplc="44FE352C">
      <w:start w:val="1"/>
      <w:numFmt w:val="decimal"/>
      <w:lvlText w:val="%9."/>
      <w:lvlJc w:val="left"/>
      <w:pPr>
        <w:ind w:left="1020" w:hanging="360"/>
      </w:pPr>
    </w:lvl>
  </w:abstractNum>
  <w:abstractNum w:abstractNumId="209" w15:restartNumberingAfterBreak="0">
    <w:nsid w:val="7B413A5B"/>
    <w:multiLevelType w:val="hybridMultilevel"/>
    <w:tmpl w:val="C6FE8AAC"/>
    <w:lvl w:ilvl="0" w:tplc="2336174A">
      <w:start w:val="1"/>
      <w:numFmt w:val="bullet"/>
      <w:lvlText w:val=""/>
      <w:lvlJc w:val="left"/>
      <w:pPr>
        <w:ind w:left="720" w:hanging="360"/>
      </w:pPr>
      <w:rPr>
        <w:rFonts w:ascii="Symbol" w:hAnsi="Symbol" w:hint="default"/>
      </w:rPr>
    </w:lvl>
    <w:lvl w:ilvl="1" w:tplc="DA849C3C" w:tentative="1">
      <w:start w:val="1"/>
      <w:numFmt w:val="bullet"/>
      <w:lvlText w:val="o"/>
      <w:lvlJc w:val="left"/>
      <w:pPr>
        <w:ind w:left="1440" w:hanging="360"/>
      </w:pPr>
      <w:rPr>
        <w:rFonts w:ascii="Courier New" w:hAnsi="Courier New" w:cs="Courier New" w:hint="default"/>
      </w:rPr>
    </w:lvl>
    <w:lvl w:ilvl="2" w:tplc="3B4EA7DC" w:tentative="1">
      <w:start w:val="1"/>
      <w:numFmt w:val="bullet"/>
      <w:lvlText w:val=""/>
      <w:lvlJc w:val="left"/>
      <w:pPr>
        <w:ind w:left="2160" w:hanging="360"/>
      </w:pPr>
      <w:rPr>
        <w:rFonts w:ascii="Wingdings" w:hAnsi="Wingdings" w:hint="default"/>
      </w:rPr>
    </w:lvl>
    <w:lvl w:ilvl="3" w:tplc="2E722CE8" w:tentative="1">
      <w:start w:val="1"/>
      <w:numFmt w:val="bullet"/>
      <w:lvlText w:val=""/>
      <w:lvlJc w:val="left"/>
      <w:pPr>
        <w:ind w:left="2880" w:hanging="360"/>
      </w:pPr>
      <w:rPr>
        <w:rFonts w:ascii="Symbol" w:hAnsi="Symbol" w:hint="default"/>
      </w:rPr>
    </w:lvl>
    <w:lvl w:ilvl="4" w:tplc="37E49C14" w:tentative="1">
      <w:start w:val="1"/>
      <w:numFmt w:val="bullet"/>
      <w:lvlText w:val="o"/>
      <w:lvlJc w:val="left"/>
      <w:pPr>
        <w:ind w:left="3600" w:hanging="360"/>
      </w:pPr>
      <w:rPr>
        <w:rFonts w:ascii="Courier New" w:hAnsi="Courier New" w:cs="Courier New" w:hint="default"/>
      </w:rPr>
    </w:lvl>
    <w:lvl w:ilvl="5" w:tplc="16FE8830" w:tentative="1">
      <w:start w:val="1"/>
      <w:numFmt w:val="bullet"/>
      <w:lvlText w:val=""/>
      <w:lvlJc w:val="left"/>
      <w:pPr>
        <w:ind w:left="4320" w:hanging="360"/>
      </w:pPr>
      <w:rPr>
        <w:rFonts w:ascii="Wingdings" w:hAnsi="Wingdings" w:hint="default"/>
      </w:rPr>
    </w:lvl>
    <w:lvl w:ilvl="6" w:tplc="FDFC46A8" w:tentative="1">
      <w:start w:val="1"/>
      <w:numFmt w:val="bullet"/>
      <w:lvlText w:val=""/>
      <w:lvlJc w:val="left"/>
      <w:pPr>
        <w:ind w:left="5040" w:hanging="360"/>
      </w:pPr>
      <w:rPr>
        <w:rFonts w:ascii="Symbol" w:hAnsi="Symbol" w:hint="default"/>
      </w:rPr>
    </w:lvl>
    <w:lvl w:ilvl="7" w:tplc="101C79EA" w:tentative="1">
      <w:start w:val="1"/>
      <w:numFmt w:val="bullet"/>
      <w:lvlText w:val="o"/>
      <w:lvlJc w:val="left"/>
      <w:pPr>
        <w:ind w:left="5760" w:hanging="360"/>
      </w:pPr>
      <w:rPr>
        <w:rFonts w:ascii="Courier New" w:hAnsi="Courier New" w:cs="Courier New" w:hint="default"/>
      </w:rPr>
    </w:lvl>
    <w:lvl w:ilvl="8" w:tplc="803AABAA" w:tentative="1">
      <w:start w:val="1"/>
      <w:numFmt w:val="bullet"/>
      <w:lvlText w:val=""/>
      <w:lvlJc w:val="left"/>
      <w:pPr>
        <w:ind w:left="6480" w:hanging="360"/>
      </w:pPr>
      <w:rPr>
        <w:rFonts w:ascii="Wingdings" w:hAnsi="Wingdings" w:hint="default"/>
      </w:rPr>
    </w:lvl>
  </w:abstractNum>
  <w:abstractNum w:abstractNumId="210" w15:restartNumberingAfterBreak="0">
    <w:nsid w:val="7BB101C0"/>
    <w:multiLevelType w:val="multilevel"/>
    <w:tmpl w:val="A81E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7C1A4ED4"/>
    <w:multiLevelType w:val="hybridMultilevel"/>
    <w:tmpl w:val="BF8E3F74"/>
    <w:lvl w:ilvl="0" w:tplc="0CE8A23E">
      <w:start w:val="1"/>
      <w:numFmt w:val="bullet"/>
      <w:lvlText w:val=""/>
      <w:lvlJc w:val="left"/>
      <w:pPr>
        <w:ind w:left="720" w:hanging="360"/>
      </w:pPr>
      <w:rPr>
        <w:rFonts w:ascii="Symbol" w:hAnsi="Symbol" w:hint="default"/>
      </w:rPr>
    </w:lvl>
    <w:lvl w:ilvl="1" w:tplc="CF825CB0" w:tentative="1">
      <w:start w:val="1"/>
      <w:numFmt w:val="bullet"/>
      <w:lvlText w:val="o"/>
      <w:lvlJc w:val="left"/>
      <w:pPr>
        <w:ind w:left="1440" w:hanging="360"/>
      </w:pPr>
      <w:rPr>
        <w:rFonts w:ascii="Courier New" w:hAnsi="Courier New" w:cs="Courier New" w:hint="default"/>
      </w:rPr>
    </w:lvl>
    <w:lvl w:ilvl="2" w:tplc="482E9748" w:tentative="1">
      <w:start w:val="1"/>
      <w:numFmt w:val="bullet"/>
      <w:lvlText w:val=""/>
      <w:lvlJc w:val="left"/>
      <w:pPr>
        <w:ind w:left="2160" w:hanging="360"/>
      </w:pPr>
      <w:rPr>
        <w:rFonts w:ascii="Wingdings" w:hAnsi="Wingdings" w:hint="default"/>
      </w:rPr>
    </w:lvl>
    <w:lvl w:ilvl="3" w:tplc="2FC62E96" w:tentative="1">
      <w:start w:val="1"/>
      <w:numFmt w:val="bullet"/>
      <w:lvlText w:val=""/>
      <w:lvlJc w:val="left"/>
      <w:pPr>
        <w:ind w:left="2880" w:hanging="360"/>
      </w:pPr>
      <w:rPr>
        <w:rFonts w:ascii="Symbol" w:hAnsi="Symbol" w:hint="default"/>
      </w:rPr>
    </w:lvl>
    <w:lvl w:ilvl="4" w:tplc="9698E4D6" w:tentative="1">
      <w:start w:val="1"/>
      <w:numFmt w:val="bullet"/>
      <w:lvlText w:val="o"/>
      <w:lvlJc w:val="left"/>
      <w:pPr>
        <w:ind w:left="3600" w:hanging="360"/>
      </w:pPr>
      <w:rPr>
        <w:rFonts w:ascii="Courier New" w:hAnsi="Courier New" w:cs="Courier New" w:hint="default"/>
      </w:rPr>
    </w:lvl>
    <w:lvl w:ilvl="5" w:tplc="96805A58" w:tentative="1">
      <w:start w:val="1"/>
      <w:numFmt w:val="bullet"/>
      <w:lvlText w:val=""/>
      <w:lvlJc w:val="left"/>
      <w:pPr>
        <w:ind w:left="4320" w:hanging="360"/>
      </w:pPr>
      <w:rPr>
        <w:rFonts w:ascii="Wingdings" w:hAnsi="Wingdings" w:hint="default"/>
      </w:rPr>
    </w:lvl>
    <w:lvl w:ilvl="6" w:tplc="3828DE02" w:tentative="1">
      <w:start w:val="1"/>
      <w:numFmt w:val="bullet"/>
      <w:lvlText w:val=""/>
      <w:lvlJc w:val="left"/>
      <w:pPr>
        <w:ind w:left="5040" w:hanging="360"/>
      </w:pPr>
      <w:rPr>
        <w:rFonts w:ascii="Symbol" w:hAnsi="Symbol" w:hint="default"/>
      </w:rPr>
    </w:lvl>
    <w:lvl w:ilvl="7" w:tplc="884C3B18" w:tentative="1">
      <w:start w:val="1"/>
      <w:numFmt w:val="bullet"/>
      <w:lvlText w:val="o"/>
      <w:lvlJc w:val="left"/>
      <w:pPr>
        <w:ind w:left="5760" w:hanging="360"/>
      </w:pPr>
      <w:rPr>
        <w:rFonts w:ascii="Courier New" w:hAnsi="Courier New" w:cs="Courier New" w:hint="default"/>
      </w:rPr>
    </w:lvl>
    <w:lvl w:ilvl="8" w:tplc="66CC3686" w:tentative="1">
      <w:start w:val="1"/>
      <w:numFmt w:val="bullet"/>
      <w:lvlText w:val=""/>
      <w:lvlJc w:val="left"/>
      <w:pPr>
        <w:ind w:left="6480" w:hanging="360"/>
      </w:pPr>
      <w:rPr>
        <w:rFonts w:ascii="Wingdings" w:hAnsi="Wingdings" w:hint="default"/>
      </w:rPr>
    </w:lvl>
  </w:abstractNum>
  <w:abstractNum w:abstractNumId="212" w15:restartNumberingAfterBreak="0">
    <w:nsid w:val="7CEB250F"/>
    <w:multiLevelType w:val="multilevel"/>
    <w:tmpl w:val="C1E0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7DB135DA"/>
    <w:multiLevelType w:val="hybridMultilevel"/>
    <w:tmpl w:val="60FAB8EE"/>
    <w:lvl w:ilvl="0" w:tplc="76F61BA0">
      <w:numFmt w:val="bullet"/>
      <w:lvlText w:val="•"/>
      <w:lvlJc w:val="left"/>
      <w:pPr>
        <w:ind w:left="720" w:hanging="360"/>
      </w:pPr>
      <w:rPr>
        <w:rFonts w:hint="default"/>
      </w:rPr>
    </w:lvl>
    <w:lvl w:ilvl="1" w:tplc="07D4A886" w:tentative="1">
      <w:start w:val="1"/>
      <w:numFmt w:val="bullet"/>
      <w:lvlText w:val="o"/>
      <w:lvlJc w:val="left"/>
      <w:pPr>
        <w:ind w:left="1440" w:hanging="360"/>
      </w:pPr>
      <w:rPr>
        <w:rFonts w:ascii="Courier New" w:hAnsi="Courier New" w:cs="Courier New" w:hint="default"/>
      </w:rPr>
    </w:lvl>
    <w:lvl w:ilvl="2" w:tplc="D0D0777A" w:tentative="1">
      <w:start w:val="1"/>
      <w:numFmt w:val="bullet"/>
      <w:lvlText w:val=""/>
      <w:lvlJc w:val="left"/>
      <w:pPr>
        <w:ind w:left="2160" w:hanging="360"/>
      </w:pPr>
      <w:rPr>
        <w:rFonts w:ascii="Wingdings" w:hAnsi="Wingdings" w:hint="default"/>
      </w:rPr>
    </w:lvl>
    <w:lvl w:ilvl="3" w:tplc="F0BE53C6" w:tentative="1">
      <w:start w:val="1"/>
      <w:numFmt w:val="bullet"/>
      <w:lvlText w:val=""/>
      <w:lvlJc w:val="left"/>
      <w:pPr>
        <w:ind w:left="2880" w:hanging="360"/>
      </w:pPr>
      <w:rPr>
        <w:rFonts w:ascii="Symbol" w:hAnsi="Symbol" w:hint="default"/>
      </w:rPr>
    </w:lvl>
    <w:lvl w:ilvl="4" w:tplc="498ABBC4" w:tentative="1">
      <w:start w:val="1"/>
      <w:numFmt w:val="bullet"/>
      <w:lvlText w:val="o"/>
      <w:lvlJc w:val="left"/>
      <w:pPr>
        <w:ind w:left="3600" w:hanging="360"/>
      </w:pPr>
      <w:rPr>
        <w:rFonts w:ascii="Courier New" w:hAnsi="Courier New" w:cs="Courier New" w:hint="default"/>
      </w:rPr>
    </w:lvl>
    <w:lvl w:ilvl="5" w:tplc="F486659A" w:tentative="1">
      <w:start w:val="1"/>
      <w:numFmt w:val="bullet"/>
      <w:lvlText w:val=""/>
      <w:lvlJc w:val="left"/>
      <w:pPr>
        <w:ind w:left="4320" w:hanging="360"/>
      </w:pPr>
      <w:rPr>
        <w:rFonts w:ascii="Wingdings" w:hAnsi="Wingdings" w:hint="default"/>
      </w:rPr>
    </w:lvl>
    <w:lvl w:ilvl="6" w:tplc="34109664" w:tentative="1">
      <w:start w:val="1"/>
      <w:numFmt w:val="bullet"/>
      <w:lvlText w:val=""/>
      <w:lvlJc w:val="left"/>
      <w:pPr>
        <w:ind w:left="5040" w:hanging="360"/>
      </w:pPr>
      <w:rPr>
        <w:rFonts w:ascii="Symbol" w:hAnsi="Symbol" w:hint="default"/>
      </w:rPr>
    </w:lvl>
    <w:lvl w:ilvl="7" w:tplc="13A63C1C" w:tentative="1">
      <w:start w:val="1"/>
      <w:numFmt w:val="bullet"/>
      <w:lvlText w:val="o"/>
      <w:lvlJc w:val="left"/>
      <w:pPr>
        <w:ind w:left="5760" w:hanging="360"/>
      </w:pPr>
      <w:rPr>
        <w:rFonts w:ascii="Courier New" w:hAnsi="Courier New" w:cs="Courier New" w:hint="default"/>
      </w:rPr>
    </w:lvl>
    <w:lvl w:ilvl="8" w:tplc="4C3058CE" w:tentative="1">
      <w:start w:val="1"/>
      <w:numFmt w:val="bullet"/>
      <w:lvlText w:val=""/>
      <w:lvlJc w:val="left"/>
      <w:pPr>
        <w:ind w:left="6480" w:hanging="360"/>
      </w:pPr>
      <w:rPr>
        <w:rFonts w:ascii="Wingdings" w:hAnsi="Wingdings" w:hint="default"/>
      </w:rPr>
    </w:lvl>
  </w:abstractNum>
  <w:abstractNum w:abstractNumId="214" w15:restartNumberingAfterBreak="0">
    <w:nsid w:val="7E682401"/>
    <w:multiLevelType w:val="hybridMultilevel"/>
    <w:tmpl w:val="D8083268"/>
    <w:lvl w:ilvl="0" w:tplc="5FC2EAE6">
      <w:start w:val="1"/>
      <w:numFmt w:val="bullet"/>
      <w:lvlText w:val=""/>
      <w:lvlJc w:val="left"/>
      <w:pPr>
        <w:ind w:left="720" w:hanging="360"/>
      </w:pPr>
      <w:rPr>
        <w:rFonts w:ascii="Symbol" w:hAnsi="Symbol" w:hint="default"/>
      </w:rPr>
    </w:lvl>
    <w:lvl w:ilvl="1" w:tplc="F82E901A" w:tentative="1">
      <w:start w:val="1"/>
      <w:numFmt w:val="bullet"/>
      <w:lvlText w:val="o"/>
      <w:lvlJc w:val="left"/>
      <w:pPr>
        <w:ind w:left="1440" w:hanging="360"/>
      </w:pPr>
      <w:rPr>
        <w:rFonts w:ascii="Courier New" w:hAnsi="Courier New" w:cs="Courier New" w:hint="default"/>
      </w:rPr>
    </w:lvl>
    <w:lvl w:ilvl="2" w:tplc="DCAC5874" w:tentative="1">
      <w:start w:val="1"/>
      <w:numFmt w:val="bullet"/>
      <w:lvlText w:val=""/>
      <w:lvlJc w:val="left"/>
      <w:pPr>
        <w:ind w:left="2160" w:hanging="360"/>
      </w:pPr>
      <w:rPr>
        <w:rFonts w:ascii="Wingdings" w:hAnsi="Wingdings" w:hint="default"/>
      </w:rPr>
    </w:lvl>
    <w:lvl w:ilvl="3" w:tplc="C4B87264" w:tentative="1">
      <w:start w:val="1"/>
      <w:numFmt w:val="bullet"/>
      <w:lvlText w:val=""/>
      <w:lvlJc w:val="left"/>
      <w:pPr>
        <w:ind w:left="2880" w:hanging="360"/>
      </w:pPr>
      <w:rPr>
        <w:rFonts w:ascii="Symbol" w:hAnsi="Symbol" w:hint="default"/>
      </w:rPr>
    </w:lvl>
    <w:lvl w:ilvl="4" w:tplc="E618B858" w:tentative="1">
      <w:start w:val="1"/>
      <w:numFmt w:val="bullet"/>
      <w:lvlText w:val="o"/>
      <w:lvlJc w:val="left"/>
      <w:pPr>
        <w:ind w:left="3600" w:hanging="360"/>
      </w:pPr>
      <w:rPr>
        <w:rFonts w:ascii="Courier New" w:hAnsi="Courier New" w:cs="Courier New" w:hint="default"/>
      </w:rPr>
    </w:lvl>
    <w:lvl w:ilvl="5" w:tplc="A90484DE" w:tentative="1">
      <w:start w:val="1"/>
      <w:numFmt w:val="bullet"/>
      <w:lvlText w:val=""/>
      <w:lvlJc w:val="left"/>
      <w:pPr>
        <w:ind w:left="4320" w:hanging="360"/>
      </w:pPr>
      <w:rPr>
        <w:rFonts w:ascii="Wingdings" w:hAnsi="Wingdings" w:hint="default"/>
      </w:rPr>
    </w:lvl>
    <w:lvl w:ilvl="6" w:tplc="A1188ED2" w:tentative="1">
      <w:start w:val="1"/>
      <w:numFmt w:val="bullet"/>
      <w:lvlText w:val=""/>
      <w:lvlJc w:val="left"/>
      <w:pPr>
        <w:ind w:left="5040" w:hanging="360"/>
      </w:pPr>
      <w:rPr>
        <w:rFonts w:ascii="Symbol" w:hAnsi="Symbol" w:hint="default"/>
      </w:rPr>
    </w:lvl>
    <w:lvl w:ilvl="7" w:tplc="BAAA9D40" w:tentative="1">
      <w:start w:val="1"/>
      <w:numFmt w:val="bullet"/>
      <w:lvlText w:val="o"/>
      <w:lvlJc w:val="left"/>
      <w:pPr>
        <w:ind w:left="5760" w:hanging="360"/>
      </w:pPr>
      <w:rPr>
        <w:rFonts w:ascii="Courier New" w:hAnsi="Courier New" w:cs="Courier New" w:hint="default"/>
      </w:rPr>
    </w:lvl>
    <w:lvl w:ilvl="8" w:tplc="33780192" w:tentative="1">
      <w:start w:val="1"/>
      <w:numFmt w:val="bullet"/>
      <w:lvlText w:val=""/>
      <w:lvlJc w:val="left"/>
      <w:pPr>
        <w:ind w:left="6480" w:hanging="360"/>
      </w:pPr>
      <w:rPr>
        <w:rFonts w:ascii="Wingdings" w:hAnsi="Wingdings" w:hint="default"/>
      </w:rPr>
    </w:lvl>
  </w:abstractNum>
  <w:abstractNum w:abstractNumId="215" w15:restartNumberingAfterBreak="0">
    <w:nsid w:val="7ED9278D"/>
    <w:multiLevelType w:val="multilevel"/>
    <w:tmpl w:val="1AF22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F006E15"/>
    <w:multiLevelType w:val="hybridMultilevel"/>
    <w:tmpl w:val="F2AA1F8A"/>
    <w:lvl w:ilvl="0" w:tplc="BE1CD658">
      <w:start w:val="1"/>
      <w:numFmt w:val="decimal"/>
      <w:lvlText w:val="%1."/>
      <w:lvlJc w:val="left"/>
      <w:pPr>
        <w:ind w:left="1080" w:hanging="360"/>
      </w:pPr>
    </w:lvl>
    <w:lvl w:ilvl="1" w:tplc="9A2C1DDE">
      <w:start w:val="1"/>
      <w:numFmt w:val="lowerRoman"/>
      <w:lvlText w:val="%2."/>
      <w:lvlJc w:val="right"/>
      <w:pPr>
        <w:ind w:left="1080" w:hanging="360"/>
      </w:pPr>
    </w:lvl>
    <w:lvl w:ilvl="2" w:tplc="2AA44FF8" w:tentative="1">
      <w:start w:val="1"/>
      <w:numFmt w:val="lowerRoman"/>
      <w:lvlText w:val="%3."/>
      <w:lvlJc w:val="right"/>
      <w:pPr>
        <w:ind w:left="2520" w:hanging="180"/>
      </w:pPr>
    </w:lvl>
    <w:lvl w:ilvl="3" w:tplc="48A8E9E0" w:tentative="1">
      <w:start w:val="1"/>
      <w:numFmt w:val="decimal"/>
      <w:lvlText w:val="%4."/>
      <w:lvlJc w:val="left"/>
      <w:pPr>
        <w:ind w:left="3240" w:hanging="360"/>
      </w:pPr>
    </w:lvl>
    <w:lvl w:ilvl="4" w:tplc="FBF814A8" w:tentative="1">
      <w:start w:val="1"/>
      <w:numFmt w:val="lowerLetter"/>
      <w:lvlText w:val="%5."/>
      <w:lvlJc w:val="left"/>
      <w:pPr>
        <w:ind w:left="3960" w:hanging="360"/>
      </w:pPr>
    </w:lvl>
    <w:lvl w:ilvl="5" w:tplc="C44C097A" w:tentative="1">
      <w:start w:val="1"/>
      <w:numFmt w:val="lowerRoman"/>
      <w:lvlText w:val="%6."/>
      <w:lvlJc w:val="right"/>
      <w:pPr>
        <w:ind w:left="4680" w:hanging="180"/>
      </w:pPr>
    </w:lvl>
    <w:lvl w:ilvl="6" w:tplc="F3943436" w:tentative="1">
      <w:start w:val="1"/>
      <w:numFmt w:val="decimal"/>
      <w:lvlText w:val="%7."/>
      <w:lvlJc w:val="left"/>
      <w:pPr>
        <w:ind w:left="5400" w:hanging="360"/>
      </w:pPr>
    </w:lvl>
    <w:lvl w:ilvl="7" w:tplc="6A56F8AA" w:tentative="1">
      <w:start w:val="1"/>
      <w:numFmt w:val="lowerLetter"/>
      <w:lvlText w:val="%8."/>
      <w:lvlJc w:val="left"/>
      <w:pPr>
        <w:ind w:left="6120" w:hanging="360"/>
      </w:pPr>
    </w:lvl>
    <w:lvl w:ilvl="8" w:tplc="25DE40D4" w:tentative="1">
      <w:start w:val="1"/>
      <w:numFmt w:val="lowerRoman"/>
      <w:lvlText w:val="%9."/>
      <w:lvlJc w:val="right"/>
      <w:pPr>
        <w:ind w:left="6840" w:hanging="180"/>
      </w:pPr>
    </w:lvl>
  </w:abstractNum>
  <w:abstractNum w:abstractNumId="217" w15:restartNumberingAfterBreak="0">
    <w:nsid w:val="7F9661A1"/>
    <w:multiLevelType w:val="hybridMultilevel"/>
    <w:tmpl w:val="4A20FB06"/>
    <w:lvl w:ilvl="0" w:tplc="9FBA1E98">
      <w:start w:val="1"/>
      <w:numFmt w:val="decimal"/>
      <w:lvlText w:val="%1)"/>
      <w:lvlJc w:val="left"/>
      <w:pPr>
        <w:ind w:left="720" w:hanging="360"/>
      </w:pPr>
      <w:rPr>
        <w:rFonts w:ascii="Times New Roman" w:hAnsi="Times New Roman" w:cs="Times New Roman" w:hint="default"/>
      </w:rPr>
    </w:lvl>
    <w:lvl w:ilvl="1" w:tplc="016604AC" w:tentative="1">
      <w:start w:val="1"/>
      <w:numFmt w:val="lowerLetter"/>
      <w:lvlText w:val="%2."/>
      <w:lvlJc w:val="left"/>
      <w:pPr>
        <w:ind w:left="1440" w:hanging="360"/>
      </w:pPr>
    </w:lvl>
    <w:lvl w:ilvl="2" w:tplc="9684B56C" w:tentative="1">
      <w:start w:val="1"/>
      <w:numFmt w:val="lowerRoman"/>
      <w:lvlText w:val="%3."/>
      <w:lvlJc w:val="right"/>
      <w:pPr>
        <w:ind w:left="2160" w:hanging="180"/>
      </w:pPr>
    </w:lvl>
    <w:lvl w:ilvl="3" w:tplc="88E8CC98" w:tentative="1">
      <w:start w:val="1"/>
      <w:numFmt w:val="decimal"/>
      <w:lvlText w:val="%4."/>
      <w:lvlJc w:val="left"/>
      <w:pPr>
        <w:ind w:left="2880" w:hanging="360"/>
      </w:pPr>
    </w:lvl>
    <w:lvl w:ilvl="4" w:tplc="93580D3E" w:tentative="1">
      <w:start w:val="1"/>
      <w:numFmt w:val="lowerLetter"/>
      <w:lvlText w:val="%5."/>
      <w:lvlJc w:val="left"/>
      <w:pPr>
        <w:ind w:left="3600" w:hanging="360"/>
      </w:pPr>
    </w:lvl>
    <w:lvl w:ilvl="5" w:tplc="7AB4F098" w:tentative="1">
      <w:start w:val="1"/>
      <w:numFmt w:val="lowerRoman"/>
      <w:lvlText w:val="%6."/>
      <w:lvlJc w:val="right"/>
      <w:pPr>
        <w:ind w:left="4320" w:hanging="180"/>
      </w:pPr>
    </w:lvl>
    <w:lvl w:ilvl="6" w:tplc="92C651C4" w:tentative="1">
      <w:start w:val="1"/>
      <w:numFmt w:val="decimal"/>
      <w:lvlText w:val="%7."/>
      <w:lvlJc w:val="left"/>
      <w:pPr>
        <w:ind w:left="5040" w:hanging="360"/>
      </w:pPr>
    </w:lvl>
    <w:lvl w:ilvl="7" w:tplc="52CE2348" w:tentative="1">
      <w:start w:val="1"/>
      <w:numFmt w:val="lowerLetter"/>
      <w:lvlText w:val="%8."/>
      <w:lvlJc w:val="left"/>
      <w:pPr>
        <w:ind w:left="5760" w:hanging="360"/>
      </w:pPr>
    </w:lvl>
    <w:lvl w:ilvl="8" w:tplc="07663494" w:tentative="1">
      <w:start w:val="1"/>
      <w:numFmt w:val="lowerRoman"/>
      <w:lvlText w:val="%9."/>
      <w:lvlJc w:val="right"/>
      <w:pPr>
        <w:ind w:left="6480" w:hanging="180"/>
      </w:pPr>
    </w:lvl>
  </w:abstractNum>
  <w:num w:numId="1" w16cid:durableId="338586561">
    <w:abstractNumId w:val="134"/>
  </w:num>
  <w:num w:numId="2" w16cid:durableId="727997347">
    <w:abstractNumId w:val="109"/>
  </w:num>
  <w:num w:numId="3" w16cid:durableId="1958297245">
    <w:abstractNumId w:val="14"/>
  </w:num>
  <w:num w:numId="4" w16cid:durableId="1889564809">
    <w:abstractNumId w:val="71"/>
  </w:num>
  <w:num w:numId="5" w16cid:durableId="396900934">
    <w:abstractNumId w:val="76"/>
  </w:num>
  <w:num w:numId="6" w16cid:durableId="630939563">
    <w:abstractNumId w:val="94"/>
  </w:num>
  <w:num w:numId="7" w16cid:durableId="1297251828">
    <w:abstractNumId w:val="124"/>
  </w:num>
  <w:num w:numId="8" w16cid:durableId="401752787">
    <w:abstractNumId w:val="18"/>
  </w:num>
  <w:num w:numId="9" w16cid:durableId="308101296">
    <w:abstractNumId w:val="75"/>
  </w:num>
  <w:num w:numId="10" w16cid:durableId="691610086">
    <w:abstractNumId w:val="79"/>
  </w:num>
  <w:num w:numId="11" w16cid:durableId="867837956">
    <w:abstractNumId w:val="213"/>
  </w:num>
  <w:num w:numId="12" w16cid:durableId="1464082122">
    <w:abstractNumId w:val="7"/>
  </w:num>
  <w:num w:numId="13" w16cid:durableId="166529994">
    <w:abstractNumId w:val="184"/>
    <w:lvlOverride w:ilvl="0">
      <w:startOverride w:val="1"/>
    </w:lvlOverride>
  </w:num>
  <w:num w:numId="14" w16cid:durableId="50346595">
    <w:abstractNumId w:val="77"/>
  </w:num>
  <w:num w:numId="15" w16cid:durableId="910113834">
    <w:abstractNumId w:val="174"/>
  </w:num>
  <w:num w:numId="16" w16cid:durableId="1912277470">
    <w:abstractNumId w:val="87"/>
  </w:num>
  <w:num w:numId="17" w16cid:durableId="1917476355">
    <w:abstractNumId w:val="19"/>
  </w:num>
  <w:num w:numId="18" w16cid:durableId="834809033">
    <w:abstractNumId w:val="158"/>
  </w:num>
  <w:num w:numId="19" w16cid:durableId="1774787284">
    <w:abstractNumId w:val="46"/>
  </w:num>
  <w:num w:numId="20" w16cid:durableId="95567822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7196788">
    <w:abstractNumId w:val="177"/>
  </w:num>
  <w:num w:numId="22" w16cid:durableId="1085567094">
    <w:abstractNumId w:val="105"/>
  </w:num>
  <w:num w:numId="23" w16cid:durableId="1744987328">
    <w:abstractNumId w:val="59"/>
  </w:num>
  <w:num w:numId="24" w16cid:durableId="1254777250">
    <w:abstractNumId w:val="199"/>
  </w:num>
  <w:num w:numId="25" w16cid:durableId="1734236403">
    <w:abstractNumId w:val="142"/>
  </w:num>
  <w:num w:numId="26" w16cid:durableId="291324751">
    <w:abstractNumId w:val="102"/>
    <w:lvlOverride w:ilvl="0">
      <w:lvl w:ilvl="0" w:tplc="584EF910">
        <w:start w:val="1"/>
        <w:numFmt w:val="decimal"/>
        <w:lvlText w:val="%1."/>
        <w:lvlJc w:val="left"/>
        <w:pPr>
          <w:ind w:left="0" w:hanging="360"/>
        </w:pPr>
        <w:rPr>
          <w:rFonts w:hint="default"/>
        </w:rPr>
      </w:lvl>
    </w:lvlOverride>
  </w:num>
  <w:num w:numId="27" w16cid:durableId="402147084">
    <w:abstractNumId w:val="97"/>
  </w:num>
  <w:num w:numId="28" w16cid:durableId="260722051">
    <w:abstractNumId w:val="25"/>
  </w:num>
  <w:num w:numId="29" w16cid:durableId="167656966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08986507">
    <w:abstractNumId w:val="54"/>
  </w:num>
  <w:num w:numId="31" w16cid:durableId="411438482">
    <w:abstractNumId w:val="9"/>
  </w:num>
  <w:num w:numId="32" w16cid:durableId="765998536">
    <w:abstractNumId w:val="81"/>
  </w:num>
  <w:num w:numId="33" w16cid:durableId="64182452">
    <w:abstractNumId w:val="152"/>
  </w:num>
  <w:num w:numId="34" w16cid:durableId="534389456">
    <w:abstractNumId w:val="82"/>
  </w:num>
  <w:num w:numId="35" w16cid:durableId="1723402109">
    <w:abstractNumId w:val="8"/>
  </w:num>
  <w:num w:numId="36" w16cid:durableId="1005278621">
    <w:abstractNumId w:val="151"/>
  </w:num>
  <w:num w:numId="37" w16cid:durableId="2020349155">
    <w:abstractNumId w:val="62"/>
  </w:num>
  <w:num w:numId="38" w16cid:durableId="1187908841">
    <w:abstractNumId w:val="170"/>
  </w:num>
  <w:num w:numId="39" w16cid:durableId="561059748">
    <w:abstractNumId w:val="127"/>
  </w:num>
  <w:num w:numId="40" w16cid:durableId="1667317834">
    <w:abstractNumId w:val="40"/>
  </w:num>
  <w:num w:numId="41" w16cid:durableId="2107530892">
    <w:abstractNumId w:val="210"/>
  </w:num>
  <w:num w:numId="42" w16cid:durableId="1007517569">
    <w:abstractNumId w:val="166"/>
  </w:num>
  <w:num w:numId="43" w16cid:durableId="447697638">
    <w:abstractNumId w:val="198"/>
  </w:num>
  <w:num w:numId="44" w16cid:durableId="1328703797">
    <w:abstractNumId w:val="58"/>
  </w:num>
  <w:num w:numId="45" w16cid:durableId="2029481970">
    <w:abstractNumId w:val="106"/>
  </w:num>
  <w:num w:numId="46" w16cid:durableId="31809622">
    <w:abstractNumId w:val="212"/>
  </w:num>
  <w:num w:numId="47" w16cid:durableId="1681737700">
    <w:abstractNumId w:val="169"/>
  </w:num>
  <w:num w:numId="48" w16cid:durableId="1868062524">
    <w:abstractNumId w:val="160"/>
  </w:num>
  <w:num w:numId="49" w16cid:durableId="1886327333">
    <w:abstractNumId w:val="196"/>
  </w:num>
  <w:num w:numId="50" w16cid:durableId="1303120918">
    <w:abstractNumId w:val="130"/>
  </w:num>
  <w:num w:numId="51" w16cid:durableId="68503929">
    <w:abstractNumId w:val="80"/>
  </w:num>
  <w:num w:numId="52" w16cid:durableId="1998797400">
    <w:abstractNumId w:val="33"/>
  </w:num>
  <w:num w:numId="53" w16cid:durableId="264122331">
    <w:abstractNumId w:val="78"/>
  </w:num>
  <w:num w:numId="54" w16cid:durableId="978265511">
    <w:abstractNumId w:val="69"/>
  </w:num>
  <w:num w:numId="55" w16cid:durableId="78403569">
    <w:abstractNumId w:val="30"/>
  </w:num>
  <w:num w:numId="56" w16cid:durableId="1667778161">
    <w:abstractNumId w:val="52"/>
  </w:num>
  <w:num w:numId="57" w16cid:durableId="636881416">
    <w:abstractNumId w:val="117"/>
  </w:num>
  <w:num w:numId="58" w16cid:durableId="872688754">
    <w:abstractNumId w:val="118"/>
  </w:num>
  <w:num w:numId="59" w16cid:durableId="1330402358">
    <w:abstractNumId w:val="12"/>
  </w:num>
  <w:num w:numId="60" w16cid:durableId="817500785">
    <w:abstractNumId w:val="206"/>
  </w:num>
  <w:num w:numId="61" w16cid:durableId="1016737260">
    <w:abstractNumId w:val="47"/>
  </w:num>
  <w:num w:numId="62" w16cid:durableId="1347173903">
    <w:abstractNumId w:val="110"/>
  </w:num>
  <w:num w:numId="63" w16cid:durableId="571237370">
    <w:abstractNumId w:val="86"/>
  </w:num>
  <w:num w:numId="64" w16cid:durableId="1367290176">
    <w:abstractNumId w:val="190"/>
  </w:num>
  <w:num w:numId="65" w16cid:durableId="1231961796">
    <w:abstractNumId w:val="17"/>
  </w:num>
  <w:num w:numId="66" w16cid:durableId="255217127">
    <w:abstractNumId w:val="182"/>
  </w:num>
  <w:num w:numId="67" w16cid:durableId="1385838513">
    <w:abstractNumId w:val="68"/>
  </w:num>
  <w:num w:numId="68" w16cid:durableId="549652846">
    <w:abstractNumId w:val="150"/>
  </w:num>
  <w:num w:numId="69" w16cid:durableId="659233715">
    <w:abstractNumId w:val="188"/>
  </w:num>
  <w:num w:numId="70" w16cid:durableId="410472565">
    <w:abstractNumId w:val="207"/>
  </w:num>
  <w:num w:numId="71" w16cid:durableId="586882325">
    <w:abstractNumId w:val="20"/>
  </w:num>
  <w:num w:numId="72" w16cid:durableId="1597396103">
    <w:abstractNumId w:val="187"/>
  </w:num>
  <w:num w:numId="73" w16cid:durableId="390734809">
    <w:abstractNumId w:val="200"/>
  </w:num>
  <w:num w:numId="74" w16cid:durableId="1687638458">
    <w:abstractNumId w:val="11"/>
  </w:num>
  <w:num w:numId="75" w16cid:durableId="1086415747">
    <w:abstractNumId w:val="113"/>
  </w:num>
  <w:num w:numId="76" w16cid:durableId="721710257">
    <w:abstractNumId w:val="55"/>
  </w:num>
  <w:num w:numId="77" w16cid:durableId="38208375">
    <w:abstractNumId w:val="122"/>
  </w:num>
  <w:num w:numId="78" w16cid:durableId="1317104701">
    <w:abstractNumId w:val="115"/>
  </w:num>
  <w:num w:numId="79" w16cid:durableId="606086439">
    <w:abstractNumId w:val="147"/>
  </w:num>
  <w:num w:numId="80" w16cid:durableId="1562014838">
    <w:abstractNumId w:val="51"/>
  </w:num>
  <w:num w:numId="81" w16cid:durableId="638802431">
    <w:abstractNumId w:val="120"/>
  </w:num>
  <w:num w:numId="82" w16cid:durableId="1788158693">
    <w:abstractNumId w:val="197"/>
  </w:num>
  <w:num w:numId="83" w16cid:durableId="1321428034">
    <w:abstractNumId w:val="32"/>
  </w:num>
  <w:num w:numId="84" w16cid:durableId="1900748088">
    <w:abstractNumId w:val="48"/>
  </w:num>
  <w:num w:numId="85" w16cid:durableId="514535177">
    <w:abstractNumId w:val="143"/>
  </w:num>
  <w:num w:numId="86" w16cid:durableId="1372538411">
    <w:abstractNumId w:val="131"/>
  </w:num>
  <w:num w:numId="87" w16cid:durableId="1996183886">
    <w:abstractNumId w:val="123"/>
  </w:num>
  <w:num w:numId="88" w16cid:durableId="1100491772">
    <w:abstractNumId w:val="159"/>
  </w:num>
  <w:num w:numId="89" w16cid:durableId="1191071827">
    <w:abstractNumId w:val="44"/>
  </w:num>
  <w:num w:numId="90" w16cid:durableId="1660645610">
    <w:abstractNumId w:val="49"/>
  </w:num>
  <w:num w:numId="91" w16cid:durableId="1807356782">
    <w:abstractNumId w:val="156"/>
  </w:num>
  <w:num w:numId="92" w16cid:durableId="2119720163">
    <w:abstractNumId w:val="67"/>
  </w:num>
  <w:num w:numId="93" w16cid:durableId="1331370191">
    <w:abstractNumId w:val="189"/>
  </w:num>
  <w:num w:numId="94" w16cid:durableId="337582319">
    <w:abstractNumId w:val="192"/>
  </w:num>
  <w:num w:numId="95" w16cid:durableId="319189137">
    <w:abstractNumId w:val="149"/>
  </w:num>
  <w:num w:numId="96" w16cid:durableId="1895770623">
    <w:abstractNumId w:val="66"/>
  </w:num>
  <w:num w:numId="97" w16cid:durableId="2069452374">
    <w:abstractNumId w:val="146"/>
  </w:num>
  <w:num w:numId="98" w16cid:durableId="188224594">
    <w:abstractNumId w:val="21"/>
  </w:num>
  <w:num w:numId="99" w16cid:durableId="1912617197">
    <w:abstractNumId w:val="215"/>
  </w:num>
  <w:num w:numId="100" w16cid:durableId="109589195">
    <w:abstractNumId w:val="34"/>
  </w:num>
  <w:num w:numId="101" w16cid:durableId="1042560202">
    <w:abstractNumId w:val="45"/>
  </w:num>
  <w:num w:numId="102" w16cid:durableId="303314816">
    <w:abstractNumId w:val="204"/>
  </w:num>
  <w:num w:numId="103" w16cid:durableId="537741547">
    <w:abstractNumId w:val="145"/>
  </w:num>
  <w:num w:numId="104" w16cid:durableId="1475565300">
    <w:abstractNumId w:val="185"/>
  </w:num>
  <w:num w:numId="105" w16cid:durableId="1223520357">
    <w:abstractNumId w:val="65"/>
  </w:num>
  <w:num w:numId="106" w16cid:durableId="984623044">
    <w:abstractNumId w:val="138"/>
  </w:num>
  <w:num w:numId="107" w16cid:durableId="1909029604">
    <w:abstractNumId w:val="64"/>
  </w:num>
  <w:num w:numId="108" w16cid:durableId="1926568934">
    <w:abstractNumId w:val="90"/>
  </w:num>
  <w:num w:numId="109" w16cid:durableId="49380232">
    <w:abstractNumId w:val="214"/>
  </w:num>
  <w:num w:numId="110" w16cid:durableId="1757096036">
    <w:abstractNumId w:val="111"/>
  </w:num>
  <w:num w:numId="111" w16cid:durableId="1782609692">
    <w:abstractNumId w:val="107"/>
  </w:num>
  <w:num w:numId="112" w16cid:durableId="45684278">
    <w:abstractNumId w:val="180"/>
  </w:num>
  <w:num w:numId="113" w16cid:durableId="936715532">
    <w:abstractNumId w:val="56"/>
  </w:num>
  <w:num w:numId="114" w16cid:durableId="306474027">
    <w:abstractNumId w:val="144"/>
  </w:num>
  <w:num w:numId="115" w16cid:durableId="2023118667">
    <w:abstractNumId w:val="101"/>
  </w:num>
  <w:num w:numId="116" w16cid:durableId="1074938831">
    <w:abstractNumId w:val="141"/>
  </w:num>
  <w:num w:numId="117" w16cid:durableId="465851089">
    <w:abstractNumId w:val="139"/>
  </w:num>
  <w:num w:numId="118" w16cid:durableId="1794711579">
    <w:abstractNumId w:val="153"/>
  </w:num>
  <w:num w:numId="119" w16cid:durableId="634723797">
    <w:abstractNumId w:val="168"/>
  </w:num>
  <w:num w:numId="120" w16cid:durableId="597445936">
    <w:abstractNumId w:val="191"/>
  </w:num>
  <w:num w:numId="121" w16cid:durableId="527183796">
    <w:abstractNumId w:val="53"/>
  </w:num>
  <w:num w:numId="122" w16cid:durableId="1408841141">
    <w:abstractNumId w:val="163"/>
  </w:num>
  <w:num w:numId="123" w16cid:durableId="1158687982">
    <w:abstractNumId w:val="136"/>
  </w:num>
  <w:num w:numId="124" w16cid:durableId="1049303607">
    <w:abstractNumId w:val="1"/>
  </w:num>
  <w:num w:numId="125" w16cid:durableId="608437755">
    <w:abstractNumId w:val="165"/>
  </w:num>
  <w:num w:numId="126" w16cid:durableId="2088765313">
    <w:abstractNumId w:val="179"/>
  </w:num>
  <w:num w:numId="127" w16cid:durableId="1228683800">
    <w:abstractNumId w:val="5"/>
  </w:num>
  <w:num w:numId="128" w16cid:durableId="274141526">
    <w:abstractNumId w:val="201"/>
  </w:num>
  <w:num w:numId="129" w16cid:durableId="1934168239">
    <w:abstractNumId w:val="171"/>
  </w:num>
  <w:num w:numId="130" w16cid:durableId="1310397842">
    <w:abstractNumId w:val="4"/>
  </w:num>
  <w:num w:numId="131" w16cid:durableId="460348412">
    <w:abstractNumId w:val="93"/>
  </w:num>
  <w:num w:numId="132" w16cid:durableId="450902288">
    <w:abstractNumId w:val="194"/>
  </w:num>
  <w:num w:numId="133" w16cid:durableId="925187878">
    <w:abstractNumId w:val="26"/>
  </w:num>
  <w:num w:numId="134" w16cid:durableId="1269005871">
    <w:abstractNumId w:val="60"/>
  </w:num>
  <w:num w:numId="135" w16cid:durableId="693504790">
    <w:abstractNumId w:val="112"/>
  </w:num>
  <w:num w:numId="136" w16cid:durableId="1396515425">
    <w:abstractNumId w:val="114"/>
  </w:num>
  <w:num w:numId="137" w16cid:durableId="1247300372">
    <w:abstractNumId w:val="183"/>
  </w:num>
  <w:num w:numId="138" w16cid:durableId="1813012708">
    <w:abstractNumId w:val="96"/>
  </w:num>
  <w:num w:numId="139" w16cid:durableId="1038043852">
    <w:abstractNumId w:val="209"/>
  </w:num>
  <w:num w:numId="140" w16cid:durableId="697243401">
    <w:abstractNumId w:val="3"/>
  </w:num>
  <w:num w:numId="141" w16cid:durableId="656688149">
    <w:abstractNumId w:val="137"/>
  </w:num>
  <w:num w:numId="142" w16cid:durableId="1613708508">
    <w:abstractNumId w:val="162"/>
  </w:num>
  <w:num w:numId="143" w16cid:durableId="137113330">
    <w:abstractNumId w:val="135"/>
  </w:num>
  <w:num w:numId="144" w16cid:durableId="962006959">
    <w:abstractNumId w:val="104"/>
  </w:num>
  <w:num w:numId="145" w16cid:durableId="1448356565">
    <w:abstractNumId w:val="157"/>
  </w:num>
  <w:num w:numId="146" w16cid:durableId="1486161621">
    <w:abstractNumId w:val="73"/>
  </w:num>
  <w:num w:numId="147" w16cid:durableId="195235492">
    <w:abstractNumId w:val="95"/>
  </w:num>
  <w:num w:numId="148" w16cid:durableId="81148613">
    <w:abstractNumId w:val="27"/>
  </w:num>
  <w:num w:numId="149" w16cid:durableId="1250432678">
    <w:abstractNumId w:val="74"/>
  </w:num>
  <w:num w:numId="150" w16cid:durableId="616764470">
    <w:abstractNumId w:val="28"/>
  </w:num>
  <w:num w:numId="151" w16cid:durableId="1795715296">
    <w:abstractNumId w:val="6"/>
  </w:num>
  <w:num w:numId="152" w16cid:durableId="1186747731">
    <w:abstractNumId w:val="39"/>
  </w:num>
  <w:num w:numId="153" w16cid:durableId="1347365709">
    <w:abstractNumId w:val="37"/>
  </w:num>
  <w:num w:numId="154" w16cid:durableId="437875248">
    <w:abstractNumId w:val="91"/>
  </w:num>
  <w:num w:numId="155" w16cid:durableId="1569419088">
    <w:abstractNumId w:val="116"/>
  </w:num>
  <w:num w:numId="156" w16cid:durableId="1688871194">
    <w:abstractNumId w:val="72"/>
  </w:num>
  <w:num w:numId="157" w16cid:durableId="2013798213">
    <w:abstractNumId w:val="173"/>
  </w:num>
  <w:num w:numId="158" w16cid:durableId="574776519">
    <w:abstractNumId w:val="178"/>
  </w:num>
  <w:num w:numId="159" w16cid:durableId="719211027">
    <w:abstractNumId w:val="88"/>
  </w:num>
  <w:num w:numId="160" w16cid:durableId="929854281">
    <w:abstractNumId w:val="202"/>
  </w:num>
  <w:num w:numId="161" w16cid:durableId="113639476">
    <w:abstractNumId w:val="36"/>
  </w:num>
  <w:num w:numId="162" w16cid:durableId="1259830884">
    <w:abstractNumId w:val="211"/>
  </w:num>
  <w:num w:numId="163" w16cid:durableId="373315271">
    <w:abstractNumId w:val="164"/>
  </w:num>
  <w:num w:numId="164" w16cid:durableId="1125929381">
    <w:abstractNumId w:val="61"/>
  </w:num>
  <w:num w:numId="165" w16cid:durableId="1076124067">
    <w:abstractNumId w:val="176"/>
  </w:num>
  <w:num w:numId="166" w16cid:durableId="1613587819">
    <w:abstractNumId w:val="208"/>
  </w:num>
  <w:num w:numId="167" w16cid:durableId="413284673">
    <w:abstractNumId w:val="148"/>
  </w:num>
  <w:num w:numId="168" w16cid:durableId="1468662987">
    <w:abstractNumId w:val="161"/>
  </w:num>
  <w:num w:numId="169" w16cid:durableId="2122410195">
    <w:abstractNumId w:val="186"/>
  </w:num>
  <w:num w:numId="170" w16cid:durableId="350256037">
    <w:abstractNumId w:val="16"/>
  </w:num>
  <w:num w:numId="171" w16cid:durableId="2072653933">
    <w:abstractNumId w:val="43"/>
  </w:num>
  <w:num w:numId="172" w16cid:durableId="182281914">
    <w:abstractNumId w:val="63"/>
  </w:num>
  <w:num w:numId="173" w16cid:durableId="407383920">
    <w:abstractNumId w:val="216"/>
  </w:num>
  <w:num w:numId="174" w16cid:durableId="1875071974">
    <w:abstractNumId w:val="129"/>
  </w:num>
  <w:num w:numId="175" w16cid:durableId="2021083453">
    <w:abstractNumId w:val="35"/>
  </w:num>
  <w:num w:numId="176" w16cid:durableId="553270813">
    <w:abstractNumId w:val="70"/>
  </w:num>
  <w:num w:numId="177" w16cid:durableId="1325279578">
    <w:abstractNumId w:val="121"/>
  </w:num>
  <w:num w:numId="178" w16cid:durableId="1283463164">
    <w:abstractNumId w:val="23"/>
  </w:num>
  <w:num w:numId="179" w16cid:durableId="407074139">
    <w:abstractNumId w:val="85"/>
  </w:num>
  <w:num w:numId="180" w16cid:durableId="816918085">
    <w:abstractNumId w:val="10"/>
  </w:num>
  <w:num w:numId="181" w16cid:durableId="418988196">
    <w:abstractNumId w:val="50"/>
  </w:num>
  <w:num w:numId="182" w16cid:durableId="1098990484">
    <w:abstractNumId w:val="24"/>
  </w:num>
  <w:num w:numId="183" w16cid:durableId="1686203253">
    <w:abstractNumId w:val="38"/>
  </w:num>
  <w:num w:numId="184" w16cid:durableId="762150098">
    <w:abstractNumId w:val="15"/>
  </w:num>
  <w:num w:numId="185" w16cid:durableId="949555914">
    <w:abstractNumId w:val="172"/>
  </w:num>
  <w:num w:numId="186" w16cid:durableId="61487728">
    <w:abstractNumId w:val="132"/>
  </w:num>
  <w:num w:numId="187" w16cid:durableId="1632705638">
    <w:abstractNumId w:val="92"/>
  </w:num>
  <w:num w:numId="188" w16cid:durableId="1291283401">
    <w:abstractNumId w:val="42"/>
  </w:num>
  <w:num w:numId="189" w16cid:durableId="871921155">
    <w:abstractNumId w:val="29"/>
  </w:num>
  <w:num w:numId="190" w16cid:durableId="852496796">
    <w:abstractNumId w:val="13"/>
  </w:num>
  <w:num w:numId="191" w16cid:durableId="1981836747">
    <w:abstractNumId w:val="89"/>
  </w:num>
  <w:num w:numId="192" w16cid:durableId="1992249351">
    <w:abstractNumId w:val="84"/>
  </w:num>
  <w:num w:numId="193" w16cid:durableId="1352487366">
    <w:abstractNumId w:val="22"/>
  </w:num>
  <w:num w:numId="194" w16cid:durableId="1670520980">
    <w:abstractNumId w:val="31"/>
  </w:num>
  <w:num w:numId="195" w16cid:durableId="1823961527">
    <w:abstractNumId w:val="175"/>
  </w:num>
  <w:num w:numId="196" w16cid:durableId="631254366">
    <w:abstractNumId w:val="41"/>
  </w:num>
  <w:num w:numId="197" w16cid:durableId="1119645719">
    <w:abstractNumId w:val="108"/>
  </w:num>
  <w:num w:numId="198" w16cid:durableId="1063017918">
    <w:abstractNumId w:val="181"/>
  </w:num>
  <w:num w:numId="199" w16cid:durableId="1158809171">
    <w:abstractNumId w:val="103"/>
  </w:num>
  <w:num w:numId="200" w16cid:durableId="1544563869">
    <w:abstractNumId w:val="154"/>
  </w:num>
  <w:num w:numId="201" w16cid:durableId="722023903">
    <w:abstractNumId w:val="57"/>
  </w:num>
  <w:num w:numId="202" w16cid:durableId="1470126087">
    <w:abstractNumId w:val="155"/>
  </w:num>
  <w:num w:numId="203" w16cid:durableId="1552116024">
    <w:abstractNumId w:val="100"/>
  </w:num>
  <w:num w:numId="204" w16cid:durableId="1295451736">
    <w:abstractNumId w:val="83"/>
  </w:num>
  <w:num w:numId="205" w16cid:durableId="702873985">
    <w:abstractNumId w:val="167"/>
  </w:num>
  <w:num w:numId="206" w16cid:durableId="183056171">
    <w:abstractNumId w:val="98"/>
  </w:num>
  <w:num w:numId="207" w16cid:durableId="1320426318">
    <w:abstractNumId w:val="140"/>
  </w:num>
  <w:num w:numId="208" w16cid:durableId="706217334">
    <w:abstractNumId w:val="125"/>
  </w:num>
  <w:num w:numId="209" w16cid:durableId="1390805887">
    <w:abstractNumId w:val="195"/>
  </w:num>
  <w:num w:numId="210" w16cid:durableId="917783908">
    <w:abstractNumId w:val="99"/>
  </w:num>
  <w:num w:numId="211" w16cid:durableId="535193929">
    <w:abstractNumId w:val="2"/>
  </w:num>
  <w:num w:numId="212" w16cid:durableId="1923291054">
    <w:abstractNumId w:val="119"/>
  </w:num>
  <w:num w:numId="213" w16cid:durableId="1931696606">
    <w:abstractNumId w:val="205"/>
  </w:num>
  <w:num w:numId="214" w16cid:durableId="1513295792">
    <w:abstractNumId w:val="203"/>
  </w:num>
  <w:num w:numId="215" w16cid:durableId="617374401">
    <w:abstractNumId w:val="126"/>
  </w:num>
  <w:num w:numId="216" w16cid:durableId="725839058">
    <w:abstractNumId w:val="0"/>
  </w:num>
  <w:num w:numId="217" w16cid:durableId="939485826">
    <w:abstractNumId w:val="217"/>
  </w:num>
  <w:num w:numId="218" w16cid:durableId="365252792">
    <w:abstractNumId w:val="102"/>
  </w:num>
  <w:num w:numId="219" w16cid:durableId="776297026">
    <w:abstractNumId w:val="193"/>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D5D"/>
    <w:rsid w:val="000001B8"/>
    <w:rsid w:val="000003E4"/>
    <w:rsid w:val="0000043E"/>
    <w:rsid w:val="000005FB"/>
    <w:rsid w:val="00000E85"/>
    <w:rsid w:val="00000F7E"/>
    <w:rsid w:val="000010BE"/>
    <w:rsid w:val="000010F1"/>
    <w:rsid w:val="000011C2"/>
    <w:rsid w:val="00001648"/>
    <w:rsid w:val="0000192A"/>
    <w:rsid w:val="00001C85"/>
    <w:rsid w:val="00001C9F"/>
    <w:rsid w:val="00001DCB"/>
    <w:rsid w:val="00001FB8"/>
    <w:rsid w:val="00002049"/>
    <w:rsid w:val="0000217B"/>
    <w:rsid w:val="0000235C"/>
    <w:rsid w:val="000024CA"/>
    <w:rsid w:val="000024FB"/>
    <w:rsid w:val="00002681"/>
    <w:rsid w:val="0000290C"/>
    <w:rsid w:val="000029FC"/>
    <w:rsid w:val="00002BB5"/>
    <w:rsid w:val="00002D0C"/>
    <w:rsid w:val="00002FFB"/>
    <w:rsid w:val="000031E3"/>
    <w:rsid w:val="0000339D"/>
    <w:rsid w:val="00003469"/>
    <w:rsid w:val="000035A7"/>
    <w:rsid w:val="000035AB"/>
    <w:rsid w:val="0000366A"/>
    <w:rsid w:val="000036DB"/>
    <w:rsid w:val="000039E4"/>
    <w:rsid w:val="00003A47"/>
    <w:rsid w:val="00003A53"/>
    <w:rsid w:val="00003AFE"/>
    <w:rsid w:val="00003B78"/>
    <w:rsid w:val="000040B7"/>
    <w:rsid w:val="0000456A"/>
    <w:rsid w:val="000045C3"/>
    <w:rsid w:val="00004A3A"/>
    <w:rsid w:val="00004ED6"/>
    <w:rsid w:val="0000505E"/>
    <w:rsid w:val="00005062"/>
    <w:rsid w:val="000051A2"/>
    <w:rsid w:val="000054FA"/>
    <w:rsid w:val="000055C2"/>
    <w:rsid w:val="0000568A"/>
    <w:rsid w:val="000056A1"/>
    <w:rsid w:val="000056DB"/>
    <w:rsid w:val="0000572A"/>
    <w:rsid w:val="00005740"/>
    <w:rsid w:val="00005783"/>
    <w:rsid w:val="00005B5A"/>
    <w:rsid w:val="00005B9E"/>
    <w:rsid w:val="00005BEC"/>
    <w:rsid w:val="00005E35"/>
    <w:rsid w:val="00005FAB"/>
    <w:rsid w:val="00005FDF"/>
    <w:rsid w:val="00006124"/>
    <w:rsid w:val="00006391"/>
    <w:rsid w:val="000063D5"/>
    <w:rsid w:val="0000681B"/>
    <w:rsid w:val="00006B5F"/>
    <w:rsid w:val="00006D9B"/>
    <w:rsid w:val="00007D53"/>
    <w:rsid w:val="00007DEF"/>
    <w:rsid w:val="00007EFE"/>
    <w:rsid w:val="00007F08"/>
    <w:rsid w:val="00007FAC"/>
    <w:rsid w:val="000103D1"/>
    <w:rsid w:val="000103EC"/>
    <w:rsid w:val="000105E5"/>
    <w:rsid w:val="0001077F"/>
    <w:rsid w:val="00010AD8"/>
    <w:rsid w:val="00010C46"/>
    <w:rsid w:val="00010C5A"/>
    <w:rsid w:val="00010C5C"/>
    <w:rsid w:val="00010E9F"/>
    <w:rsid w:val="00010FBB"/>
    <w:rsid w:val="00011023"/>
    <w:rsid w:val="000111F0"/>
    <w:rsid w:val="00011206"/>
    <w:rsid w:val="00011272"/>
    <w:rsid w:val="00011353"/>
    <w:rsid w:val="0001141D"/>
    <w:rsid w:val="0001145C"/>
    <w:rsid w:val="000116AA"/>
    <w:rsid w:val="0001187E"/>
    <w:rsid w:val="00011A49"/>
    <w:rsid w:val="00011B67"/>
    <w:rsid w:val="00011CC2"/>
    <w:rsid w:val="00011D2D"/>
    <w:rsid w:val="00011D60"/>
    <w:rsid w:val="0001210A"/>
    <w:rsid w:val="000121DB"/>
    <w:rsid w:val="0001237E"/>
    <w:rsid w:val="00012662"/>
    <w:rsid w:val="00012696"/>
    <w:rsid w:val="000126D5"/>
    <w:rsid w:val="00012C04"/>
    <w:rsid w:val="00012C36"/>
    <w:rsid w:val="00012D96"/>
    <w:rsid w:val="00012EFF"/>
    <w:rsid w:val="00013031"/>
    <w:rsid w:val="0001327A"/>
    <w:rsid w:val="000132BE"/>
    <w:rsid w:val="000133E4"/>
    <w:rsid w:val="0001349F"/>
    <w:rsid w:val="00013C6E"/>
    <w:rsid w:val="00013FD0"/>
    <w:rsid w:val="00014184"/>
    <w:rsid w:val="00014246"/>
    <w:rsid w:val="000148E4"/>
    <w:rsid w:val="00014ADB"/>
    <w:rsid w:val="00014AE1"/>
    <w:rsid w:val="00014AF4"/>
    <w:rsid w:val="00015073"/>
    <w:rsid w:val="0001508D"/>
    <w:rsid w:val="000152D4"/>
    <w:rsid w:val="000155C2"/>
    <w:rsid w:val="00015695"/>
    <w:rsid w:val="00015773"/>
    <w:rsid w:val="0001585F"/>
    <w:rsid w:val="0001591C"/>
    <w:rsid w:val="00015D7D"/>
    <w:rsid w:val="00015DD4"/>
    <w:rsid w:val="0001610F"/>
    <w:rsid w:val="00016249"/>
    <w:rsid w:val="00016A33"/>
    <w:rsid w:val="00016AD2"/>
    <w:rsid w:val="00016B50"/>
    <w:rsid w:val="00016C60"/>
    <w:rsid w:val="00017161"/>
    <w:rsid w:val="0001734D"/>
    <w:rsid w:val="000174B8"/>
    <w:rsid w:val="000174BD"/>
    <w:rsid w:val="000176A1"/>
    <w:rsid w:val="00017C1F"/>
    <w:rsid w:val="00017C40"/>
    <w:rsid w:val="00017D39"/>
    <w:rsid w:val="00017D8A"/>
    <w:rsid w:val="00017E07"/>
    <w:rsid w:val="00017E21"/>
    <w:rsid w:val="00017EFA"/>
    <w:rsid w:val="00017F8F"/>
    <w:rsid w:val="00020016"/>
    <w:rsid w:val="00020027"/>
    <w:rsid w:val="0002027F"/>
    <w:rsid w:val="000202DE"/>
    <w:rsid w:val="0002044D"/>
    <w:rsid w:val="000208A0"/>
    <w:rsid w:val="000208DD"/>
    <w:rsid w:val="00020A57"/>
    <w:rsid w:val="00020B7A"/>
    <w:rsid w:val="0002108F"/>
    <w:rsid w:val="0002116B"/>
    <w:rsid w:val="000211E2"/>
    <w:rsid w:val="00021859"/>
    <w:rsid w:val="00021E76"/>
    <w:rsid w:val="00022510"/>
    <w:rsid w:val="00022A4B"/>
    <w:rsid w:val="00022ACA"/>
    <w:rsid w:val="00022BBC"/>
    <w:rsid w:val="00022BE1"/>
    <w:rsid w:val="00022C1D"/>
    <w:rsid w:val="00022CAA"/>
    <w:rsid w:val="00022CB8"/>
    <w:rsid w:val="00022E0A"/>
    <w:rsid w:val="000230F3"/>
    <w:rsid w:val="0002322B"/>
    <w:rsid w:val="00023330"/>
    <w:rsid w:val="000233A5"/>
    <w:rsid w:val="000234BB"/>
    <w:rsid w:val="000235DD"/>
    <w:rsid w:val="0002365B"/>
    <w:rsid w:val="00023806"/>
    <w:rsid w:val="000239C0"/>
    <w:rsid w:val="00023A32"/>
    <w:rsid w:val="00023CB8"/>
    <w:rsid w:val="00023D93"/>
    <w:rsid w:val="0002416D"/>
    <w:rsid w:val="000243D7"/>
    <w:rsid w:val="00024463"/>
    <w:rsid w:val="000244FF"/>
    <w:rsid w:val="00024684"/>
    <w:rsid w:val="00024F94"/>
    <w:rsid w:val="000250C2"/>
    <w:rsid w:val="00025129"/>
    <w:rsid w:val="000256A0"/>
    <w:rsid w:val="000258A8"/>
    <w:rsid w:val="000258FE"/>
    <w:rsid w:val="00025B1A"/>
    <w:rsid w:val="00025C38"/>
    <w:rsid w:val="00026431"/>
    <w:rsid w:val="00026447"/>
    <w:rsid w:val="0002667A"/>
    <w:rsid w:val="0002695E"/>
    <w:rsid w:val="00026F7C"/>
    <w:rsid w:val="000271C1"/>
    <w:rsid w:val="0002721C"/>
    <w:rsid w:val="0002729B"/>
    <w:rsid w:val="00027361"/>
    <w:rsid w:val="000275EC"/>
    <w:rsid w:val="00027979"/>
    <w:rsid w:val="00027FC1"/>
    <w:rsid w:val="00030543"/>
    <w:rsid w:val="000305F0"/>
    <w:rsid w:val="0003064F"/>
    <w:rsid w:val="00030840"/>
    <w:rsid w:val="0003084D"/>
    <w:rsid w:val="00030C04"/>
    <w:rsid w:val="00031371"/>
    <w:rsid w:val="00031522"/>
    <w:rsid w:val="00031567"/>
    <w:rsid w:val="00031838"/>
    <w:rsid w:val="00031B5E"/>
    <w:rsid w:val="00031B64"/>
    <w:rsid w:val="00031E76"/>
    <w:rsid w:val="00032170"/>
    <w:rsid w:val="000322EE"/>
    <w:rsid w:val="0003238A"/>
    <w:rsid w:val="00032A43"/>
    <w:rsid w:val="00032CED"/>
    <w:rsid w:val="000332FF"/>
    <w:rsid w:val="00033354"/>
    <w:rsid w:val="000335D7"/>
    <w:rsid w:val="00033B9C"/>
    <w:rsid w:val="00033BF5"/>
    <w:rsid w:val="00033E0E"/>
    <w:rsid w:val="00033F8F"/>
    <w:rsid w:val="0003405B"/>
    <w:rsid w:val="0003436C"/>
    <w:rsid w:val="00034624"/>
    <w:rsid w:val="00034655"/>
    <w:rsid w:val="0003474F"/>
    <w:rsid w:val="00034772"/>
    <w:rsid w:val="000349AC"/>
    <w:rsid w:val="000349CA"/>
    <w:rsid w:val="00034AF0"/>
    <w:rsid w:val="00034ECF"/>
    <w:rsid w:val="0003506E"/>
    <w:rsid w:val="0003514B"/>
    <w:rsid w:val="000351B3"/>
    <w:rsid w:val="000351EC"/>
    <w:rsid w:val="000353CA"/>
    <w:rsid w:val="000355BE"/>
    <w:rsid w:val="000358E8"/>
    <w:rsid w:val="00035A0A"/>
    <w:rsid w:val="00035BFE"/>
    <w:rsid w:val="00035CC1"/>
    <w:rsid w:val="00035CD0"/>
    <w:rsid w:val="00035D01"/>
    <w:rsid w:val="00035D38"/>
    <w:rsid w:val="00035F33"/>
    <w:rsid w:val="00035F7B"/>
    <w:rsid w:val="000361FF"/>
    <w:rsid w:val="000362B4"/>
    <w:rsid w:val="00036374"/>
    <w:rsid w:val="00036582"/>
    <w:rsid w:val="00036829"/>
    <w:rsid w:val="00036C68"/>
    <w:rsid w:val="00036D58"/>
    <w:rsid w:val="00036DB5"/>
    <w:rsid w:val="00037089"/>
    <w:rsid w:val="00037710"/>
    <w:rsid w:val="00037B40"/>
    <w:rsid w:val="00037C25"/>
    <w:rsid w:val="000405B1"/>
    <w:rsid w:val="000405CD"/>
    <w:rsid w:val="0004081E"/>
    <w:rsid w:val="00040BCA"/>
    <w:rsid w:val="00040CAD"/>
    <w:rsid w:val="00040F24"/>
    <w:rsid w:val="00041132"/>
    <w:rsid w:val="00041191"/>
    <w:rsid w:val="000411E7"/>
    <w:rsid w:val="00041362"/>
    <w:rsid w:val="000413B9"/>
    <w:rsid w:val="0004168D"/>
    <w:rsid w:val="00041720"/>
    <w:rsid w:val="000418DD"/>
    <w:rsid w:val="00041B06"/>
    <w:rsid w:val="00041FBE"/>
    <w:rsid w:val="000423F1"/>
    <w:rsid w:val="0004278E"/>
    <w:rsid w:val="000429E6"/>
    <w:rsid w:val="00042B33"/>
    <w:rsid w:val="00042B7C"/>
    <w:rsid w:val="00042C73"/>
    <w:rsid w:val="00042D05"/>
    <w:rsid w:val="00042E70"/>
    <w:rsid w:val="00043226"/>
    <w:rsid w:val="0004334A"/>
    <w:rsid w:val="0004335B"/>
    <w:rsid w:val="000434FD"/>
    <w:rsid w:val="0004355A"/>
    <w:rsid w:val="0004369E"/>
    <w:rsid w:val="0004395D"/>
    <w:rsid w:val="000439B3"/>
    <w:rsid w:val="00043D3D"/>
    <w:rsid w:val="00043F2B"/>
    <w:rsid w:val="00044054"/>
    <w:rsid w:val="000440E6"/>
    <w:rsid w:val="0004421E"/>
    <w:rsid w:val="00044443"/>
    <w:rsid w:val="00044488"/>
    <w:rsid w:val="000444ED"/>
    <w:rsid w:val="000445AF"/>
    <w:rsid w:val="0004480D"/>
    <w:rsid w:val="00044A80"/>
    <w:rsid w:val="00044BCF"/>
    <w:rsid w:val="00044C07"/>
    <w:rsid w:val="00044DB2"/>
    <w:rsid w:val="000453F7"/>
    <w:rsid w:val="000454D1"/>
    <w:rsid w:val="000455B4"/>
    <w:rsid w:val="0004571E"/>
    <w:rsid w:val="00045791"/>
    <w:rsid w:val="0004626F"/>
    <w:rsid w:val="000462DB"/>
    <w:rsid w:val="0004652A"/>
    <w:rsid w:val="000468FB"/>
    <w:rsid w:val="00046C11"/>
    <w:rsid w:val="00047049"/>
    <w:rsid w:val="0004751C"/>
    <w:rsid w:val="00047567"/>
    <w:rsid w:val="000475D2"/>
    <w:rsid w:val="000478A2"/>
    <w:rsid w:val="000478B9"/>
    <w:rsid w:val="000479FE"/>
    <w:rsid w:val="00047AF0"/>
    <w:rsid w:val="00047B93"/>
    <w:rsid w:val="00047D81"/>
    <w:rsid w:val="00047FBE"/>
    <w:rsid w:val="000504C2"/>
    <w:rsid w:val="00050A47"/>
    <w:rsid w:val="00050D9A"/>
    <w:rsid w:val="00050DAE"/>
    <w:rsid w:val="00050F36"/>
    <w:rsid w:val="00051059"/>
    <w:rsid w:val="00051099"/>
    <w:rsid w:val="0005119B"/>
    <w:rsid w:val="00051273"/>
    <w:rsid w:val="000513AC"/>
    <w:rsid w:val="000513B4"/>
    <w:rsid w:val="00051402"/>
    <w:rsid w:val="000515A3"/>
    <w:rsid w:val="000517BC"/>
    <w:rsid w:val="00051A1C"/>
    <w:rsid w:val="00051AD6"/>
    <w:rsid w:val="00051E7D"/>
    <w:rsid w:val="00052150"/>
    <w:rsid w:val="000525C0"/>
    <w:rsid w:val="00052A41"/>
    <w:rsid w:val="00052AA8"/>
    <w:rsid w:val="00052ABA"/>
    <w:rsid w:val="00053103"/>
    <w:rsid w:val="00053240"/>
    <w:rsid w:val="00053296"/>
    <w:rsid w:val="00053428"/>
    <w:rsid w:val="00053544"/>
    <w:rsid w:val="00053796"/>
    <w:rsid w:val="0005379C"/>
    <w:rsid w:val="000539F7"/>
    <w:rsid w:val="00053F53"/>
    <w:rsid w:val="0005480B"/>
    <w:rsid w:val="0005498F"/>
    <w:rsid w:val="000549B0"/>
    <w:rsid w:val="00054A80"/>
    <w:rsid w:val="000550D5"/>
    <w:rsid w:val="00055270"/>
    <w:rsid w:val="000552AD"/>
    <w:rsid w:val="0005537B"/>
    <w:rsid w:val="0005568B"/>
    <w:rsid w:val="00055AF0"/>
    <w:rsid w:val="00055D3F"/>
    <w:rsid w:val="00056028"/>
    <w:rsid w:val="00056445"/>
    <w:rsid w:val="000566E8"/>
    <w:rsid w:val="000567A5"/>
    <w:rsid w:val="00056997"/>
    <w:rsid w:val="00056ABB"/>
    <w:rsid w:val="00056B08"/>
    <w:rsid w:val="00056D04"/>
    <w:rsid w:val="00056EB6"/>
    <w:rsid w:val="00056F85"/>
    <w:rsid w:val="0005702D"/>
    <w:rsid w:val="000576C9"/>
    <w:rsid w:val="000579CF"/>
    <w:rsid w:val="000579F1"/>
    <w:rsid w:val="00057DCD"/>
    <w:rsid w:val="00057DD9"/>
    <w:rsid w:val="0006021A"/>
    <w:rsid w:val="000602A0"/>
    <w:rsid w:val="0006036B"/>
    <w:rsid w:val="0006039E"/>
    <w:rsid w:val="00060429"/>
    <w:rsid w:val="00060451"/>
    <w:rsid w:val="000608F5"/>
    <w:rsid w:val="0006090B"/>
    <w:rsid w:val="00060A84"/>
    <w:rsid w:val="00060A90"/>
    <w:rsid w:val="00060B2C"/>
    <w:rsid w:val="00060C90"/>
    <w:rsid w:val="00060D05"/>
    <w:rsid w:val="00060E30"/>
    <w:rsid w:val="000612BD"/>
    <w:rsid w:val="000612D7"/>
    <w:rsid w:val="00061825"/>
    <w:rsid w:val="00061916"/>
    <w:rsid w:val="00061933"/>
    <w:rsid w:val="00061A0B"/>
    <w:rsid w:val="00061C53"/>
    <w:rsid w:val="00061CD0"/>
    <w:rsid w:val="00061E29"/>
    <w:rsid w:val="00062356"/>
    <w:rsid w:val="0006242F"/>
    <w:rsid w:val="00062466"/>
    <w:rsid w:val="00062768"/>
    <w:rsid w:val="0006283D"/>
    <w:rsid w:val="00062933"/>
    <w:rsid w:val="00062984"/>
    <w:rsid w:val="00062A28"/>
    <w:rsid w:val="00062A68"/>
    <w:rsid w:val="00062C64"/>
    <w:rsid w:val="00062CAC"/>
    <w:rsid w:val="00062EDE"/>
    <w:rsid w:val="00063001"/>
    <w:rsid w:val="00063218"/>
    <w:rsid w:val="00063272"/>
    <w:rsid w:val="0006328B"/>
    <w:rsid w:val="000637E7"/>
    <w:rsid w:val="000638A4"/>
    <w:rsid w:val="0006398C"/>
    <w:rsid w:val="00063A8A"/>
    <w:rsid w:val="00063ACC"/>
    <w:rsid w:val="00063CB1"/>
    <w:rsid w:val="00063DE7"/>
    <w:rsid w:val="00063F23"/>
    <w:rsid w:val="0006434F"/>
    <w:rsid w:val="0006444E"/>
    <w:rsid w:val="00064472"/>
    <w:rsid w:val="000644B8"/>
    <w:rsid w:val="000646AB"/>
    <w:rsid w:val="000646D9"/>
    <w:rsid w:val="00064E7D"/>
    <w:rsid w:val="000651F6"/>
    <w:rsid w:val="00065240"/>
    <w:rsid w:val="00065252"/>
    <w:rsid w:val="00065429"/>
    <w:rsid w:val="000655ED"/>
    <w:rsid w:val="000656C7"/>
    <w:rsid w:val="00065756"/>
    <w:rsid w:val="000657AF"/>
    <w:rsid w:val="00065809"/>
    <w:rsid w:val="0006588C"/>
    <w:rsid w:val="000659DD"/>
    <w:rsid w:val="00065A6D"/>
    <w:rsid w:val="00065DEA"/>
    <w:rsid w:val="00065EA5"/>
    <w:rsid w:val="00065ED3"/>
    <w:rsid w:val="00066067"/>
    <w:rsid w:val="00066226"/>
    <w:rsid w:val="000664A0"/>
    <w:rsid w:val="00066570"/>
    <w:rsid w:val="000665DF"/>
    <w:rsid w:val="0006663A"/>
    <w:rsid w:val="00066747"/>
    <w:rsid w:val="00066937"/>
    <w:rsid w:val="00066995"/>
    <w:rsid w:val="00066AFC"/>
    <w:rsid w:val="00066D5F"/>
    <w:rsid w:val="00066DDC"/>
    <w:rsid w:val="00066F12"/>
    <w:rsid w:val="000670AA"/>
    <w:rsid w:val="0006711C"/>
    <w:rsid w:val="000671AA"/>
    <w:rsid w:val="0006739E"/>
    <w:rsid w:val="000675F3"/>
    <w:rsid w:val="00067761"/>
    <w:rsid w:val="000677E8"/>
    <w:rsid w:val="00067C2B"/>
    <w:rsid w:val="00067FD5"/>
    <w:rsid w:val="00070185"/>
    <w:rsid w:val="000703BA"/>
    <w:rsid w:val="00070463"/>
    <w:rsid w:val="000704FF"/>
    <w:rsid w:val="000705FB"/>
    <w:rsid w:val="000709C5"/>
    <w:rsid w:val="00070C72"/>
    <w:rsid w:val="00070CE0"/>
    <w:rsid w:val="00070D1D"/>
    <w:rsid w:val="00070DD3"/>
    <w:rsid w:val="00070EA5"/>
    <w:rsid w:val="00071334"/>
    <w:rsid w:val="000714DE"/>
    <w:rsid w:val="0007150E"/>
    <w:rsid w:val="000718B8"/>
    <w:rsid w:val="00071CCA"/>
    <w:rsid w:val="00071E5B"/>
    <w:rsid w:val="00071FDC"/>
    <w:rsid w:val="00072185"/>
    <w:rsid w:val="0007250B"/>
    <w:rsid w:val="000728DA"/>
    <w:rsid w:val="00072A0E"/>
    <w:rsid w:val="00072A0F"/>
    <w:rsid w:val="00072B51"/>
    <w:rsid w:val="00072B70"/>
    <w:rsid w:val="00072B99"/>
    <w:rsid w:val="00072E56"/>
    <w:rsid w:val="00072ED0"/>
    <w:rsid w:val="00073136"/>
    <w:rsid w:val="00073267"/>
    <w:rsid w:val="000732FB"/>
    <w:rsid w:val="0007346D"/>
    <w:rsid w:val="0007375A"/>
    <w:rsid w:val="00073975"/>
    <w:rsid w:val="00073B92"/>
    <w:rsid w:val="00073C6F"/>
    <w:rsid w:val="00073C76"/>
    <w:rsid w:val="00073F5F"/>
    <w:rsid w:val="00074322"/>
    <w:rsid w:val="000744E2"/>
    <w:rsid w:val="00074561"/>
    <w:rsid w:val="00074666"/>
    <w:rsid w:val="000747AC"/>
    <w:rsid w:val="000748C7"/>
    <w:rsid w:val="000748D5"/>
    <w:rsid w:val="00074C37"/>
    <w:rsid w:val="00074CF8"/>
    <w:rsid w:val="00074E79"/>
    <w:rsid w:val="00075216"/>
    <w:rsid w:val="0007521D"/>
    <w:rsid w:val="00075309"/>
    <w:rsid w:val="0007562A"/>
    <w:rsid w:val="000758AD"/>
    <w:rsid w:val="000759D5"/>
    <w:rsid w:val="000759E9"/>
    <w:rsid w:val="00075AAD"/>
    <w:rsid w:val="00075F35"/>
    <w:rsid w:val="00076046"/>
    <w:rsid w:val="00076278"/>
    <w:rsid w:val="00076382"/>
    <w:rsid w:val="000764D1"/>
    <w:rsid w:val="0007650C"/>
    <w:rsid w:val="00076608"/>
    <w:rsid w:val="000766A6"/>
    <w:rsid w:val="00076737"/>
    <w:rsid w:val="00076742"/>
    <w:rsid w:val="000767A1"/>
    <w:rsid w:val="00076D24"/>
    <w:rsid w:val="00076D89"/>
    <w:rsid w:val="00077116"/>
    <w:rsid w:val="00077189"/>
    <w:rsid w:val="00077713"/>
    <w:rsid w:val="0007799D"/>
    <w:rsid w:val="00077A86"/>
    <w:rsid w:val="00077CE1"/>
    <w:rsid w:val="00077EB3"/>
    <w:rsid w:val="00080446"/>
    <w:rsid w:val="0008090B"/>
    <w:rsid w:val="00080E4E"/>
    <w:rsid w:val="00081071"/>
    <w:rsid w:val="000810AA"/>
    <w:rsid w:val="0008126F"/>
    <w:rsid w:val="000812BA"/>
    <w:rsid w:val="000814C0"/>
    <w:rsid w:val="000815E9"/>
    <w:rsid w:val="00081B3E"/>
    <w:rsid w:val="000820AC"/>
    <w:rsid w:val="00082104"/>
    <w:rsid w:val="000823FA"/>
    <w:rsid w:val="000824D6"/>
    <w:rsid w:val="0008273D"/>
    <w:rsid w:val="000828AE"/>
    <w:rsid w:val="00082A1A"/>
    <w:rsid w:val="00082EC7"/>
    <w:rsid w:val="00082F4F"/>
    <w:rsid w:val="0008343F"/>
    <w:rsid w:val="000838B0"/>
    <w:rsid w:val="00083966"/>
    <w:rsid w:val="000839E0"/>
    <w:rsid w:val="00083B16"/>
    <w:rsid w:val="00083C72"/>
    <w:rsid w:val="00083F6D"/>
    <w:rsid w:val="000840D6"/>
    <w:rsid w:val="000840D9"/>
    <w:rsid w:val="000841CD"/>
    <w:rsid w:val="000842C7"/>
    <w:rsid w:val="0008444C"/>
    <w:rsid w:val="00084482"/>
    <w:rsid w:val="000846A3"/>
    <w:rsid w:val="000846ED"/>
    <w:rsid w:val="000848D0"/>
    <w:rsid w:val="000848FF"/>
    <w:rsid w:val="00084C5A"/>
    <w:rsid w:val="00084FD1"/>
    <w:rsid w:val="00084FD7"/>
    <w:rsid w:val="00085054"/>
    <w:rsid w:val="000850E7"/>
    <w:rsid w:val="00085139"/>
    <w:rsid w:val="0008530A"/>
    <w:rsid w:val="00085396"/>
    <w:rsid w:val="000856A2"/>
    <w:rsid w:val="00085CD8"/>
    <w:rsid w:val="00085D43"/>
    <w:rsid w:val="00086677"/>
    <w:rsid w:val="0008669A"/>
    <w:rsid w:val="00086728"/>
    <w:rsid w:val="00086745"/>
    <w:rsid w:val="0008679A"/>
    <w:rsid w:val="00086A72"/>
    <w:rsid w:val="00086A9F"/>
    <w:rsid w:val="00086AF2"/>
    <w:rsid w:val="00086B14"/>
    <w:rsid w:val="00086B39"/>
    <w:rsid w:val="00086B56"/>
    <w:rsid w:val="00086C49"/>
    <w:rsid w:val="00086C4E"/>
    <w:rsid w:val="00087148"/>
    <w:rsid w:val="0008715E"/>
    <w:rsid w:val="000873B0"/>
    <w:rsid w:val="0008757D"/>
    <w:rsid w:val="0008795D"/>
    <w:rsid w:val="000879CE"/>
    <w:rsid w:val="00087BCF"/>
    <w:rsid w:val="00087BE9"/>
    <w:rsid w:val="00087C68"/>
    <w:rsid w:val="00087EF4"/>
    <w:rsid w:val="00090701"/>
    <w:rsid w:val="00091147"/>
    <w:rsid w:val="000912E0"/>
    <w:rsid w:val="0009141C"/>
    <w:rsid w:val="00091438"/>
    <w:rsid w:val="0009147F"/>
    <w:rsid w:val="000914E5"/>
    <w:rsid w:val="0009151F"/>
    <w:rsid w:val="000915F0"/>
    <w:rsid w:val="00091675"/>
    <w:rsid w:val="0009170A"/>
    <w:rsid w:val="00091987"/>
    <w:rsid w:val="00091E8D"/>
    <w:rsid w:val="00091F4C"/>
    <w:rsid w:val="000920A0"/>
    <w:rsid w:val="0009220D"/>
    <w:rsid w:val="0009259E"/>
    <w:rsid w:val="0009261A"/>
    <w:rsid w:val="00092971"/>
    <w:rsid w:val="00092D9D"/>
    <w:rsid w:val="00092DA6"/>
    <w:rsid w:val="00092E88"/>
    <w:rsid w:val="000932F6"/>
    <w:rsid w:val="000937C7"/>
    <w:rsid w:val="000937DD"/>
    <w:rsid w:val="000939CC"/>
    <w:rsid w:val="00093A5A"/>
    <w:rsid w:val="00093BFA"/>
    <w:rsid w:val="00093C69"/>
    <w:rsid w:val="00093C7A"/>
    <w:rsid w:val="00093CD1"/>
    <w:rsid w:val="00093D56"/>
    <w:rsid w:val="00094104"/>
    <w:rsid w:val="0009497C"/>
    <w:rsid w:val="00094BF7"/>
    <w:rsid w:val="00094C21"/>
    <w:rsid w:val="00094EB8"/>
    <w:rsid w:val="00094EDA"/>
    <w:rsid w:val="00095519"/>
    <w:rsid w:val="000958FE"/>
    <w:rsid w:val="00095A47"/>
    <w:rsid w:val="00095BEA"/>
    <w:rsid w:val="00095D08"/>
    <w:rsid w:val="00095E83"/>
    <w:rsid w:val="000961F7"/>
    <w:rsid w:val="000963DE"/>
    <w:rsid w:val="00096572"/>
    <w:rsid w:val="000965B6"/>
    <w:rsid w:val="000965DA"/>
    <w:rsid w:val="00096629"/>
    <w:rsid w:val="00096635"/>
    <w:rsid w:val="00096BC9"/>
    <w:rsid w:val="00096E39"/>
    <w:rsid w:val="00097013"/>
    <w:rsid w:val="000970C1"/>
    <w:rsid w:val="00097160"/>
    <w:rsid w:val="00097257"/>
    <w:rsid w:val="000978C5"/>
    <w:rsid w:val="00097904"/>
    <w:rsid w:val="00097959"/>
    <w:rsid w:val="00097A1C"/>
    <w:rsid w:val="00097D3C"/>
    <w:rsid w:val="000A004E"/>
    <w:rsid w:val="000A00C2"/>
    <w:rsid w:val="000A01C2"/>
    <w:rsid w:val="000A05F9"/>
    <w:rsid w:val="000A0680"/>
    <w:rsid w:val="000A07A0"/>
    <w:rsid w:val="000A0829"/>
    <w:rsid w:val="000A0F17"/>
    <w:rsid w:val="000A1296"/>
    <w:rsid w:val="000A15F4"/>
    <w:rsid w:val="000A176F"/>
    <w:rsid w:val="000A1AE7"/>
    <w:rsid w:val="000A2135"/>
    <w:rsid w:val="000A2553"/>
    <w:rsid w:val="000A25FC"/>
    <w:rsid w:val="000A2E9B"/>
    <w:rsid w:val="000A3435"/>
    <w:rsid w:val="000A3500"/>
    <w:rsid w:val="000A3800"/>
    <w:rsid w:val="000A3B01"/>
    <w:rsid w:val="000A3E70"/>
    <w:rsid w:val="000A412F"/>
    <w:rsid w:val="000A42C7"/>
    <w:rsid w:val="000A43E6"/>
    <w:rsid w:val="000A443D"/>
    <w:rsid w:val="000A44A9"/>
    <w:rsid w:val="000A44D7"/>
    <w:rsid w:val="000A44F2"/>
    <w:rsid w:val="000A463E"/>
    <w:rsid w:val="000A4918"/>
    <w:rsid w:val="000A4B15"/>
    <w:rsid w:val="000A4BBD"/>
    <w:rsid w:val="000A4BCE"/>
    <w:rsid w:val="000A4E50"/>
    <w:rsid w:val="000A4F53"/>
    <w:rsid w:val="000A4FAD"/>
    <w:rsid w:val="000A5008"/>
    <w:rsid w:val="000A5012"/>
    <w:rsid w:val="000A5211"/>
    <w:rsid w:val="000A5477"/>
    <w:rsid w:val="000A5566"/>
    <w:rsid w:val="000A562D"/>
    <w:rsid w:val="000A56D0"/>
    <w:rsid w:val="000A5A0E"/>
    <w:rsid w:val="000A5AF8"/>
    <w:rsid w:val="000A5B76"/>
    <w:rsid w:val="000A5D79"/>
    <w:rsid w:val="000A5F1E"/>
    <w:rsid w:val="000A6187"/>
    <w:rsid w:val="000A63F2"/>
    <w:rsid w:val="000A657F"/>
    <w:rsid w:val="000A6736"/>
    <w:rsid w:val="000A6783"/>
    <w:rsid w:val="000A6951"/>
    <w:rsid w:val="000A6C5F"/>
    <w:rsid w:val="000A6E1A"/>
    <w:rsid w:val="000A6E9D"/>
    <w:rsid w:val="000A70BC"/>
    <w:rsid w:val="000A732C"/>
    <w:rsid w:val="000A73BA"/>
    <w:rsid w:val="000A7664"/>
    <w:rsid w:val="000A7696"/>
    <w:rsid w:val="000A77C9"/>
    <w:rsid w:val="000A796E"/>
    <w:rsid w:val="000A798A"/>
    <w:rsid w:val="000A79C1"/>
    <w:rsid w:val="000A79DD"/>
    <w:rsid w:val="000A7ABF"/>
    <w:rsid w:val="000A7BEE"/>
    <w:rsid w:val="000A7DA8"/>
    <w:rsid w:val="000A7F2A"/>
    <w:rsid w:val="000B002D"/>
    <w:rsid w:val="000B0092"/>
    <w:rsid w:val="000B00A2"/>
    <w:rsid w:val="000B0113"/>
    <w:rsid w:val="000B0229"/>
    <w:rsid w:val="000B03C1"/>
    <w:rsid w:val="000B0650"/>
    <w:rsid w:val="000B06AA"/>
    <w:rsid w:val="000B0704"/>
    <w:rsid w:val="000B0AFC"/>
    <w:rsid w:val="000B0C4B"/>
    <w:rsid w:val="000B0DE8"/>
    <w:rsid w:val="000B0F40"/>
    <w:rsid w:val="000B11C7"/>
    <w:rsid w:val="000B137B"/>
    <w:rsid w:val="000B13C6"/>
    <w:rsid w:val="000B1403"/>
    <w:rsid w:val="000B15F9"/>
    <w:rsid w:val="000B17BC"/>
    <w:rsid w:val="000B1911"/>
    <w:rsid w:val="000B1B5C"/>
    <w:rsid w:val="000B1F61"/>
    <w:rsid w:val="000B2025"/>
    <w:rsid w:val="000B2303"/>
    <w:rsid w:val="000B2569"/>
    <w:rsid w:val="000B25D0"/>
    <w:rsid w:val="000B2799"/>
    <w:rsid w:val="000B294F"/>
    <w:rsid w:val="000B2AB4"/>
    <w:rsid w:val="000B2D37"/>
    <w:rsid w:val="000B2DA4"/>
    <w:rsid w:val="000B3052"/>
    <w:rsid w:val="000B3081"/>
    <w:rsid w:val="000B33E1"/>
    <w:rsid w:val="000B386E"/>
    <w:rsid w:val="000B3C03"/>
    <w:rsid w:val="000B3C70"/>
    <w:rsid w:val="000B3C82"/>
    <w:rsid w:val="000B4037"/>
    <w:rsid w:val="000B42A3"/>
    <w:rsid w:val="000B4350"/>
    <w:rsid w:val="000B443E"/>
    <w:rsid w:val="000B4966"/>
    <w:rsid w:val="000B4BB4"/>
    <w:rsid w:val="000B4C07"/>
    <w:rsid w:val="000B4C29"/>
    <w:rsid w:val="000B4DA1"/>
    <w:rsid w:val="000B4E1E"/>
    <w:rsid w:val="000B4E85"/>
    <w:rsid w:val="000B4EAC"/>
    <w:rsid w:val="000B5093"/>
    <w:rsid w:val="000B51BB"/>
    <w:rsid w:val="000B5552"/>
    <w:rsid w:val="000B558B"/>
    <w:rsid w:val="000B5613"/>
    <w:rsid w:val="000B587C"/>
    <w:rsid w:val="000B599C"/>
    <w:rsid w:val="000B5B07"/>
    <w:rsid w:val="000B5DD5"/>
    <w:rsid w:val="000B6012"/>
    <w:rsid w:val="000B6418"/>
    <w:rsid w:val="000B651A"/>
    <w:rsid w:val="000B6B76"/>
    <w:rsid w:val="000B6C1D"/>
    <w:rsid w:val="000B70B2"/>
    <w:rsid w:val="000B7451"/>
    <w:rsid w:val="000B74CA"/>
    <w:rsid w:val="000B794F"/>
    <w:rsid w:val="000B7AD2"/>
    <w:rsid w:val="000B7BB5"/>
    <w:rsid w:val="000B7E46"/>
    <w:rsid w:val="000B7E67"/>
    <w:rsid w:val="000C02D9"/>
    <w:rsid w:val="000C02FE"/>
    <w:rsid w:val="000C0442"/>
    <w:rsid w:val="000C0715"/>
    <w:rsid w:val="000C0731"/>
    <w:rsid w:val="000C0734"/>
    <w:rsid w:val="000C0745"/>
    <w:rsid w:val="000C07A4"/>
    <w:rsid w:val="000C09A6"/>
    <w:rsid w:val="000C0ADD"/>
    <w:rsid w:val="000C0C3F"/>
    <w:rsid w:val="000C0E4D"/>
    <w:rsid w:val="000C0E98"/>
    <w:rsid w:val="000C1059"/>
    <w:rsid w:val="000C1589"/>
    <w:rsid w:val="000C17FC"/>
    <w:rsid w:val="000C1854"/>
    <w:rsid w:val="000C194F"/>
    <w:rsid w:val="000C1A6E"/>
    <w:rsid w:val="000C1B69"/>
    <w:rsid w:val="000C1C4C"/>
    <w:rsid w:val="000C1E61"/>
    <w:rsid w:val="000C1F9D"/>
    <w:rsid w:val="000C1FBE"/>
    <w:rsid w:val="000C2316"/>
    <w:rsid w:val="000C24D2"/>
    <w:rsid w:val="000C26B2"/>
    <w:rsid w:val="000C26C8"/>
    <w:rsid w:val="000C276E"/>
    <w:rsid w:val="000C27A8"/>
    <w:rsid w:val="000C2808"/>
    <w:rsid w:val="000C289B"/>
    <w:rsid w:val="000C28C7"/>
    <w:rsid w:val="000C29C8"/>
    <w:rsid w:val="000C3060"/>
    <w:rsid w:val="000C3522"/>
    <w:rsid w:val="000C3523"/>
    <w:rsid w:val="000C3606"/>
    <w:rsid w:val="000C3A72"/>
    <w:rsid w:val="000C3C40"/>
    <w:rsid w:val="000C3D3F"/>
    <w:rsid w:val="000C408F"/>
    <w:rsid w:val="000C40B1"/>
    <w:rsid w:val="000C49DF"/>
    <w:rsid w:val="000C4AE6"/>
    <w:rsid w:val="000C4F13"/>
    <w:rsid w:val="000C4F6C"/>
    <w:rsid w:val="000C500D"/>
    <w:rsid w:val="000C5225"/>
    <w:rsid w:val="000C5260"/>
    <w:rsid w:val="000C53B6"/>
    <w:rsid w:val="000C5AEA"/>
    <w:rsid w:val="000C5D04"/>
    <w:rsid w:val="000C61A1"/>
    <w:rsid w:val="000C6220"/>
    <w:rsid w:val="000C6408"/>
    <w:rsid w:val="000C6AD9"/>
    <w:rsid w:val="000C6AF0"/>
    <w:rsid w:val="000C6AFD"/>
    <w:rsid w:val="000C6B14"/>
    <w:rsid w:val="000C6C52"/>
    <w:rsid w:val="000C6D36"/>
    <w:rsid w:val="000C6D89"/>
    <w:rsid w:val="000C70DE"/>
    <w:rsid w:val="000C7175"/>
    <w:rsid w:val="000C726F"/>
    <w:rsid w:val="000C741B"/>
    <w:rsid w:val="000C748D"/>
    <w:rsid w:val="000C7510"/>
    <w:rsid w:val="000C7613"/>
    <w:rsid w:val="000C7CE0"/>
    <w:rsid w:val="000C7D88"/>
    <w:rsid w:val="000C7F0F"/>
    <w:rsid w:val="000D04CF"/>
    <w:rsid w:val="000D0601"/>
    <w:rsid w:val="000D066E"/>
    <w:rsid w:val="000D07E5"/>
    <w:rsid w:val="000D0889"/>
    <w:rsid w:val="000D0903"/>
    <w:rsid w:val="000D094B"/>
    <w:rsid w:val="000D0D48"/>
    <w:rsid w:val="000D0F09"/>
    <w:rsid w:val="000D1193"/>
    <w:rsid w:val="000D1399"/>
    <w:rsid w:val="000D146D"/>
    <w:rsid w:val="000D1674"/>
    <w:rsid w:val="000D1768"/>
    <w:rsid w:val="000D1BF8"/>
    <w:rsid w:val="000D1C5C"/>
    <w:rsid w:val="000D1FB8"/>
    <w:rsid w:val="000D2053"/>
    <w:rsid w:val="000D2189"/>
    <w:rsid w:val="000D23B9"/>
    <w:rsid w:val="000D2418"/>
    <w:rsid w:val="000D2447"/>
    <w:rsid w:val="000D2491"/>
    <w:rsid w:val="000D24D0"/>
    <w:rsid w:val="000D24D7"/>
    <w:rsid w:val="000D268F"/>
    <w:rsid w:val="000D2897"/>
    <w:rsid w:val="000D2928"/>
    <w:rsid w:val="000D2DCB"/>
    <w:rsid w:val="000D303F"/>
    <w:rsid w:val="000D30E0"/>
    <w:rsid w:val="000D3470"/>
    <w:rsid w:val="000D34F3"/>
    <w:rsid w:val="000D3883"/>
    <w:rsid w:val="000D38B9"/>
    <w:rsid w:val="000D3A82"/>
    <w:rsid w:val="000D3BC1"/>
    <w:rsid w:val="000D3C54"/>
    <w:rsid w:val="000D3D0E"/>
    <w:rsid w:val="000D42A9"/>
    <w:rsid w:val="000D43F9"/>
    <w:rsid w:val="000D46F2"/>
    <w:rsid w:val="000D4794"/>
    <w:rsid w:val="000D4986"/>
    <w:rsid w:val="000D4B33"/>
    <w:rsid w:val="000D4B53"/>
    <w:rsid w:val="000D4DD7"/>
    <w:rsid w:val="000D4FD7"/>
    <w:rsid w:val="000D5003"/>
    <w:rsid w:val="000D5807"/>
    <w:rsid w:val="000D594E"/>
    <w:rsid w:val="000D5F5C"/>
    <w:rsid w:val="000D5FFD"/>
    <w:rsid w:val="000D624A"/>
    <w:rsid w:val="000D6350"/>
    <w:rsid w:val="000D6783"/>
    <w:rsid w:val="000D696A"/>
    <w:rsid w:val="000D69AF"/>
    <w:rsid w:val="000D69C1"/>
    <w:rsid w:val="000D6BED"/>
    <w:rsid w:val="000D6D20"/>
    <w:rsid w:val="000D6E53"/>
    <w:rsid w:val="000D70B6"/>
    <w:rsid w:val="000D7152"/>
    <w:rsid w:val="000D7259"/>
    <w:rsid w:val="000D7352"/>
    <w:rsid w:val="000D7368"/>
    <w:rsid w:val="000D77DB"/>
    <w:rsid w:val="000D7816"/>
    <w:rsid w:val="000D7E61"/>
    <w:rsid w:val="000E0359"/>
    <w:rsid w:val="000E045B"/>
    <w:rsid w:val="000E05D4"/>
    <w:rsid w:val="000E08D2"/>
    <w:rsid w:val="000E0959"/>
    <w:rsid w:val="000E09CC"/>
    <w:rsid w:val="000E0AFB"/>
    <w:rsid w:val="000E0BBA"/>
    <w:rsid w:val="000E0CEE"/>
    <w:rsid w:val="000E0F62"/>
    <w:rsid w:val="000E11AE"/>
    <w:rsid w:val="000E11E2"/>
    <w:rsid w:val="000E1239"/>
    <w:rsid w:val="000E13CC"/>
    <w:rsid w:val="000E1429"/>
    <w:rsid w:val="000E14CB"/>
    <w:rsid w:val="000E15EB"/>
    <w:rsid w:val="000E1641"/>
    <w:rsid w:val="000E1644"/>
    <w:rsid w:val="000E1A14"/>
    <w:rsid w:val="000E1B6A"/>
    <w:rsid w:val="000E1B93"/>
    <w:rsid w:val="000E1CB3"/>
    <w:rsid w:val="000E1D85"/>
    <w:rsid w:val="000E1DE4"/>
    <w:rsid w:val="000E1E75"/>
    <w:rsid w:val="000E1F09"/>
    <w:rsid w:val="000E1F27"/>
    <w:rsid w:val="000E20BF"/>
    <w:rsid w:val="000E23BB"/>
    <w:rsid w:val="000E25D8"/>
    <w:rsid w:val="000E263C"/>
    <w:rsid w:val="000E28DD"/>
    <w:rsid w:val="000E299A"/>
    <w:rsid w:val="000E2A2B"/>
    <w:rsid w:val="000E2AEA"/>
    <w:rsid w:val="000E2B66"/>
    <w:rsid w:val="000E2CAC"/>
    <w:rsid w:val="000E2D3C"/>
    <w:rsid w:val="000E2DF2"/>
    <w:rsid w:val="000E30FA"/>
    <w:rsid w:val="000E3115"/>
    <w:rsid w:val="000E34C1"/>
    <w:rsid w:val="000E359F"/>
    <w:rsid w:val="000E3651"/>
    <w:rsid w:val="000E3A22"/>
    <w:rsid w:val="000E3D62"/>
    <w:rsid w:val="000E3FC4"/>
    <w:rsid w:val="000E4007"/>
    <w:rsid w:val="000E4183"/>
    <w:rsid w:val="000E42FA"/>
    <w:rsid w:val="000E43C6"/>
    <w:rsid w:val="000E4453"/>
    <w:rsid w:val="000E4474"/>
    <w:rsid w:val="000E466E"/>
    <w:rsid w:val="000E46DE"/>
    <w:rsid w:val="000E493B"/>
    <w:rsid w:val="000E4A25"/>
    <w:rsid w:val="000E4B10"/>
    <w:rsid w:val="000E4C06"/>
    <w:rsid w:val="000E4C9F"/>
    <w:rsid w:val="000E4DC0"/>
    <w:rsid w:val="000E54C1"/>
    <w:rsid w:val="000E5824"/>
    <w:rsid w:val="000E5940"/>
    <w:rsid w:val="000E5D98"/>
    <w:rsid w:val="000E5DB7"/>
    <w:rsid w:val="000E60FC"/>
    <w:rsid w:val="000E6121"/>
    <w:rsid w:val="000E62D3"/>
    <w:rsid w:val="000E62F0"/>
    <w:rsid w:val="000E6646"/>
    <w:rsid w:val="000E66C7"/>
    <w:rsid w:val="000E672A"/>
    <w:rsid w:val="000E675B"/>
    <w:rsid w:val="000E6912"/>
    <w:rsid w:val="000E6E54"/>
    <w:rsid w:val="000E6EA6"/>
    <w:rsid w:val="000E746D"/>
    <w:rsid w:val="000E7625"/>
    <w:rsid w:val="000E78A2"/>
    <w:rsid w:val="000E7904"/>
    <w:rsid w:val="000E79B6"/>
    <w:rsid w:val="000E7A39"/>
    <w:rsid w:val="000E7B86"/>
    <w:rsid w:val="000E7C87"/>
    <w:rsid w:val="000E7CE7"/>
    <w:rsid w:val="000E7D6B"/>
    <w:rsid w:val="000E7ED5"/>
    <w:rsid w:val="000F0401"/>
    <w:rsid w:val="000F04CD"/>
    <w:rsid w:val="000F04FF"/>
    <w:rsid w:val="000F0855"/>
    <w:rsid w:val="000F0A15"/>
    <w:rsid w:val="000F0BCE"/>
    <w:rsid w:val="000F0C0D"/>
    <w:rsid w:val="000F0C11"/>
    <w:rsid w:val="000F0C5F"/>
    <w:rsid w:val="000F0D23"/>
    <w:rsid w:val="000F0D37"/>
    <w:rsid w:val="000F0D44"/>
    <w:rsid w:val="000F0DD8"/>
    <w:rsid w:val="000F0EA6"/>
    <w:rsid w:val="000F0F79"/>
    <w:rsid w:val="000F0FF7"/>
    <w:rsid w:val="000F10C1"/>
    <w:rsid w:val="000F1211"/>
    <w:rsid w:val="000F1292"/>
    <w:rsid w:val="000F131C"/>
    <w:rsid w:val="000F1D0F"/>
    <w:rsid w:val="000F1E2E"/>
    <w:rsid w:val="000F1E70"/>
    <w:rsid w:val="000F1ECF"/>
    <w:rsid w:val="000F1ED9"/>
    <w:rsid w:val="000F1FC2"/>
    <w:rsid w:val="000F200E"/>
    <w:rsid w:val="000F20DF"/>
    <w:rsid w:val="000F25C8"/>
    <w:rsid w:val="000F2939"/>
    <w:rsid w:val="000F29C7"/>
    <w:rsid w:val="000F2DD3"/>
    <w:rsid w:val="000F2E62"/>
    <w:rsid w:val="000F2F63"/>
    <w:rsid w:val="000F3318"/>
    <w:rsid w:val="000F3322"/>
    <w:rsid w:val="000F35FE"/>
    <w:rsid w:val="000F4292"/>
    <w:rsid w:val="000F47B0"/>
    <w:rsid w:val="000F4899"/>
    <w:rsid w:val="000F497C"/>
    <w:rsid w:val="000F4A89"/>
    <w:rsid w:val="000F4A99"/>
    <w:rsid w:val="000F4B38"/>
    <w:rsid w:val="000F4C35"/>
    <w:rsid w:val="000F5146"/>
    <w:rsid w:val="000F5413"/>
    <w:rsid w:val="000F5765"/>
    <w:rsid w:val="000F5916"/>
    <w:rsid w:val="000F5B9D"/>
    <w:rsid w:val="000F5C14"/>
    <w:rsid w:val="000F5EEF"/>
    <w:rsid w:val="000F60F2"/>
    <w:rsid w:val="000F613A"/>
    <w:rsid w:val="000F61EB"/>
    <w:rsid w:val="000F64A4"/>
    <w:rsid w:val="000F6745"/>
    <w:rsid w:val="000F689C"/>
    <w:rsid w:val="000F6A9A"/>
    <w:rsid w:val="000F6C7E"/>
    <w:rsid w:val="000F6D6E"/>
    <w:rsid w:val="000F6F0B"/>
    <w:rsid w:val="000F700E"/>
    <w:rsid w:val="000F71E6"/>
    <w:rsid w:val="000F74D9"/>
    <w:rsid w:val="000F78F6"/>
    <w:rsid w:val="000F79AF"/>
    <w:rsid w:val="000F7C09"/>
    <w:rsid w:val="000F7CC9"/>
    <w:rsid w:val="000F7E49"/>
    <w:rsid w:val="000F7F22"/>
    <w:rsid w:val="00100221"/>
    <w:rsid w:val="00100551"/>
    <w:rsid w:val="001008E6"/>
    <w:rsid w:val="00100D1A"/>
    <w:rsid w:val="00100F7A"/>
    <w:rsid w:val="00101642"/>
    <w:rsid w:val="0010171D"/>
    <w:rsid w:val="0010177A"/>
    <w:rsid w:val="00101950"/>
    <w:rsid w:val="00101999"/>
    <w:rsid w:val="00101B99"/>
    <w:rsid w:val="00101CB8"/>
    <w:rsid w:val="00101F0A"/>
    <w:rsid w:val="00101F9E"/>
    <w:rsid w:val="001020AB"/>
    <w:rsid w:val="00102157"/>
    <w:rsid w:val="00102158"/>
    <w:rsid w:val="00102674"/>
    <w:rsid w:val="001030DC"/>
    <w:rsid w:val="0010328A"/>
    <w:rsid w:val="0010380D"/>
    <w:rsid w:val="00103A24"/>
    <w:rsid w:val="00103C77"/>
    <w:rsid w:val="00104067"/>
    <w:rsid w:val="0010476A"/>
    <w:rsid w:val="00104A43"/>
    <w:rsid w:val="00104BB3"/>
    <w:rsid w:val="00104C15"/>
    <w:rsid w:val="00104CA8"/>
    <w:rsid w:val="00104D28"/>
    <w:rsid w:val="00104E75"/>
    <w:rsid w:val="00104F01"/>
    <w:rsid w:val="001057C5"/>
    <w:rsid w:val="00105847"/>
    <w:rsid w:val="001058F9"/>
    <w:rsid w:val="00105A72"/>
    <w:rsid w:val="00105B50"/>
    <w:rsid w:val="00105FE5"/>
    <w:rsid w:val="00106010"/>
    <w:rsid w:val="001060EE"/>
    <w:rsid w:val="001061FC"/>
    <w:rsid w:val="0010628B"/>
    <w:rsid w:val="00106391"/>
    <w:rsid w:val="001064E3"/>
    <w:rsid w:val="00106510"/>
    <w:rsid w:val="001067C7"/>
    <w:rsid w:val="0010695E"/>
    <w:rsid w:val="001070BD"/>
    <w:rsid w:val="00107337"/>
    <w:rsid w:val="0010756E"/>
    <w:rsid w:val="00107C5F"/>
    <w:rsid w:val="00107E13"/>
    <w:rsid w:val="0011032C"/>
    <w:rsid w:val="001104D4"/>
    <w:rsid w:val="00110516"/>
    <w:rsid w:val="00110840"/>
    <w:rsid w:val="00110867"/>
    <w:rsid w:val="00110ABE"/>
    <w:rsid w:val="00110B08"/>
    <w:rsid w:val="00110B2D"/>
    <w:rsid w:val="00110EBC"/>
    <w:rsid w:val="001115B0"/>
    <w:rsid w:val="00111B30"/>
    <w:rsid w:val="00111B37"/>
    <w:rsid w:val="00111BE4"/>
    <w:rsid w:val="00111C58"/>
    <w:rsid w:val="00111EE7"/>
    <w:rsid w:val="00111F2B"/>
    <w:rsid w:val="00111FB2"/>
    <w:rsid w:val="001120EC"/>
    <w:rsid w:val="001124DB"/>
    <w:rsid w:val="00112680"/>
    <w:rsid w:val="00112CD5"/>
    <w:rsid w:val="00112D23"/>
    <w:rsid w:val="00112E46"/>
    <w:rsid w:val="00112E64"/>
    <w:rsid w:val="0011304F"/>
    <w:rsid w:val="00113130"/>
    <w:rsid w:val="00113252"/>
    <w:rsid w:val="001132BD"/>
    <w:rsid w:val="00113687"/>
    <w:rsid w:val="0011375C"/>
    <w:rsid w:val="001137B0"/>
    <w:rsid w:val="00113AB1"/>
    <w:rsid w:val="00113B37"/>
    <w:rsid w:val="00113D1E"/>
    <w:rsid w:val="00113FBB"/>
    <w:rsid w:val="001142B0"/>
    <w:rsid w:val="00114394"/>
    <w:rsid w:val="001143BD"/>
    <w:rsid w:val="001144B5"/>
    <w:rsid w:val="0011467B"/>
    <w:rsid w:val="001149A1"/>
    <w:rsid w:val="00114A15"/>
    <w:rsid w:val="00114F7E"/>
    <w:rsid w:val="00114FAF"/>
    <w:rsid w:val="00115130"/>
    <w:rsid w:val="0011594D"/>
    <w:rsid w:val="00115A94"/>
    <w:rsid w:val="00115AA7"/>
    <w:rsid w:val="00115D95"/>
    <w:rsid w:val="00115FD8"/>
    <w:rsid w:val="001162DC"/>
    <w:rsid w:val="00116424"/>
    <w:rsid w:val="001165AE"/>
    <w:rsid w:val="00116750"/>
    <w:rsid w:val="001168E3"/>
    <w:rsid w:val="00116A38"/>
    <w:rsid w:val="00116AC0"/>
    <w:rsid w:val="00116AF1"/>
    <w:rsid w:val="00116C3C"/>
    <w:rsid w:val="00116DB2"/>
    <w:rsid w:val="00116F22"/>
    <w:rsid w:val="00117B2F"/>
    <w:rsid w:val="00117B56"/>
    <w:rsid w:val="00117BCA"/>
    <w:rsid w:val="00117D1C"/>
    <w:rsid w:val="001200A3"/>
    <w:rsid w:val="00120134"/>
    <w:rsid w:val="00120146"/>
    <w:rsid w:val="001201F1"/>
    <w:rsid w:val="00120231"/>
    <w:rsid w:val="00120418"/>
    <w:rsid w:val="0012074B"/>
    <w:rsid w:val="00120791"/>
    <w:rsid w:val="00120E23"/>
    <w:rsid w:val="00120FA0"/>
    <w:rsid w:val="00121062"/>
    <w:rsid w:val="00121103"/>
    <w:rsid w:val="00121242"/>
    <w:rsid w:val="00121318"/>
    <w:rsid w:val="0012158E"/>
    <w:rsid w:val="001216E3"/>
    <w:rsid w:val="001216FC"/>
    <w:rsid w:val="001219BF"/>
    <w:rsid w:val="00121D15"/>
    <w:rsid w:val="00121FF3"/>
    <w:rsid w:val="00122128"/>
    <w:rsid w:val="00122231"/>
    <w:rsid w:val="00122D07"/>
    <w:rsid w:val="00122D22"/>
    <w:rsid w:val="00122E91"/>
    <w:rsid w:val="001233D4"/>
    <w:rsid w:val="00123408"/>
    <w:rsid w:val="00123626"/>
    <w:rsid w:val="001238E8"/>
    <w:rsid w:val="00123A52"/>
    <w:rsid w:val="00123AFD"/>
    <w:rsid w:val="00123B9D"/>
    <w:rsid w:val="00123F85"/>
    <w:rsid w:val="00124296"/>
    <w:rsid w:val="00124506"/>
    <w:rsid w:val="0012490D"/>
    <w:rsid w:val="00124AF5"/>
    <w:rsid w:val="00124B94"/>
    <w:rsid w:val="00124C3C"/>
    <w:rsid w:val="00124DF0"/>
    <w:rsid w:val="00125101"/>
    <w:rsid w:val="00125C35"/>
    <w:rsid w:val="00125F37"/>
    <w:rsid w:val="00125FA7"/>
    <w:rsid w:val="0012618D"/>
    <w:rsid w:val="00126502"/>
    <w:rsid w:val="001265A2"/>
    <w:rsid w:val="00126734"/>
    <w:rsid w:val="00126A56"/>
    <w:rsid w:val="00126D55"/>
    <w:rsid w:val="00126E61"/>
    <w:rsid w:val="001274E8"/>
    <w:rsid w:val="00127556"/>
    <w:rsid w:val="00127700"/>
    <w:rsid w:val="001277AD"/>
    <w:rsid w:val="00127803"/>
    <w:rsid w:val="0012787C"/>
    <w:rsid w:val="00127B02"/>
    <w:rsid w:val="0013029A"/>
    <w:rsid w:val="001303C3"/>
    <w:rsid w:val="0013044C"/>
    <w:rsid w:val="001304CF"/>
    <w:rsid w:val="00130505"/>
    <w:rsid w:val="00130629"/>
    <w:rsid w:val="00130641"/>
    <w:rsid w:val="001306D8"/>
    <w:rsid w:val="00130855"/>
    <w:rsid w:val="00130C87"/>
    <w:rsid w:val="00131027"/>
    <w:rsid w:val="001314EA"/>
    <w:rsid w:val="00131840"/>
    <w:rsid w:val="00131899"/>
    <w:rsid w:val="00131916"/>
    <w:rsid w:val="00131A6A"/>
    <w:rsid w:val="00131D92"/>
    <w:rsid w:val="00132172"/>
    <w:rsid w:val="001321B1"/>
    <w:rsid w:val="00132256"/>
    <w:rsid w:val="00132322"/>
    <w:rsid w:val="0013283A"/>
    <w:rsid w:val="00132A62"/>
    <w:rsid w:val="00132BFE"/>
    <w:rsid w:val="00132DB1"/>
    <w:rsid w:val="00132E37"/>
    <w:rsid w:val="0013316A"/>
    <w:rsid w:val="00133765"/>
    <w:rsid w:val="001339E3"/>
    <w:rsid w:val="00133B12"/>
    <w:rsid w:val="00133D13"/>
    <w:rsid w:val="00133E6A"/>
    <w:rsid w:val="00133FCC"/>
    <w:rsid w:val="001344CA"/>
    <w:rsid w:val="00134919"/>
    <w:rsid w:val="00134A61"/>
    <w:rsid w:val="00134C5B"/>
    <w:rsid w:val="00134EF8"/>
    <w:rsid w:val="0013518B"/>
    <w:rsid w:val="001352E3"/>
    <w:rsid w:val="001356AC"/>
    <w:rsid w:val="00135969"/>
    <w:rsid w:val="00135CA6"/>
    <w:rsid w:val="00135D3D"/>
    <w:rsid w:val="00135D7E"/>
    <w:rsid w:val="00135F47"/>
    <w:rsid w:val="00135FDA"/>
    <w:rsid w:val="00136239"/>
    <w:rsid w:val="001369AE"/>
    <w:rsid w:val="001369BC"/>
    <w:rsid w:val="00136A03"/>
    <w:rsid w:val="00136ADB"/>
    <w:rsid w:val="00136EE2"/>
    <w:rsid w:val="0013717A"/>
    <w:rsid w:val="001373DE"/>
    <w:rsid w:val="0013754B"/>
    <w:rsid w:val="001376FA"/>
    <w:rsid w:val="00137805"/>
    <w:rsid w:val="00137DE2"/>
    <w:rsid w:val="001404FA"/>
    <w:rsid w:val="00140671"/>
    <w:rsid w:val="00140BEC"/>
    <w:rsid w:val="00140FB2"/>
    <w:rsid w:val="001416F9"/>
    <w:rsid w:val="00141A9E"/>
    <w:rsid w:val="00141BAD"/>
    <w:rsid w:val="00141C4E"/>
    <w:rsid w:val="00142049"/>
    <w:rsid w:val="00142178"/>
    <w:rsid w:val="00142368"/>
    <w:rsid w:val="001427C2"/>
    <w:rsid w:val="00142868"/>
    <w:rsid w:val="00142B68"/>
    <w:rsid w:val="00142C3B"/>
    <w:rsid w:val="00142D73"/>
    <w:rsid w:val="00142E83"/>
    <w:rsid w:val="001431FD"/>
    <w:rsid w:val="00143382"/>
    <w:rsid w:val="00143A34"/>
    <w:rsid w:val="00143AEF"/>
    <w:rsid w:val="00143FBD"/>
    <w:rsid w:val="001440CE"/>
    <w:rsid w:val="001440D0"/>
    <w:rsid w:val="00144162"/>
    <w:rsid w:val="00144DA9"/>
    <w:rsid w:val="00144F55"/>
    <w:rsid w:val="001455FE"/>
    <w:rsid w:val="00145775"/>
    <w:rsid w:val="00145868"/>
    <w:rsid w:val="00145ADA"/>
    <w:rsid w:val="00145B65"/>
    <w:rsid w:val="00146478"/>
    <w:rsid w:val="001464A2"/>
    <w:rsid w:val="001465CA"/>
    <w:rsid w:val="001466B2"/>
    <w:rsid w:val="00146D4D"/>
    <w:rsid w:val="00146FC5"/>
    <w:rsid w:val="001470AB"/>
    <w:rsid w:val="00147164"/>
    <w:rsid w:val="00147379"/>
    <w:rsid w:val="0014763B"/>
    <w:rsid w:val="001476E5"/>
    <w:rsid w:val="00147757"/>
    <w:rsid w:val="00147B59"/>
    <w:rsid w:val="00147D26"/>
    <w:rsid w:val="00147D62"/>
    <w:rsid w:val="00147EBE"/>
    <w:rsid w:val="001500C1"/>
    <w:rsid w:val="00150254"/>
    <w:rsid w:val="0015030E"/>
    <w:rsid w:val="00150367"/>
    <w:rsid w:val="00150627"/>
    <w:rsid w:val="001507AA"/>
    <w:rsid w:val="00150905"/>
    <w:rsid w:val="00150925"/>
    <w:rsid w:val="00150BD8"/>
    <w:rsid w:val="00150BE3"/>
    <w:rsid w:val="00150CBB"/>
    <w:rsid w:val="00150D5E"/>
    <w:rsid w:val="0015107A"/>
    <w:rsid w:val="00151217"/>
    <w:rsid w:val="0015131F"/>
    <w:rsid w:val="001516C8"/>
    <w:rsid w:val="001516E4"/>
    <w:rsid w:val="00151B4F"/>
    <w:rsid w:val="00151EF6"/>
    <w:rsid w:val="00151F3C"/>
    <w:rsid w:val="00151FB6"/>
    <w:rsid w:val="001524A5"/>
    <w:rsid w:val="001524FF"/>
    <w:rsid w:val="0015265A"/>
    <w:rsid w:val="0015278E"/>
    <w:rsid w:val="001527F7"/>
    <w:rsid w:val="00152861"/>
    <w:rsid w:val="001528AE"/>
    <w:rsid w:val="001528E2"/>
    <w:rsid w:val="00152B00"/>
    <w:rsid w:val="00152B8E"/>
    <w:rsid w:val="00152C28"/>
    <w:rsid w:val="00152D2E"/>
    <w:rsid w:val="00152D59"/>
    <w:rsid w:val="00152F55"/>
    <w:rsid w:val="0015303B"/>
    <w:rsid w:val="00153065"/>
    <w:rsid w:val="00153124"/>
    <w:rsid w:val="00153246"/>
    <w:rsid w:val="001532BD"/>
    <w:rsid w:val="001533EC"/>
    <w:rsid w:val="0015359A"/>
    <w:rsid w:val="001536DC"/>
    <w:rsid w:val="00153809"/>
    <w:rsid w:val="001538A3"/>
    <w:rsid w:val="00153A21"/>
    <w:rsid w:val="00153A8E"/>
    <w:rsid w:val="00153ACE"/>
    <w:rsid w:val="00153E33"/>
    <w:rsid w:val="00153E96"/>
    <w:rsid w:val="00153F46"/>
    <w:rsid w:val="00154070"/>
    <w:rsid w:val="0015412E"/>
    <w:rsid w:val="00154168"/>
    <w:rsid w:val="001541D7"/>
    <w:rsid w:val="00154266"/>
    <w:rsid w:val="0015454D"/>
    <w:rsid w:val="00154577"/>
    <w:rsid w:val="001545A5"/>
    <w:rsid w:val="00154CB0"/>
    <w:rsid w:val="00154DAC"/>
    <w:rsid w:val="00154DB6"/>
    <w:rsid w:val="00154EED"/>
    <w:rsid w:val="0015544F"/>
    <w:rsid w:val="001558F7"/>
    <w:rsid w:val="00155BB8"/>
    <w:rsid w:val="00155BD7"/>
    <w:rsid w:val="00155D32"/>
    <w:rsid w:val="00155DFE"/>
    <w:rsid w:val="00155E70"/>
    <w:rsid w:val="00155EFF"/>
    <w:rsid w:val="0015610D"/>
    <w:rsid w:val="001562AE"/>
    <w:rsid w:val="001565E6"/>
    <w:rsid w:val="00156901"/>
    <w:rsid w:val="00156D39"/>
    <w:rsid w:val="00156D75"/>
    <w:rsid w:val="00156F9D"/>
    <w:rsid w:val="0015730E"/>
    <w:rsid w:val="001574AE"/>
    <w:rsid w:val="001575B2"/>
    <w:rsid w:val="00157635"/>
    <w:rsid w:val="0015778A"/>
    <w:rsid w:val="00157C70"/>
    <w:rsid w:val="00157DCD"/>
    <w:rsid w:val="00160674"/>
    <w:rsid w:val="00160789"/>
    <w:rsid w:val="0016080C"/>
    <w:rsid w:val="00160847"/>
    <w:rsid w:val="00160D83"/>
    <w:rsid w:val="0016128E"/>
    <w:rsid w:val="00161492"/>
    <w:rsid w:val="0016166F"/>
    <w:rsid w:val="001616E7"/>
    <w:rsid w:val="0016185A"/>
    <w:rsid w:val="00161891"/>
    <w:rsid w:val="0016192E"/>
    <w:rsid w:val="00161B61"/>
    <w:rsid w:val="00161CC9"/>
    <w:rsid w:val="00161E71"/>
    <w:rsid w:val="00161E87"/>
    <w:rsid w:val="00161F46"/>
    <w:rsid w:val="00161F47"/>
    <w:rsid w:val="0016217C"/>
    <w:rsid w:val="001621DF"/>
    <w:rsid w:val="00162244"/>
    <w:rsid w:val="001626B3"/>
    <w:rsid w:val="001629EE"/>
    <w:rsid w:val="00162A85"/>
    <w:rsid w:val="00162FA0"/>
    <w:rsid w:val="00163044"/>
    <w:rsid w:val="00163204"/>
    <w:rsid w:val="0016371B"/>
    <w:rsid w:val="0016386D"/>
    <w:rsid w:val="001639C5"/>
    <w:rsid w:val="00163A1C"/>
    <w:rsid w:val="00163ACC"/>
    <w:rsid w:val="00163BB1"/>
    <w:rsid w:val="00163CB9"/>
    <w:rsid w:val="00163EFF"/>
    <w:rsid w:val="0016431B"/>
    <w:rsid w:val="00164416"/>
    <w:rsid w:val="0016496F"/>
    <w:rsid w:val="00164A6D"/>
    <w:rsid w:val="00165102"/>
    <w:rsid w:val="0016563F"/>
    <w:rsid w:val="00165BFF"/>
    <w:rsid w:val="00165C28"/>
    <w:rsid w:val="00165C8E"/>
    <w:rsid w:val="00166071"/>
    <w:rsid w:val="001662E0"/>
    <w:rsid w:val="0016645C"/>
    <w:rsid w:val="001664F3"/>
    <w:rsid w:val="00166554"/>
    <w:rsid w:val="0016666F"/>
    <w:rsid w:val="00166B3F"/>
    <w:rsid w:val="00166BB9"/>
    <w:rsid w:val="00166F54"/>
    <w:rsid w:val="00166FBC"/>
    <w:rsid w:val="00167192"/>
    <w:rsid w:val="001671D6"/>
    <w:rsid w:val="0016743D"/>
    <w:rsid w:val="0016747E"/>
    <w:rsid w:val="001675A4"/>
    <w:rsid w:val="001676A4"/>
    <w:rsid w:val="00167761"/>
    <w:rsid w:val="00167825"/>
    <w:rsid w:val="00167DC9"/>
    <w:rsid w:val="00167EDD"/>
    <w:rsid w:val="0017008A"/>
    <w:rsid w:val="001702D5"/>
    <w:rsid w:val="001703B0"/>
    <w:rsid w:val="001704B9"/>
    <w:rsid w:val="00170504"/>
    <w:rsid w:val="00170748"/>
    <w:rsid w:val="00170938"/>
    <w:rsid w:val="00170B48"/>
    <w:rsid w:val="00170C73"/>
    <w:rsid w:val="00170FEB"/>
    <w:rsid w:val="001711E7"/>
    <w:rsid w:val="001712A5"/>
    <w:rsid w:val="001712E4"/>
    <w:rsid w:val="001712E5"/>
    <w:rsid w:val="001716F9"/>
    <w:rsid w:val="001717B0"/>
    <w:rsid w:val="00171B9E"/>
    <w:rsid w:val="00171EDB"/>
    <w:rsid w:val="00171F0A"/>
    <w:rsid w:val="00172008"/>
    <w:rsid w:val="00172021"/>
    <w:rsid w:val="0017202F"/>
    <w:rsid w:val="001720E3"/>
    <w:rsid w:val="001721D5"/>
    <w:rsid w:val="0017242F"/>
    <w:rsid w:val="00172920"/>
    <w:rsid w:val="00172A32"/>
    <w:rsid w:val="00172A35"/>
    <w:rsid w:val="00172AC3"/>
    <w:rsid w:val="00172AEC"/>
    <w:rsid w:val="001733E9"/>
    <w:rsid w:val="00173762"/>
    <w:rsid w:val="00173943"/>
    <w:rsid w:val="00173B98"/>
    <w:rsid w:val="00173C07"/>
    <w:rsid w:val="001744D2"/>
    <w:rsid w:val="00174678"/>
    <w:rsid w:val="001746A6"/>
    <w:rsid w:val="001746EC"/>
    <w:rsid w:val="00174A92"/>
    <w:rsid w:val="00174DEF"/>
    <w:rsid w:val="00174EA1"/>
    <w:rsid w:val="00175034"/>
    <w:rsid w:val="0017595B"/>
    <w:rsid w:val="001759C1"/>
    <w:rsid w:val="00175A05"/>
    <w:rsid w:val="00175B58"/>
    <w:rsid w:val="00175C27"/>
    <w:rsid w:val="00175CF5"/>
    <w:rsid w:val="00175D58"/>
    <w:rsid w:val="00175E1C"/>
    <w:rsid w:val="0017605B"/>
    <w:rsid w:val="001760C5"/>
    <w:rsid w:val="001761CB"/>
    <w:rsid w:val="00176212"/>
    <w:rsid w:val="001767F5"/>
    <w:rsid w:val="00176A41"/>
    <w:rsid w:val="00176B73"/>
    <w:rsid w:val="00176C93"/>
    <w:rsid w:val="00176E06"/>
    <w:rsid w:val="00177037"/>
    <w:rsid w:val="001770F5"/>
    <w:rsid w:val="0017712C"/>
    <w:rsid w:val="00177418"/>
    <w:rsid w:val="00177694"/>
    <w:rsid w:val="00177785"/>
    <w:rsid w:val="00177E57"/>
    <w:rsid w:val="001800F2"/>
    <w:rsid w:val="001800FC"/>
    <w:rsid w:val="00180282"/>
    <w:rsid w:val="001805E9"/>
    <w:rsid w:val="00180886"/>
    <w:rsid w:val="00180894"/>
    <w:rsid w:val="00180BC7"/>
    <w:rsid w:val="00180D80"/>
    <w:rsid w:val="00180E7B"/>
    <w:rsid w:val="00180E91"/>
    <w:rsid w:val="00180EA4"/>
    <w:rsid w:val="00180EEC"/>
    <w:rsid w:val="001812A1"/>
    <w:rsid w:val="00181497"/>
    <w:rsid w:val="001816A6"/>
    <w:rsid w:val="0018172C"/>
    <w:rsid w:val="00181856"/>
    <w:rsid w:val="00181922"/>
    <w:rsid w:val="00181F14"/>
    <w:rsid w:val="00181F85"/>
    <w:rsid w:val="00181FC6"/>
    <w:rsid w:val="0018231E"/>
    <w:rsid w:val="001823CF"/>
    <w:rsid w:val="001824D9"/>
    <w:rsid w:val="00182727"/>
    <w:rsid w:val="0018275F"/>
    <w:rsid w:val="0018278D"/>
    <w:rsid w:val="00182915"/>
    <w:rsid w:val="00182E3A"/>
    <w:rsid w:val="0018312D"/>
    <w:rsid w:val="001831B3"/>
    <w:rsid w:val="001831C4"/>
    <w:rsid w:val="00183583"/>
    <w:rsid w:val="00183994"/>
    <w:rsid w:val="001839CA"/>
    <w:rsid w:val="001843BF"/>
    <w:rsid w:val="001843E8"/>
    <w:rsid w:val="00184438"/>
    <w:rsid w:val="0018466D"/>
    <w:rsid w:val="00184830"/>
    <w:rsid w:val="00184982"/>
    <w:rsid w:val="00184F73"/>
    <w:rsid w:val="001850E4"/>
    <w:rsid w:val="001852C0"/>
    <w:rsid w:val="001852C3"/>
    <w:rsid w:val="001853DC"/>
    <w:rsid w:val="00185525"/>
    <w:rsid w:val="00185577"/>
    <w:rsid w:val="001855CA"/>
    <w:rsid w:val="001855DE"/>
    <w:rsid w:val="0018561E"/>
    <w:rsid w:val="00185704"/>
    <w:rsid w:val="00185837"/>
    <w:rsid w:val="0018592D"/>
    <w:rsid w:val="00185AA6"/>
    <w:rsid w:val="00185C83"/>
    <w:rsid w:val="00185ED7"/>
    <w:rsid w:val="00185F6B"/>
    <w:rsid w:val="001860A4"/>
    <w:rsid w:val="001862FE"/>
    <w:rsid w:val="00186353"/>
    <w:rsid w:val="00186537"/>
    <w:rsid w:val="00186665"/>
    <w:rsid w:val="001866A8"/>
    <w:rsid w:val="0018696B"/>
    <w:rsid w:val="00186A44"/>
    <w:rsid w:val="00186ACF"/>
    <w:rsid w:val="00186C6A"/>
    <w:rsid w:val="00186CD3"/>
    <w:rsid w:val="00186D45"/>
    <w:rsid w:val="00187073"/>
    <w:rsid w:val="001873C5"/>
    <w:rsid w:val="001875DD"/>
    <w:rsid w:val="00187A35"/>
    <w:rsid w:val="00187CE1"/>
    <w:rsid w:val="00187E69"/>
    <w:rsid w:val="00187F19"/>
    <w:rsid w:val="00190115"/>
    <w:rsid w:val="00190303"/>
    <w:rsid w:val="001907B2"/>
    <w:rsid w:val="00190CD0"/>
    <w:rsid w:val="00190F20"/>
    <w:rsid w:val="00190F49"/>
    <w:rsid w:val="00190FAE"/>
    <w:rsid w:val="0019100F"/>
    <w:rsid w:val="00191069"/>
    <w:rsid w:val="0019112E"/>
    <w:rsid w:val="001911F6"/>
    <w:rsid w:val="00191481"/>
    <w:rsid w:val="00191880"/>
    <w:rsid w:val="00191AB9"/>
    <w:rsid w:val="001921B4"/>
    <w:rsid w:val="001921E2"/>
    <w:rsid w:val="0019234E"/>
    <w:rsid w:val="001929F1"/>
    <w:rsid w:val="00192C2E"/>
    <w:rsid w:val="0019324F"/>
    <w:rsid w:val="00193314"/>
    <w:rsid w:val="00193550"/>
    <w:rsid w:val="001935B5"/>
    <w:rsid w:val="00193881"/>
    <w:rsid w:val="00193971"/>
    <w:rsid w:val="00193B2E"/>
    <w:rsid w:val="00193D87"/>
    <w:rsid w:val="00193EBF"/>
    <w:rsid w:val="00194058"/>
    <w:rsid w:val="0019422F"/>
    <w:rsid w:val="00194382"/>
    <w:rsid w:val="00194598"/>
    <w:rsid w:val="00194614"/>
    <w:rsid w:val="00194B67"/>
    <w:rsid w:val="00194BA0"/>
    <w:rsid w:val="00194BA3"/>
    <w:rsid w:val="00194E44"/>
    <w:rsid w:val="001951D5"/>
    <w:rsid w:val="00195397"/>
    <w:rsid w:val="001954C9"/>
    <w:rsid w:val="00195628"/>
    <w:rsid w:val="0019586A"/>
    <w:rsid w:val="00195C1F"/>
    <w:rsid w:val="00195C64"/>
    <w:rsid w:val="00195EE3"/>
    <w:rsid w:val="0019665A"/>
    <w:rsid w:val="0019679B"/>
    <w:rsid w:val="00196D7F"/>
    <w:rsid w:val="0019706D"/>
    <w:rsid w:val="00197212"/>
    <w:rsid w:val="001972AE"/>
    <w:rsid w:val="001979A4"/>
    <w:rsid w:val="00197A43"/>
    <w:rsid w:val="00197BE5"/>
    <w:rsid w:val="00197F5E"/>
    <w:rsid w:val="001A00ED"/>
    <w:rsid w:val="001A042A"/>
    <w:rsid w:val="001A0461"/>
    <w:rsid w:val="001A0729"/>
    <w:rsid w:val="001A08EB"/>
    <w:rsid w:val="001A0BD8"/>
    <w:rsid w:val="001A0D85"/>
    <w:rsid w:val="001A0DC6"/>
    <w:rsid w:val="001A0F3F"/>
    <w:rsid w:val="001A1007"/>
    <w:rsid w:val="001A10A3"/>
    <w:rsid w:val="001A10D8"/>
    <w:rsid w:val="001A1111"/>
    <w:rsid w:val="001A1396"/>
    <w:rsid w:val="001A1448"/>
    <w:rsid w:val="001A17E3"/>
    <w:rsid w:val="001A18C7"/>
    <w:rsid w:val="001A1CCE"/>
    <w:rsid w:val="001A1D0A"/>
    <w:rsid w:val="001A1D3C"/>
    <w:rsid w:val="001A1FBD"/>
    <w:rsid w:val="001A2151"/>
    <w:rsid w:val="001A2368"/>
    <w:rsid w:val="001A2490"/>
    <w:rsid w:val="001A2502"/>
    <w:rsid w:val="001A272A"/>
    <w:rsid w:val="001A2790"/>
    <w:rsid w:val="001A27A9"/>
    <w:rsid w:val="001A29AD"/>
    <w:rsid w:val="001A2EA5"/>
    <w:rsid w:val="001A2EE1"/>
    <w:rsid w:val="001A2F14"/>
    <w:rsid w:val="001A2F3E"/>
    <w:rsid w:val="001A31DF"/>
    <w:rsid w:val="001A3881"/>
    <w:rsid w:val="001A3B5A"/>
    <w:rsid w:val="001A3BCE"/>
    <w:rsid w:val="001A3C41"/>
    <w:rsid w:val="001A3EDE"/>
    <w:rsid w:val="001A414B"/>
    <w:rsid w:val="001A444E"/>
    <w:rsid w:val="001A449B"/>
    <w:rsid w:val="001A4693"/>
    <w:rsid w:val="001A4775"/>
    <w:rsid w:val="001A485F"/>
    <w:rsid w:val="001A4955"/>
    <w:rsid w:val="001A4B74"/>
    <w:rsid w:val="001A4C07"/>
    <w:rsid w:val="001A4C41"/>
    <w:rsid w:val="001A4DAB"/>
    <w:rsid w:val="001A4E18"/>
    <w:rsid w:val="001A4E6E"/>
    <w:rsid w:val="001A4F43"/>
    <w:rsid w:val="001A5102"/>
    <w:rsid w:val="001A512B"/>
    <w:rsid w:val="001A5294"/>
    <w:rsid w:val="001A5416"/>
    <w:rsid w:val="001A5477"/>
    <w:rsid w:val="001A54BE"/>
    <w:rsid w:val="001A54F9"/>
    <w:rsid w:val="001A5736"/>
    <w:rsid w:val="001A5779"/>
    <w:rsid w:val="001A57A5"/>
    <w:rsid w:val="001A5C83"/>
    <w:rsid w:val="001A5DA7"/>
    <w:rsid w:val="001A5F08"/>
    <w:rsid w:val="001A600A"/>
    <w:rsid w:val="001A6070"/>
    <w:rsid w:val="001A6803"/>
    <w:rsid w:val="001A689B"/>
    <w:rsid w:val="001A693F"/>
    <w:rsid w:val="001A6AEB"/>
    <w:rsid w:val="001A6B7A"/>
    <w:rsid w:val="001A6CA5"/>
    <w:rsid w:val="001A6FEC"/>
    <w:rsid w:val="001A708B"/>
    <w:rsid w:val="001A72F9"/>
    <w:rsid w:val="001A7557"/>
    <w:rsid w:val="001A7685"/>
    <w:rsid w:val="001A76F9"/>
    <w:rsid w:val="001A795E"/>
    <w:rsid w:val="001A7C8A"/>
    <w:rsid w:val="001B0475"/>
    <w:rsid w:val="001B05AC"/>
    <w:rsid w:val="001B068D"/>
    <w:rsid w:val="001B06BA"/>
    <w:rsid w:val="001B072F"/>
    <w:rsid w:val="001B0A79"/>
    <w:rsid w:val="001B0D78"/>
    <w:rsid w:val="001B0FDA"/>
    <w:rsid w:val="001B108A"/>
    <w:rsid w:val="001B1508"/>
    <w:rsid w:val="001B1622"/>
    <w:rsid w:val="001B170A"/>
    <w:rsid w:val="001B181C"/>
    <w:rsid w:val="001B1FF1"/>
    <w:rsid w:val="001B2306"/>
    <w:rsid w:val="001B23BB"/>
    <w:rsid w:val="001B2514"/>
    <w:rsid w:val="001B2598"/>
    <w:rsid w:val="001B25FD"/>
    <w:rsid w:val="001B27EF"/>
    <w:rsid w:val="001B2952"/>
    <w:rsid w:val="001B2C60"/>
    <w:rsid w:val="001B2CD3"/>
    <w:rsid w:val="001B308E"/>
    <w:rsid w:val="001B3392"/>
    <w:rsid w:val="001B3688"/>
    <w:rsid w:val="001B3FAB"/>
    <w:rsid w:val="001B4098"/>
    <w:rsid w:val="001B409F"/>
    <w:rsid w:val="001B431C"/>
    <w:rsid w:val="001B435E"/>
    <w:rsid w:val="001B45BF"/>
    <w:rsid w:val="001B45D5"/>
    <w:rsid w:val="001B4669"/>
    <w:rsid w:val="001B4765"/>
    <w:rsid w:val="001B4A64"/>
    <w:rsid w:val="001B4E19"/>
    <w:rsid w:val="001B5049"/>
    <w:rsid w:val="001B51AA"/>
    <w:rsid w:val="001B5251"/>
    <w:rsid w:val="001B55FB"/>
    <w:rsid w:val="001B5CB8"/>
    <w:rsid w:val="001B5DBD"/>
    <w:rsid w:val="001B6011"/>
    <w:rsid w:val="001B621A"/>
    <w:rsid w:val="001B63D6"/>
    <w:rsid w:val="001B6472"/>
    <w:rsid w:val="001B6484"/>
    <w:rsid w:val="001B65AF"/>
    <w:rsid w:val="001B66AE"/>
    <w:rsid w:val="001B672D"/>
    <w:rsid w:val="001B67CA"/>
    <w:rsid w:val="001B6902"/>
    <w:rsid w:val="001B6B63"/>
    <w:rsid w:val="001B6CB9"/>
    <w:rsid w:val="001B6EC7"/>
    <w:rsid w:val="001B6F63"/>
    <w:rsid w:val="001B6FAB"/>
    <w:rsid w:val="001B70A2"/>
    <w:rsid w:val="001B712B"/>
    <w:rsid w:val="001B715A"/>
    <w:rsid w:val="001B71F4"/>
    <w:rsid w:val="001B7211"/>
    <w:rsid w:val="001B7814"/>
    <w:rsid w:val="001B7C67"/>
    <w:rsid w:val="001B7DAB"/>
    <w:rsid w:val="001C01DE"/>
    <w:rsid w:val="001C0359"/>
    <w:rsid w:val="001C03AA"/>
    <w:rsid w:val="001C045E"/>
    <w:rsid w:val="001C04FD"/>
    <w:rsid w:val="001C0DBC"/>
    <w:rsid w:val="001C0E05"/>
    <w:rsid w:val="001C0E2B"/>
    <w:rsid w:val="001C1223"/>
    <w:rsid w:val="001C124A"/>
    <w:rsid w:val="001C13EB"/>
    <w:rsid w:val="001C1567"/>
    <w:rsid w:val="001C17B8"/>
    <w:rsid w:val="001C1C09"/>
    <w:rsid w:val="001C1CCE"/>
    <w:rsid w:val="001C1D39"/>
    <w:rsid w:val="001C1DCB"/>
    <w:rsid w:val="001C1F49"/>
    <w:rsid w:val="001C247F"/>
    <w:rsid w:val="001C24F7"/>
    <w:rsid w:val="001C2596"/>
    <w:rsid w:val="001C26E1"/>
    <w:rsid w:val="001C2811"/>
    <w:rsid w:val="001C2BCA"/>
    <w:rsid w:val="001C2DAC"/>
    <w:rsid w:val="001C3027"/>
    <w:rsid w:val="001C302E"/>
    <w:rsid w:val="001C3281"/>
    <w:rsid w:val="001C3328"/>
    <w:rsid w:val="001C345C"/>
    <w:rsid w:val="001C37D3"/>
    <w:rsid w:val="001C3846"/>
    <w:rsid w:val="001C3951"/>
    <w:rsid w:val="001C3986"/>
    <w:rsid w:val="001C3CE1"/>
    <w:rsid w:val="001C3D95"/>
    <w:rsid w:val="001C3DE5"/>
    <w:rsid w:val="001C3ED8"/>
    <w:rsid w:val="001C40EA"/>
    <w:rsid w:val="001C42B4"/>
    <w:rsid w:val="001C435C"/>
    <w:rsid w:val="001C478F"/>
    <w:rsid w:val="001C47E2"/>
    <w:rsid w:val="001C4947"/>
    <w:rsid w:val="001C4995"/>
    <w:rsid w:val="001C4CCA"/>
    <w:rsid w:val="001C4F0A"/>
    <w:rsid w:val="001C535F"/>
    <w:rsid w:val="001C540A"/>
    <w:rsid w:val="001C542C"/>
    <w:rsid w:val="001C5441"/>
    <w:rsid w:val="001C5482"/>
    <w:rsid w:val="001C58D3"/>
    <w:rsid w:val="001C5DBD"/>
    <w:rsid w:val="001C5E99"/>
    <w:rsid w:val="001C6083"/>
    <w:rsid w:val="001C6134"/>
    <w:rsid w:val="001C6150"/>
    <w:rsid w:val="001C61A9"/>
    <w:rsid w:val="001C6406"/>
    <w:rsid w:val="001C67BA"/>
    <w:rsid w:val="001C6914"/>
    <w:rsid w:val="001C696A"/>
    <w:rsid w:val="001C69F6"/>
    <w:rsid w:val="001C6B9F"/>
    <w:rsid w:val="001C6BF2"/>
    <w:rsid w:val="001C6D9E"/>
    <w:rsid w:val="001C6DF8"/>
    <w:rsid w:val="001C6F6F"/>
    <w:rsid w:val="001C72A9"/>
    <w:rsid w:val="001C7534"/>
    <w:rsid w:val="001C759C"/>
    <w:rsid w:val="001C77A3"/>
    <w:rsid w:val="001C7889"/>
    <w:rsid w:val="001C7A3E"/>
    <w:rsid w:val="001C7C97"/>
    <w:rsid w:val="001C7DCD"/>
    <w:rsid w:val="001C7DF5"/>
    <w:rsid w:val="001C7EA9"/>
    <w:rsid w:val="001C7FB7"/>
    <w:rsid w:val="001D08F8"/>
    <w:rsid w:val="001D0AAF"/>
    <w:rsid w:val="001D0CDA"/>
    <w:rsid w:val="001D0D04"/>
    <w:rsid w:val="001D0F58"/>
    <w:rsid w:val="001D0F5A"/>
    <w:rsid w:val="001D0F94"/>
    <w:rsid w:val="001D104E"/>
    <w:rsid w:val="001D10D1"/>
    <w:rsid w:val="001D1269"/>
    <w:rsid w:val="001D13A0"/>
    <w:rsid w:val="001D13EF"/>
    <w:rsid w:val="001D1FD3"/>
    <w:rsid w:val="001D2014"/>
    <w:rsid w:val="001D2878"/>
    <w:rsid w:val="001D2A52"/>
    <w:rsid w:val="001D2AC3"/>
    <w:rsid w:val="001D320B"/>
    <w:rsid w:val="001D32AB"/>
    <w:rsid w:val="001D33A4"/>
    <w:rsid w:val="001D3BD7"/>
    <w:rsid w:val="001D3D3A"/>
    <w:rsid w:val="001D3D73"/>
    <w:rsid w:val="001D3EA8"/>
    <w:rsid w:val="001D42B0"/>
    <w:rsid w:val="001D43C1"/>
    <w:rsid w:val="001D45B5"/>
    <w:rsid w:val="001D4621"/>
    <w:rsid w:val="001D46B7"/>
    <w:rsid w:val="001D479B"/>
    <w:rsid w:val="001D47C1"/>
    <w:rsid w:val="001D47F9"/>
    <w:rsid w:val="001D4882"/>
    <w:rsid w:val="001D4F4C"/>
    <w:rsid w:val="001D5365"/>
    <w:rsid w:val="001D5372"/>
    <w:rsid w:val="001D55F4"/>
    <w:rsid w:val="001D5A15"/>
    <w:rsid w:val="001D5B37"/>
    <w:rsid w:val="001D5D8C"/>
    <w:rsid w:val="001D5E4D"/>
    <w:rsid w:val="001D607C"/>
    <w:rsid w:val="001D6085"/>
    <w:rsid w:val="001D6171"/>
    <w:rsid w:val="001D634A"/>
    <w:rsid w:val="001D64DE"/>
    <w:rsid w:val="001D65A4"/>
    <w:rsid w:val="001D6888"/>
    <w:rsid w:val="001D6BF0"/>
    <w:rsid w:val="001D6E7F"/>
    <w:rsid w:val="001D6EEB"/>
    <w:rsid w:val="001D706C"/>
    <w:rsid w:val="001D7092"/>
    <w:rsid w:val="001D737F"/>
    <w:rsid w:val="001D7606"/>
    <w:rsid w:val="001D7D73"/>
    <w:rsid w:val="001D7DEC"/>
    <w:rsid w:val="001D7DF6"/>
    <w:rsid w:val="001D7FC7"/>
    <w:rsid w:val="001E022C"/>
    <w:rsid w:val="001E02BA"/>
    <w:rsid w:val="001E0435"/>
    <w:rsid w:val="001E0C27"/>
    <w:rsid w:val="001E1273"/>
    <w:rsid w:val="001E1306"/>
    <w:rsid w:val="001E13C1"/>
    <w:rsid w:val="001E17BA"/>
    <w:rsid w:val="001E17BE"/>
    <w:rsid w:val="001E1860"/>
    <w:rsid w:val="001E19CD"/>
    <w:rsid w:val="001E1BDF"/>
    <w:rsid w:val="001E255D"/>
    <w:rsid w:val="001E258C"/>
    <w:rsid w:val="001E25BB"/>
    <w:rsid w:val="001E2602"/>
    <w:rsid w:val="001E26B8"/>
    <w:rsid w:val="001E28B1"/>
    <w:rsid w:val="001E2990"/>
    <w:rsid w:val="001E2B69"/>
    <w:rsid w:val="001E2C78"/>
    <w:rsid w:val="001E31F9"/>
    <w:rsid w:val="001E3381"/>
    <w:rsid w:val="001E3393"/>
    <w:rsid w:val="001E3395"/>
    <w:rsid w:val="001E35D4"/>
    <w:rsid w:val="001E3768"/>
    <w:rsid w:val="001E3808"/>
    <w:rsid w:val="001E3B8E"/>
    <w:rsid w:val="001E3DAF"/>
    <w:rsid w:val="001E401F"/>
    <w:rsid w:val="001E40B2"/>
    <w:rsid w:val="001E40D7"/>
    <w:rsid w:val="001E4495"/>
    <w:rsid w:val="001E45E1"/>
    <w:rsid w:val="001E468A"/>
    <w:rsid w:val="001E4AB8"/>
    <w:rsid w:val="001E4B52"/>
    <w:rsid w:val="001E4BFE"/>
    <w:rsid w:val="001E4C48"/>
    <w:rsid w:val="001E4FFA"/>
    <w:rsid w:val="001E551E"/>
    <w:rsid w:val="001E57F6"/>
    <w:rsid w:val="001E5F8C"/>
    <w:rsid w:val="001E6041"/>
    <w:rsid w:val="001E67B6"/>
    <w:rsid w:val="001E6985"/>
    <w:rsid w:val="001E6E16"/>
    <w:rsid w:val="001E6E62"/>
    <w:rsid w:val="001E7299"/>
    <w:rsid w:val="001E72E2"/>
    <w:rsid w:val="001E752B"/>
    <w:rsid w:val="001E75D0"/>
    <w:rsid w:val="001E78F2"/>
    <w:rsid w:val="001E7943"/>
    <w:rsid w:val="001E798D"/>
    <w:rsid w:val="001E7D22"/>
    <w:rsid w:val="001F005F"/>
    <w:rsid w:val="001F00FD"/>
    <w:rsid w:val="001F019B"/>
    <w:rsid w:val="001F0771"/>
    <w:rsid w:val="001F07AE"/>
    <w:rsid w:val="001F0B76"/>
    <w:rsid w:val="001F0D66"/>
    <w:rsid w:val="001F0F07"/>
    <w:rsid w:val="001F1065"/>
    <w:rsid w:val="001F10C5"/>
    <w:rsid w:val="001F10ED"/>
    <w:rsid w:val="001F146E"/>
    <w:rsid w:val="001F1475"/>
    <w:rsid w:val="001F179A"/>
    <w:rsid w:val="001F17BC"/>
    <w:rsid w:val="001F19B8"/>
    <w:rsid w:val="001F1BD7"/>
    <w:rsid w:val="001F1DE2"/>
    <w:rsid w:val="001F1F28"/>
    <w:rsid w:val="001F2137"/>
    <w:rsid w:val="001F214A"/>
    <w:rsid w:val="001F21FC"/>
    <w:rsid w:val="001F2308"/>
    <w:rsid w:val="001F25BC"/>
    <w:rsid w:val="001F2639"/>
    <w:rsid w:val="001F29AF"/>
    <w:rsid w:val="001F3056"/>
    <w:rsid w:val="001F3145"/>
    <w:rsid w:val="001F32BC"/>
    <w:rsid w:val="001F3322"/>
    <w:rsid w:val="001F332D"/>
    <w:rsid w:val="001F350A"/>
    <w:rsid w:val="001F3599"/>
    <w:rsid w:val="001F35AB"/>
    <w:rsid w:val="001F36BF"/>
    <w:rsid w:val="001F38A2"/>
    <w:rsid w:val="001F3BF3"/>
    <w:rsid w:val="001F3E0C"/>
    <w:rsid w:val="001F3E27"/>
    <w:rsid w:val="001F3E6B"/>
    <w:rsid w:val="001F4379"/>
    <w:rsid w:val="001F43C5"/>
    <w:rsid w:val="001F44D7"/>
    <w:rsid w:val="001F4521"/>
    <w:rsid w:val="001F455A"/>
    <w:rsid w:val="001F46E0"/>
    <w:rsid w:val="001F473B"/>
    <w:rsid w:val="001F4C99"/>
    <w:rsid w:val="001F4CA0"/>
    <w:rsid w:val="001F4FB9"/>
    <w:rsid w:val="001F529C"/>
    <w:rsid w:val="001F5418"/>
    <w:rsid w:val="001F58F9"/>
    <w:rsid w:val="001F5C67"/>
    <w:rsid w:val="001F5C8B"/>
    <w:rsid w:val="001F6181"/>
    <w:rsid w:val="001F61C5"/>
    <w:rsid w:val="001F6553"/>
    <w:rsid w:val="001F6578"/>
    <w:rsid w:val="001F6734"/>
    <w:rsid w:val="001F67A8"/>
    <w:rsid w:val="001F6A27"/>
    <w:rsid w:val="001F6B41"/>
    <w:rsid w:val="001F6D9C"/>
    <w:rsid w:val="001F739B"/>
    <w:rsid w:val="001F767A"/>
    <w:rsid w:val="001F767B"/>
    <w:rsid w:val="001F7749"/>
    <w:rsid w:val="001F781B"/>
    <w:rsid w:val="001F788E"/>
    <w:rsid w:val="001F7F0F"/>
    <w:rsid w:val="00200669"/>
    <w:rsid w:val="002007DB"/>
    <w:rsid w:val="00200817"/>
    <w:rsid w:val="00200DA5"/>
    <w:rsid w:val="00201069"/>
    <w:rsid w:val="0020124C"/>
    <w:rsid w:val="002012F2"/>
    <w:rsid w:val="00201648"/>
    <w:rsid w:val="00201A0B"/>
    <w:rsid w:val="00201BD8"/>
    <w:rsid w:val="00201D8A"/>
    <w:rsid w:val="00201F31"/>
    <w:rsid w:val="0020204F"/>
    <w:rsid w:val="0020214D"/>
    <w:rsid w:val="002022E9"/>
    <w:rsid w:val="002024ED"/>
    <w:rsid w:val="002025F9"/>
    <w:rsid w:val="00202690"/>
    <w:rsid w:val="00202734"/>
    <w:rsid w:val="00202B4D"/>
    <w:rsid w:val="00202BF4"/>
    <w:rsid w:val="00202EA9"/>
    <w:rsid w:val="002031B6"/>
    <w:rsid w:val="002033CF"/>
    <w:rsid w:val="00203730"/>
    <w:rsid w:val="00203969"/>
    <w:rsid w:val="00203BB0"/>
    <w:rsid w:val="00203CD7"/>
    <w:rsid w:val="00203EBD"/>
    <w:rsid w:val="00203F22"/>
    <w:rsid w:val="00204220"/>
    <w:rsid w:val="0020442C"/>
    <w:rsid w:val="002044F7"/>
    <w:rsid w:val="00204630"/>
    <w:rsid w:val="00204802"/>
    <w:rsid w:val="00204A4E"/>
    <w:rsid w:val="00204AD6"/>
    <w:rsid w:val="00204E34"/>
    <w:rsid w:val="0020541B"/>
    <w:rsid w:val="002057B4"/>
    <w:rsid w:val="00205858"/>
    <w:rsid w:val="00205C45"/>
    <w:rsid w:val="00205C85"/>
    <w:rsid w:val="00206234"/>
    <w:rsid w:val="00206576"/>
    <w:rsid w:val="00206963"/>
    <w:rsid w:val="00206F42"/>
    <w:rsid w:val="0020709A"/>
    <w:rsid w:val="002072A7"/>
    <w:rsid w:val="00207321"/>
    <w:rsid w:val="0020733E"/>
    <w:rsid w:val="002073DC"/>
    <w:rsid w:val="00207581"/>
    <w:rsid w:val="0020784B"/>
    <w:rsid w:val="002079F4"/>
    <w:rsid w:val="00207A05"/>
    <w:rsid w:val="00207CFB"/>
    <w:rsid w:val="00207D03"/>
    <w:rsid w:val="00207DEC"/>
    <w:rsid w:val="002107E0"/>
    <w:rsid w:val="00210C1E"/>
    <w:rsid w:val="00210D9C"/>
    <w:rsid w:val="00210F35"/>
    <w:rsid w:val="00210F76"/>
    <w:rsid w:val="00210F8D"/>
    <w:rsid w:val="00210F92"/>
    <w:rsid w:val="0021124F"/>
    <w:rsid w:val="0021127C"/>
    <w:rsid w:val="002114F3"/>
    <w:rsid w:val="00211671"/>
    <w:rsid w:val="002116A8"/>
    <w:rsid w:val="00211822"/>
    <w:rsid w:val="00211900"/>
    <w:rsid w:val="00211AAA"/>
    <w:rsid w:val="00211B78"/>
    <w:rsid w:val="00211B83"/>
    <w:rsid w:val="00211BA7"/>
    <w:rsid w:val="00211CE1"/>
    <w:rsid w:val="00211D06"/>
    <w:rsid w:val="00211D25"/>
    <w:rsid w:val="00211DF7"/>
    <w:rsid w:val="00211EDD"/>
    <w:rsid w:val="00211F78"/>
    <w:rsid w:val="0021206F"/>
    <w:rsid w:val="002122F7"/>
    <w:rsid w:val="002123B5"/>
    <w:rsid w:val="002123E6"/>
    <w:rsid w:val="002124B7"/>
    <w:rsid w:val="002127F7"/>
    <w:rsid w:val="00212844"/>
    <w:rsid w:val="00212A19"/>
    <w:rsid w:val="00212B1E"/>
    <w:rsid w:val="00212D2D"/>
    <w:rsid w:val="00213007"/>
    <w:rsid w:val="00213172"/>
    <w:rsid w:val="00213202"/>
    <w:rsid w:val="002133F0"/>
    <w:rsid w:val="00213406"/>
    <w:rsid w:val="002135D0"/>
    <w:rsid w:val="0021360C"/>
    <w:rsid w:val="0021369B"/>
    <w:rsid w:val="00213BB8"/>
    <w:rsid w:val="00213E58"/>
    <w:rsid w:val="00213F43"/>
    <w:rsid w:val="002140AA"/>
    <w:rsid w:val="00214125"/>
    <w:rsid w:val="0021449D"/>
    <w:rsid w:val="00214BF2"/>
    <w:rsid w:val="002151EC"/>
    <w:rsid w:val="00215215"/>
    <w:rsid w:val="0021531D"/>
    <w:rsid w:val="0021541E"/>
    <w:rsid w:val="002155C8"/>
    <w:rsid w:val="0021566F"/>
    <w:rsid w:val="002156F3"/>
    <w:rsid w:val="0021575F"/>
    <w:rsid w:val="00215A2E"/>
    <w:rsid w:val="00215D2D"/>
    <w:rsid w:val="00215F8B"/>
    <w:rsid w:val="0021621A"/>
    <w:rsid w:val="00216272"/>
    <w:rsid w:val="002162C7"/>
    <w:rsid w:val="00216333"/>
    <w:rsid w:val="00216410"/>
    <w:rsid w:val="00216564"/>
    <w:rsid w:val="002165FE"/>
    <w:rsid w:val="00216B40"/>
    <w:rsid w:val="00216D37"/>
    <w:rsid w:val="00216DF2"/>
    <w:rsid w:val="00216EC3"/>
    <w:rsid w:val="0021711A"/>
    <w:rsid w:val="00217704"/>
    <w:rsid w:val="00217859"/>
    <w:rsid w:val="002178EC"/>
    <w:rsid w:val="00217AC8"/>
    <w:rsid w:val="00217D4E"/>
    <w:rsid w:val="00217E2F"/>
    <w:rsid w:val="00220093"/>
    <w:rsid w:val="0022050F"/>
    <w:rsid w:val="00220838"/>
    <w:rsid w:val="00220ABA"/>
    <w:rsid w:val="00220D74"/>
    <w:rsid w:val="00220FDD"/>
    <w:rsid w:val="00221309"/>
    <w:rsid w:val="002217FA"/>
    <w:rsid w:val="00221803"/>
    <w:rsid w:val="00221C5C"/>
    <w:rsid w:val="00221C7F"/>
    <w:rsid w:val="00221CD7"/>
    <w:rsid w:val="00221FB7"/>
    <w:rsid w:val="0022203D"/>
    <w:rsid w:val="00222195"/>
    <w:rsid w:val="0022234F"/>
    <w:rsid w:val="002223FA"/>
    <w:rsid w:val="0022253A"/>
    <w:rsid w:val="00222585"/>
    <w:rsid w:val="002225B0"/>
    <w:rsid w:val="00222648"/>
    <w:rsid w:val="00222972"/>
    <w:rsid w:val="002229B4"/>
    <w:rsid w:val="00222B67"/>
    <w:rsid w:val="00222F1D"/>
    <w:rsid w:val="00222FAA"/>
    <w:rsid w:val="002230C7"/>
    <w:rsid w:val="002230D7"/>
    <w:rsid w:val="00223401"/>
    <w:rsid w:val="00223487"/>
    <w:rsid w:val="002234B7"/>
    <w:rsid w:val="0022360D"/>
    <w:rsid w:val="00223AAC"/>
    <w:rsid w:val="00223ABD"/>
    <w:rsid w:val="00223B04"/>
    <w:rsid w:val="00223ED6"/>
    <w:rsid w:val="00223FF6"/>
    <w:rsid w:val="002243F1"/>
    <w:rsid w:val="00224572"/>
    <w:rsid w:val="00224F31"/>
    <w:rsid w:val="0022535A"/>
    <w:rsid w:val="00225683"/>
    <w:rsid w:val="002256E7"/>
    <w:rsid w:val="0022573E"/>
    <w:rsid w:val="00225DA1"/>
    <w:rsid w:val="00225DDE"/>
    <w:rsid w:val="00225DFA"/>
    <w:rsid w:val="00225F4A"/>
    <w:rsid w:val="00225FF3"/>
    <w:rsid w:val="002261B7"/>
    <w:rsid w:val="002262D7"/>
    <w:rsid w:val="00226E0E"/>
    <w:rsid w:val="00227216"/>
    <w:rsid w:val="00227A51"/>
    <w:rsid w:val="00227C68"/>
    <w:rsid w:val="00227D72"/>
    <w:rsid w:val="0023001E"/>
    <w:rsid w:val="0023008C"/>
    <w:rsid w:val="00230459"/>
    <w:rsid w:val="00230584"/>
    <w:rsid w:val="002305A2"/>
    <w:rsid w:val="002306AB"/>
    <w:rsid w:val="002307A7"/>
    <w:rsid w:val="002308B5"/>
    <w:rsid w:val="00230CD1"/>
    <w:rsid w:val="00231049"/>
    <w:rsid w:val="002310C9"/>
    <w:rsid w:val="0023141A"/>
    <w:rsid w:val="00231500"/>
    <w:rsid w:val="0023154C"/>
    <w:rsid w:val="002316A9"/>
    <w:rsid w:val="002316F3"/>
    <w:rsid w:val="0023181A"/>
    <w:rsid w:val="002318D2"/>
    <w:rsid w:val="00231BD3"/>
    <w:rsid w:val="00231D3A"/>
    <w:rsid w:val="00231DD6"/>
    <w:rsid w:val="00231EC7"/>
    <w:rsid w:val="00232176"/>
    <w:rsid w:val="00232291"/>
    <w:rsid w:val="00232390"/>
    <w:rsid w:val="0023287A"/>
    <w:rsid w:val="002328A5"/>
    <w:rsid w:val="00232975"/>
    <w:rsid w:val="002329BD"/>
    <w:rsid w:val="00232A1B"/>
    <w:rsid w:val="00232DE9"/>
    <w:rsid w:val="00232EA7"/>
    <w:rsid w:val="00232F39"/>
    <w:rsid w:val="00232FF3"/>
    <w:rsid w:val="002332C4"/>
    <w:rsid w:val="002333A8"/>
    <w:rsid w:val="0023352E"/>
    <w:rsid w:val="00233B1C"/>
    <w:rsid w:val="00233BA7"/>
    <w:rsid w:val="00233EA3"/>
    <w:rsid w:val="00233F24"/>
    <w:rsid w:val="002340A1"/>
    <w:rsid w:val="0023419C"/>
    <w:rsid w:val="00234391"/>
    <w:rsid w:val="0023441A"/>
    <w:rsid w:val="00234491"/>
    <w:rsid w:val="00234585"/>
    <w:rsid w:val="002345B2"/>
    <w:rsid w:val="0023461C"/>
    <w:rsid w:val="00234710"/>
    <w:rsid w:val="00234726"/>
    <w:rsid w:val="0023494A"/>
    <w:rsid w:val="00234A07"/>
    <w:rsid w:val="00234CB8"/>
    <w:rsid w:val="00234D59"/>
    <w:rsid w:val="00234DA5"/>
    <w:rsid w:val="00234DF9"/>
    <w:rsid w:val="00234F18"/>
    <w:rsid w:val="00234F21"/>
    <w:rsid w:val="0023518E"/>
    <w:rsid w:val="002351F3"/>
    <w:rsid w:val="00235323"/>
    <w:rsid w:val="0023547D"/>
    <w:rsid w:val="002354A8"/>
    <w:rsid w:val="002356E9"/>
    <w:rsid w:val="002359AE"/>
    <w:rsid w:val="002359B1"/>
    <w:rsid w:val="00235C56"/>
    <w:rsid w:val="00235E04"/>
    <w:rsid w:val="00236123"/>
    <w:rsid w:val="002361D9"/>
    <w:rsid w:val="002363B9"/>
    <w:rsid w:val="0023657C"/>
    <w:rsid w:val="002369B8"/>
    <w:rsid w:val="00236AA2"/>
    <w:rsid w:val="00236AAD"/>
    <w:rsid w:val="00236CB6"/>
    <w:rsid w:val="00236E5B"/>
    <w:rsid w:val="00237311"/>
    <w:rsid w:val="00237419"/>
    <w:rsid w:val="00237436"/>
    <w:rsid w:val="0023758C"/>
    <w:rsid w:val="00237DA9"/>
    <w:rsid w:val="00237E6B"/>
    <w:rsid w:val="00237EBF"/>
    <w:rsid w:val="00237F36"/>
    <w:rsid w:val="0024010A"/>
    <w:rsid w:val="00240218"/>
    <w:rsid w:val="002404DA"/>
    <w:rsid w:val="002404F8"/>
    <w:rsid w:val="002406CA"/>
    <w:rsid w:val="00240773"/>
    <w:rsid w:val="00240974"/>
    <w:rsid w:val="00240E2B"/>
    <w:rsid w:val="002410E3"/>
    <w:rsid w:val="00241212"/>
    <w:rsid w:val="00241364"/>
    <w:rsid w:val="00241377"/>
    <w:rsid w:val="002413E1"/>
    <w:rsid w:val="00241610"/>
    <w:rsid w:val="002416DC"/>
    <w:rsid w:val="0024170A"/>
    <w:rsid w:val="00241734"/>
    <w:rsid w:val="00241D1C"/>
    <w:rsid w:val="00241F38"/>
    <w:rsid w:val="00242043"/>
    <w:rsid w:val="00242346"/>
    <w:rsid w:val="0024238F"/>
    <w:rsid w:val="002423F9"/>
    <w:rsid w:val="002425AC"/>
    <w:rsid w:val="00242821"/>
    <w:rsid w:val="0024293B"/>
    <w:rsid w:val="00242961"/>
    <w:rsid w:val="00242AAB"/>
    <w:rsid w:val="00242EC5"/>
    <w:rsid w:val="002430AB"/>
    <w:rsid w:val="0024317D"/>
    <w:rsid w:val="002432EE"/>
    <w:rsid w:val="0024391D"/>
    <w:rsid w:val="002439FA"/>
    <w:rsid w:val="00243B25"/>
    <w:rsid w:val="00243C66"/>
    <w:rsid w:val="00243CA7"/>
    <w:rsid w:val="0024406C"/>
    <w:rsid w:val="0024412F"/>
    <w:rsid w:val="0024426B"/>
    <w:rsid w:val="00244627"/>
    <w:rsid w:val="002448AF"/>
    <w:rsid w:val="00244994"/>
    <w:rsid w:val="00244A40"/>
    <w:rsid w:val="00244B14"/>
    <w:rsid w:val="00244C69"/>
    <w:rsid w:val="00244C75"/>
    <w:rsid w:val="00244C7F"/>
    <w:rsid w:val="00244C85"/>
    <w:rsid w:val="00244CD6"/>
    <w:rsid w:val="00244FFD"/>
    <w:rsid w:val="002450D6"/>
    <w:rsid w:val="00245181"/>
    <w:rsid w:val="002454EE"/>
    <w:rsid w:val="0024564A"/>
    <w:rsid w:val="002458CF"/>
    <w:rsid w:val="00245C88"/>
    <w:rsid w:val="00245FB6"/>
    <w:rsid w:val="002460BF"/>
    <w:rsid w:val="002465B6"/>
    <w:rsid w:val="00246849"/>
    <w:rsid w:val="00246889"/>
    <w:rsid w:val="00246932"/>
    <w:rsid w:val="00246B43"/>
    <w:rsid w:val="00246C15"/>
    <w:rsid w:val="00247182"/>
    <w:rsid w:val="00247191"/>
    <w:rsid w:val="00247391"/>
    <w:rsid w:val="00247399"/>
    <w:rsid w:val="00247431"/>
    <w:rsid w:val="0024751C"/>
    <w:rsid w:val="0024751F"/>
    <w:rsid w:val="00247838"/>
    <w:rsid w:val="0024784F"/>
    <w:rsid w:val="00247B1B"/>
    <w:rsid w:val="00247EB5"/>
    <w:rsid w:val="00250333"/>
    <w:rsid w:val="0025052C"/>
    <w:rsid w:val="00250682"/>
    <w:rsid w:val="002507AC"/>
    <w:rsid w:val="002509B0"/>
    <w:rsid w:val="00250D11"/>
    <w:rsid w:val="002510C9"/>
    <w:rsid w:val="002510D6"/>
    <w:rsid w:val="00251119"/>
    <w:rsid w:val="0025134E"/>
    <w:rsid w:val="00251A61"/>
    <w:rsid w:val="002521CE"/>
    <w:rsid w:val="002524B3"/>
    <w:rsid w:val="00252515"/>
    <w:rsid w:val="002525A9"/>
    <w:rsid w:val="00252851"/>
    <w:rsid w:val="00252A2D"/>
    <w:rsid w:val="00252DFB"/>
    <w:rsid w:val="00252FAA"/>
    <w:rsid w:val="00252FAF"/>
    <w:rsid w:val="002530A9"/>
    <w:rsid w:val="0025340B"/>
    <w:rsid w:val="00253A7E"/>
    <w:rsid w:val="00253BEB"/>
    <w:rsid w:val="00253CCD"/>
    <w:rsid w:val="00253E5C"/>
    <w:rsid w:val="0025402C"/>
    <w:rsid w:val="002540AF"/>
    <w:rsid w:val="002543C7"/>
    <w:rsid w:val="002543E4"/>
    <w:rsid w:val="00254848"/>
    <w:rsid w:val="00254B0C"/>
    <w:rsid w:val="00254C0B"/>
    <w:rsid w:val="00254C0E"/>
    <w:rsid w:val="00254DA5"/>
    <w:rsid w:val="00254F7E"/>
    <w:rsid w:val="0025544F"/>
    <w:rsid w:val="00255474"/>
    <w:rsid w:val="00255848"/>
    <w:rsid w:val="00255E32"/>
    <w:rsid w:val="002560E7"/>
    <w:rsid w:val="00256145"/>
    <w:rsid w:val="0025614A"/>
    <w:rsid w:val="00256790"/>
    <w:rsid w:val="002569E5"/>
    <w:rsid w:val="00256A06"/>
    <w:rsid w:val="00256B59"/>
    <w:rsid w:val="00256E19"/>
    <w:rsid w:val="00256E21"/>
    <w:rsid w:val="00256FE5"/>
    <w:rsid w:val="002574ED"/>
    <w:rsid w:val="00257747"/>
    <w:rsid w:val="0025789A"/>
    <w:rsid w:val="0025796B"/>
    <w:rsid w:val="00257C15"/>
    <w:rsid w:val="00257EEB"/>
    <w:rsid w:val="00260223"/>
    <w:rsid w:val="00260374"/>
    <w:rsid w:val="00260397"/>
    <w:rsid w:val="002603CF"/>
    <w:rsid w:val="00260819"/>
    <w:rsid w:val="00260965"/>
    <w:rsid w:val="00260A58"/>
    <w:rsid w:val="00260ECC"/>
    <w:rsid w:val="002610D0"/>
    <w:rsid w:val="002612A8"/>
    <w:rsid w:val="002612D5"/>
    <w:rsid w:val="002613A7"/>
    <w:rsid w:val="00261403"/>
    <w:rsid w:val="0026177E"/>
    <w:rsid w:val="002619F5"/>
    <w:rsid w:val="00261E4D"/>
    <w:rsid w:val="00261E78"/>
    <w:rsid w:val="00261FB0"/>
    <w:rsid w:val="0026235C"/>
    <w:rsid w:val="002624B0"/>
    <w:rsid w:val="00262601"/>
    <w:rsid w:val="0026269B"/>
    <w:rsid w:val="002626FA"/>
    <w:rsid w:val="002627E8"/>
    <w:rsid w:val="00262945"/>
    <w:rsid w:val="0026299C"/>
    <w:rsid w:val="00262A3B"/>
    <w:rsid w:val="00262F47"/>
    <w:rsid w:val="00263020"/>
    <w:rsid w:val="0026344F"/>
    <w:rsid w:val="002634BD"/>
    <w:rsid w:val="00263646"/>
    <w:rsid w:val="0026370D"/>
    <w:rsid w:val="0026378D"/>
    <w:rsid w:val="002637E8"/>
    <w:rsid w:val="00263A9E"/>
    <w:rsid w:val="00263BA0"/>
    <w:rsid w:val="00263CC5"/>
    <w:rsid w:val="00263CFF"/>
    <w:rsid w:val="00263FB5"/>
    <w:rsid w:val="00264129"/>
    <w:rsid w:val="00264175"/>
    <w:rsid w:val="0026431A"/>
    <w:rsid w:val="002643A9"/>
    <w:rsid w:val="002647CD"/>
    <w:rsid w:val="0026491A"/>
    <w:rsid w:val="00264A61"/>
    <w:rsid w:val="00264F02"/>
    <w:rsid w:val="00264FC7"/>
    <w:rsid w:val="0026500D"/>
    <w:rsid w:val="002650A6"/>
    <w:rsid w:val="00265381"/>
    <w:rsid w:val="002655A5"/>
    <w:rsid w:val="0026562E"/>
    <w:rsid w:val="00265874"/>
    <w:rsid w:val="00265CC2"/>
    <w:rsid w:val="00265D46"/>
    <w:rsid w:val="00265FB7"/>
    <w:rsid w:val="00265FD3"/>
    <w:rsid w:val="002662A7"/>
    <w:rsid w:val="002662DC"/>
    <w:rsid w:val="00266311"/>
    <w:rsid w:val="00266426"/>
    <w:rsid w:val="002668A4"/>
    <w:rsid w:val="00266903"/>
    <w:rsid w:val="00266A52"/>
    <w:rsid w:val="00266C16"/>
    <w:rsid w:val="00266D82"/>
    <w:rsid w:val="00266D90"/>
    <w:rsid w:val="00266E14"/>
    <w:rsid w:val="00266FEB"/>
    <w:rsid w:val="0026711F"/>
    <w:rsid w:val="0026726B"/>
    <w:rsid w:val="00267323"/>
    <w:rsid w:val="00267384"/>
    <w:rsid w:val="002674F2"/>
    <w:rsid w:val="002678CC"/>
    <w:rsid w:val="00267960"/>
    <w:rsid w:val="002679E8"/>
    <w:rsid w:val="00267B2E"/>
    <w:rsid w:val="00267B46"/>
    <w:rsid w:val="00270194"/>
    <w:rsid w:val="00270197"/>
    <w:rsid w:val="002704D7"/>
    <w:rsid w:val="002707B5"/>
    <w:rsid w:val="002708F5"/>
    <w:rsid w:val="00270BD5"/>
    <w:rsid w:val="00270BEC"/>
    <w:rsid w:val="00270C5C"/>
    <w:rsid w:val="00270EDD"/>
    <w:rsid w:val="00270F17"/>
    <w:rsid w:val="00270FC9"/>
    <w:rsid w:val="002711ED"/>
    <w:rsid w:val="0027128F"/>
    <w:rsid w:val="00271358"/>
    <w:rsid w:val="002715C4"/>
    <w:rsid w:val="00271687"/>
    <w:rsid w:val="00271859"/>
    <w:rsid w:val="00271A94"/>
    <w:rsid w:val="00271AA2"/>
    <w:rsid w:val="00271BFD"/>
    <w:rsid w:val="00271E1F"/>
    <w:rsid w:val="00271FFA"/>
    <w:rsid w:val="0027245B"/>
    <w:rsid w:val="002726CA"/>
    <w:rsid w:val="0027296C"/>
    <w:rsid w:val="00272AFC"/>
    <w:rsid w:val="00273078"/>
    <w:rsid w:val="002730ED"/>
    <w:rsid w:val="002733A0"/>
    <w:rsid w:val="00273794"/>
    <w:rsid w:val="00273D99"/>
    <w:rsid w:val="00273D9E"/>
    <w:rsid w:val="00273E08"/>
    <w:rsid w:val="00273F01"/>
    <w:rsid w:val="00274319"/>
    <w:rsid w:val="0027432C"/>
    <w:rsid w:val="00274341"/>
    <w:rsid w:val="00274350"/>
    <w:rsid w:val="00274785"/>
    <w:rsid w:val="0027490E"/>
    <w:rsid w:val="00274B65"/>
    <w:rsid w:val="00274C03"/>
    <w:rsid w:val="00274E79"/>
    <w:rsid w:val="00274EE7"/>
    <w:rsid w:val="00274FAC"/>
    <w:rsid w:val="00275047"/>
    <w:rsid w:val="00275069"/>
    <w:rsid w:val="00275117"/>
    <w:rsid w:val="002754F8"/>
    <w:rsid w:val="0027586B"/>
    <w:rsid w:val="00275B61"/>
    <w:rsid w:val="00275B8A"/>
    <w:rsid w:val="00275F76"/>
    <w:rsid w:val="0027605E"/>
    <w:rsid w:val="00276247"/>
    <w:rsid w:val="0027663D"/>
    <w:rsid w:val="00276720"/>
    <w:rsid w:val="00276A43"/>
    <w:rsid w:val="00276CB1"/>
    <w:rsid w:val="00276E39"/>
    <w:rsid w:val="00276F67"/>
    <w:rsid w:val="00276F89"/>
    <w:rsid w:val="0027706D"/>
    <w:rsid w:val="00277097"/>
    <w:rsid w:val="002771BE"/>
    <w:rsid w:val="002774E4"/>
    <w:rsid w:val="0027768C"/>
    <w:rsid w:val="002777A8"/>
    <w:rsid w:val="002778CC"/>
    <w:rsid w:val="00277CA9"/>
    <w:rsid w:val="00277DC9"/>
    <w:rsid w:val="00277EFC"/>
    <w:rsid w:val="00277F24"/>
    <w:rsid w:val="00280048"/>
    <w:rsid w:val="0028008B"/>
    <w:rsid w:val="00280150"/>
    <w:rsid w:val="00280439"/>
    <w:rsid w:val="002804EF"/>
    <w:rsid w:val="00280671"/>
    <w:rsid w:val="00280702"/>
    <w:rsid w:val="00280A31"/>
    <w:rsid w:val="00280A6A"/>
    <w:rsid w:val="00280CAC"/>
    <w:rsid w:val="00280E99"/>
    <w:rsid w:val="00281038"/>
    <w:rsid w:val="00281093"/>
    <w:rsid w:val="002812E5"/>
    <w:rsid w:val="002813B7"/>
    <w:rsid w:val="002813C1"/>
    <w:rsid w:val="0028141B"/>
    <w:rsid w:val="0028153E"/>
    <w:rsid w:val="002815F3"/>
    <w:rsid w:val="002816EF"/>
    <w:rsid w:val="00281722"/>
    <w:rsid w:val="002817B4"/>
    <w:rsid w:val="002817C3"/>
    <w:rsid w:val="002819D2"/>
    <w:rsid w:val="00281B63"/>
    <w:rsid w:val="00281C43"/>
    <w:rsid w:val="00281E90"/>
    <w:rsid w:val="002821EF"/>
    <w:rsid w:val="002822E2"/>
    <w:rsid w:val="00282597"/>
    <w:rsid w:val="00282732"/>
    <w:rsid w:val="00282849"/>
    <w:rsid w:val="00282925"/>
    <w:rsid w:val="002829E3"/>
    <w:rsid w:val="00282B19"/>
    <w:rsid w:val="00282BC8"/>
    <w:rsid w:val="00282DFC"/>
    <w:rsid w:val="002830F2"/>
    <w:rsid w:val="0028310F"/>
    <w:rsid w:val="002832F0"/>
    <w:rsid w:val="002833D2"/>
    <w:rsid w:val="00283442"/>
    <w:rsid w:val="00283660"/>
    <w:rsid w:val="0028371C"/>
    <w:rsid w:val="00283AD7"/>
    <w:rsid w:val="00283D3A"/>
    <w:rsid w:val="0028417F"/>
    <w:rsid w:val="002842E3"/>
    <w:rsid w:val="0028454F"/>
    <w:rsid w:val="002846CB"/>
    <w:rsid w:val="0028471E"/>
    <w:rsid w:val="00284D68"/>
    <w:rsid w:val="00284FDD"/>
    <w:rsid w:val="002850D7"/>
    <w:rsid w:val="0028521C"/>
    <w:rsid w:val="0028525D"/>
    <w:rsid w:val="0028525F"/>
    <w:rsid w:val="00285269"/>
    <w:rsid w:val="002852E5"/>
    <w:rsid w:val="00285449"/>
    <w:rsid w:val="002854CE"/>
    <w:rsid w:val="00285565"/>
    <w:rsid w:val="002857ED"/>
    <w:rsid w:val="00285800"/>
    <w:rsid w:val="00285EF7"/>
    <w:rsid w:val="00285F8D"/>
    <w:rsid w:val="0028619E"/>
    <w:rsid w:val="002862EF"/>
    <w:rsid w:val="0028630F"/>
    <w:rsid w:val="002863BE"/>
    <w:rsid w:val="002865EF"/>
    <w:rsid w:val="00286705"/>
    <w:rsid w:val="00286709"/>
    <w:rsid w:val="00286A30"/>
    <w:rsid w:val="002874CB"/>
    <w:rsid w:val="002876AF"/>
    <w:rsid w:val="00287732"/>
    <w:rsid w:val="00287BDA"/>
    <w:rsid w:val="00287E39"/>
    <w:rsid w:val="00287F72"/>
    <w:rsid w:val="002905BC"/>
    <w:rsid w:val="00290737"/>
    <w:rsid w:val="002907CC"/>
    <w:rsid w:val="00290913"/>
    <w:rsid w:val="00290A9D"/>
    <w:rsid w:val="00290B27"/>
    <w:rsid w:val="00290BB4"/>
    <w:rsid w:val="00290D01"/>
    <w:rsid w:val="00290E36"/>
    <w:rsid w:val="00290E70"/>
    <w:rsid w:val="0029112F"/>
    <w:rsid w:val="00291175"/>
    <w:rsid w:val="00291242"/>
    <w:rsid w:val="002912C8"/>
    <w:rsid w:val="00291449"/>
    <w:rsid w:val="0029144C"/>
    <w:rsid w:val="0029162A"/>
    <w:rsid w:val="00291A15"/>
    <w:rsid w:val="00291A3B"/>
    <w:rsid w:val="00291AB7"/>
    <w:rsid w:val="0029232F"/>
    <w:rsid w:val="002924A4"/>
    <w:rsid w:val="002924C0"/>
    <w:rsid w:val="002926FB"/>
    <w:rsid w:val="0029274E"/>
    <w:rsid w:val="00292AD7"/>
    <w:rsid w:val="00292B3E"/>
    <w:rsid w:val="00292EDB"/>
    <w:rsid w:val="00293075"/>
    <w:rsid w:val="002931B7"/>
    <w:rsid w:val="002931BA"/>
    <w:rsid w:val="00293367"/>
    <w:rsid w:val="002934E7"/>
    <w:rsid w:val="0029381F"/>
    <w:rsid w:val="00293841"/>
    <w:rsid w:val="00293A40"/>
    <w:rsid w:val="00293C33"/>
    <w:rsid w:val="00293D6C"/>
    <w:rsid w:val="00294047"/>
    <w:rsid w:val="002941F1"/>
    <w:rsid w:val="002944E1"/>
    <w:rsid w:val="0029455F"/>
    <w:rsid w:val="002947CA"/>
    <w:rsid w:val="00294869"/>
    <w:rsid w:val="0029486F"/>
    <w:rsid w:val="00294CF5"/>
    <w:rsid w:val="00294D53"/>
    <w:rsid w:val="00294D59"/>
    <w:rsid w:val="00294DA2"/>
    <w:rsid w:val="00294E46"/>
    <w:rsid w:val="00294E67"/>
    <w:rsid w:val="00294E96"/>
    <w:rsid w:val="00295288"/>
    <w:rsid w:val="00295305"/>
    <w:rsid w:val="00295432"/>
    <w:rsid w:val="002957AE"/>
    <w:rsid w:val="00295866"/>
    <w:rsid w:val="002958AF"/>
    <w:rsid w:val="002959CD"/>
    <w:rsid w:val="00295A9B"/>
    <w:rsid w:val="00295C0D"/>
    <w:rsid w:val="00295CA1"/>
    <w:rsid w:val="00296159"/>
    <w:rsid w:val="002963B6"/>
    <w:rsid w:val="002963E5"/>
    <w:rsid w:val="00296490"/>
    <w:rsid w:val="002964EB"/>
    <w:rsid w:val="00296673"/>
    <w:rsid w:val="00296890"/>
    <w:rsid w:val="00296A9C"/>
    <w:rsid w:val="00296A9E"/>
    <w:rsid w:val="00296BB6"/>
    <w:rsid w:val="00297222"/>
    <w:rsid w:val="002973B6"/>
    <w:rsid w:val="00297498"/>
    <w:rsid w:val="002975C8"/>
    <w:rsid w:val="00297864"/>
    <w:rsid w:val="002978C7"/>
    <w:rsid w:val="002979CA"/>
    <w:rsid w:val="00297A50"/>
    <w:rsid w:val="00297B51"/>
    <w:rsid w:val="00297E46"/>
    <w:rsid w:val="00297F23"/>
    <w:rsid w:val="002A008A"/>
    <w:rsid w:val="002A053B"/>
    <w:rsid w:val="002A0640"/>
    <w:rsid w:val="002A0961"/>
    <w:rsid w:val="002A09A8"/>
    <w:rsid w:val="002A0E04"/>
    <w:rsid w:val="002A0EA4"/>
    <w:rsid w:val="002A10D9"/>
    <w:rsid w:val="002A1204"/>
    <w:rsid w:val="002A16D3"/>
    <w:rsid w:val="002A1902"/>
    <w:rsid w:val="002A19BC"/>
    <w:rsid w:val="002A1E97"/>
    <w:rsid w:val="002A1FB0"/>
    <w:rsid w:val="002A2002"/>
    <w:rsid w:val="002A226F"/>
    <w:rsid w:val="002A229E"/>
    <w:rsid w:val="002A2423"/>
    <w:rsid w:val="002A2696"/>
    <w:rsid w:val="002A2821"/>
    <w:rsid w:val="002A2FB3"/>
    <w:rsid w:val="002A3219"/>
    <w:rsid w:val="002A35BF"/>
    <w:rsid w:val="002A3A81"/>
    <w:rsid w:val="002A3B14"/>
    <w:rsid w:val="002A3E28"/>
    <w:rsid w:val="002A434F"/>
    <w:rsid w:val="002A46F7"/>
    <w:rsid w:val="002A4758"/>
    <w:rsid w:val="002A489A"/>
    <w:rsid w:val="002A4A55"/>
    <w:rsid w:val="002A4AEB"/>
    <w:rsid w:val="002A4B34"/>
    <w:rsid w:val="002A4C6D"/>
    <w:rsid w:val="002A4DAD"/>
    <w:rsid w:val="002A4EB7"/>
    <w:rsid w:val="002A4F1A"/>
    <w:rsid w:val="002A4F98"/>
    <w:rsid w:val="002A50AD"/>
    <w:rsid w:val="002A56B2"/>
    <w:rsid w:val="002A583D"/>
    <w:rsid w:val="002A61DC"/>
    <w:rsid w:val="002A632F"/>
    <w:rsid w:val="002A633F"/>
    <w:rsid w:val="002A64C3"/>
    <w:rsid w:val="002A652D"/>
    <w:rsid w:val="002A6627"/>
    <w:rsid w:val="002A66DA"/>
    <w:rsid w:val="002A6778"/>
    <w:rsid w:val="002A69B7"/>
    <w:rsid w:val="002A6C2C"/>
    <w:rsid w:val="002A6C87"/>
    <w:rsid w:val="002A6D1D"/>
    <w:rsid w:val="002A70B4"/>
    <w:rsid w:val="002A72B4"/>
    <w:rsid w:val="002A7374"/>
    <w:rsid w:val="002A73F6"/>
    <w:rsid w:val="002A76EB"/>
    <w:rsid w:val="002A78CF"/>
    <w:rsid w:val="002A7AD7"/>
    <w:rsid w:val="002A7AF9"/>
    <w:rsid w:val="002A7C14"/>
    <w:rsid w:val="002A7CE5"/>
    <w:rsid w:val="002A7D0D"/>
    <w:rsid w:val="002A7F1B"/>
    <w:rsid w:val="002B009E"/>
    <w:rsid w:val="002B01B9"/>
    <w:rsid w:val="002B0234"/>
    <w:rsid w:val="002B02A6"/>
    <w:rsid w:val="002B02EC"/>
    <w:rsid w:val="002B031C"/>
    <w:rsid w:val="002B03B1"/>
    <w:rsid w:val="002B0524"/>
    <w:rsid w:val="002B0A85"/>
    <w:rsid w:val="002B0B0E"/>
    <w:rsid w:val="002B0CBB"/>
    <w:rsid w:val="002B0EDA"/>
    <w:rsid w:val="002B0FF4"/>
    <w:rsid w:val="002B1003"/>
    <w:rsid w:val="002B1276"/>
    <w:rsid w:val="002B137B"/>
    <w:rsid w:val="002B155F"/>
    <w:rsid w:val="002B15CA"/>
    <w:rsid w:val="002B1BB5"/>
    <w:rsid w:val="002B1F1A"/>
    <w:rsid w:val="002B26B5"/>
    <w:rsid w:val="002B285F"/>
    <w:rsid w:val="002B2A76"/>
    <w:rsid w:val="002B2AC3"/>
    <w:rsid w:val="002B2B3B"/>
    <w:rsid w:val="002B2B88"/>
    <w:rsid w:val="002B31B4"/>
    <w:rsid w:val="002B3348"/>
    <w:rsid w:val="002B3526"/>
    <w:rsid w:val="002B38E0"/>
    <w:rsid w:val="002B3A59"/>
    <w:rsid w:val="002B452B"/>
    <w:rsid w:val="002B454A"/>
    <w:rsid w:val="002B4610"/>
    <w:rsid w:val="002B4671"/>
    <w:rsid w:val="002B48E7"/>
    <w:rsid w:val="002B4933"/>
    <w:rsid w:val="002B4B36"/>
    <w:rsid w:val="002B4C08"/>
    <w:rsid w:val="002B4D54"/>
    <w:rsid w:val="002B4F91"/>
    <w:rsid w:val="002B551C"/>
    <w:rsid w:val="002B5A8D"/>
    <w:rsid w:val="002B5B9C"/>
    <w:rsid w:val="002B5BB2"/>
    <w:rsid w:val="002B5F4A"/>
    <w:rsid w:val="002B5FF0"/>
    <w:rsid w:val="002B66F2"/>
    <w:rsid w:val="002B66F9"/>
    <w:rsid w:val="002B6793"/>
    <w:rsid w:val="002B6917"/>
    <w:rsid w:val="002B6C34"/>
    <w:rsid w:val="002B6D1C"/>
    <w:rsid w:val="002B6D48"/>
    <w:rsid w:val="002B6E23"/>
    <w:rsid w:val="002B7214"/>
    <w:rsid w:val="002B722A"/>
    <w:rsid w:val="002B7346"/>
    <w:rsid w:val="002B748C"/>
    <w:rsid w:val="002B769F"/>
    <w:rsid w:val="002B7AC6"/>
    <w:rsid w:val="002B7BC5"/>
    <w:rsid w:val="002B7CAE"/>
    <w:rsid w:val="002B7D5D"/>
    <w:rsid w:val="002B7DF2"/>
    <w:rsid w:val="002C01EA"/>
    <w:rsid w:val="002C0748"/>
    <w:rsid w:val="002C0B12"/>
    <w:rsid w:val="002C0EC6"/>
    <w:rsid w:val="002C0ED9"/>
    <w:rsid w:val="002C0F25"/>
    <w:rsid w:val="002C1132"/>
    <w:rsid w:val="002C1679"/>
    <w:rsid w:val="002C16A6"/>
    <w:rsid w:val="002C1A75"/>
    <w:rsid w:val="002C1AB4"/>
    <w:rsid w:val="002C1B59"/>
    <w:rsid w:val="002C1E67"/>
    <w:rsid w:val="002C1F9E"/>
    <w:rsid w:val="002C2007"/>
    <w:rsid w:val="002C2425"/>
    <w:rsid w:val="002C278B"/>
    <w:rsid w:val="002C28C5"/>
    <w:rsid w:val="002C2A90"/>
    <w:rsid w:val="002C2A93"/>
    <w:rsid w:val="002C2AEA"/>
    <w:rsid w:val="002C2E8B"/>
    <w:rsid w:val="002C301B"/>
    <w:rsid w:val="002C3064"/>
    <w:rsid w:val="002C30C7"/>
    <w:rsid w:val="002C320B"/>
    <w:rsid w:val="002C32A1"/>
    <w:rsid w:val="002C36DC"/>
    <w:rsid w:val="002C37BB"/>
    <w:rsid w:val="002C3BF5"/>
    <w:rsid w:val="002C3CC4"/>
    <w:rsid w:val="002C3D07"/>
    <w:rsid w:val="002C4161"/>
    <w:rsid w:val="002C44A9"/>
    <w:rsid w:val="002C457E"/>
    <w:rsid w:val="002C4A20"/>
    <w:rsid w:val="002C4D36"/>
    <w:rsid w:val="002C4FDD"/>
    <w:rsid w:val="002C5032"/>
    <w:rsid w:val="002C5247"/>
    <w:rsid w:val="002C55A1"/>
    <w:rsid w:val="002C5632"/>
    <w:rsid w:val="002C584D"/>
    <w:rsid w:val="002C5A0D"/>
    <w:rsid w:val="002C5B24"/>
    <w:rsid w:val="002C60E6"/>
    <w:rsid w:val="002C630E"/>
    <w:rsid w:val="002C6792"/>
    <w:rsid w:val="002C6988"/>
    <w:rsid w:val="002C6D4F"/>
    <w:rsid w:val="002C6DC3"/>
    <w:rsid w:val="002C6E25"/>
    <w:rsid w:val="002C6EC0"/>
    <w:rsid w:val="002C72FA"/>
    <w:rsid w:val="002C7355"/>
    <w:rsid w:val="002C738C"/>
    <w:rsid w:val="002C76F3"/>
    <w:rsid w:val="002C794E"/>
    <w:rsid w:val="002C7C3F"/>
    <w:rsid w:val="002C7C7D"/>
    <w:rsid w:val="002D00A7"/>
    <w:rsid w:val="002D0159"/>
    <w:rsid w:val="002D020A"/>
    <w:rsid w:val="002D0539"/>
    <w:rsid w:val="002D09BE"/>
    <w:rsid w:val="002D0A5A"/>
    <w:rsid w:val="002D0B21"/>
    <w:rsid w:val="002D0BC1"/>
    <w:rsid w:val="002D0D04"/>
    <w:rsid w:val="002D0DB7"/>
    <w:rsid w:val="002D134B"/>
    <w:rsid w:val="002D145B"/>
    <w:rsid w:val="002D1794"/>
    <w:rsid w:val="002D18C6"/>
    <w:rsid w:val="002D19CF"/>
    <w:rsid w:val="002D2016"/>
    <w:rsid w:val="002D2059"/>
    <w:rsid w:val="002D2099"/>
    <w:rsid w:val="002D2625"/>
    <w:rsid w:val="002D26F6"/>
    <w:rsid w:val="002D285C"/>
    <w:rsid w:val="002D2993"/>
    <w:rsid w:val="002D2AE5"/>
    <w:rsid w:val="002D2C1A"/>
    <w:rsid w:val="002D2F0A"/>
    <w:rsid w:val="002D301E"/>
    <w:rsid w:val="002D32DE"/>
    <w:rsid w:val="002D346D"/>
    <w:rsid w:val="002D34B8"/>
    <w:rsid w:val="002D36A3"/>
    <w:rsid w:val="002D3713"/>
    <w:rsid w:val="002D3834"/>
    <w:rsid w:val="002D38EC"/>
    <w:rsid w:val="002D3AC2"/>
    <w:rsid w:val="002D3D63"/>
    <w:rsid w:val="002D3F7B"/>
    <w:rsid w:val="002D406F"/>
    <w:rsid w:val="002D42C5"/>
    <w:rsid w:val="002D4460"/>
    <w:rsid w:val="002D4AF8"/>
    <w:rsid w:val="002D4CD6"/>
    <w:rsid w:val="002D4EB2"/>
    <w:rsid w:val="002D4F29"/>
    <w:rsid w:val="002D4F4E"/>
    <w:rsid w:val="002D51CC"/>
    <w:rsid w:val="002D51FB"/>
    <w:rsid w:val="002D5483"/>
    <w:rsid w:val="002D5615"/>
    <w:rsid w:val="002D56AD"/>
    <w:rsid w:val="002D5774"/>
    <w:rsid w:val="002D598C"/>
    <w:rsid w:val="002D59E9"/>
    <w:rsid w:val="002D5A72"/>
    <w:rsid w:val="002D5E89"/>
    <w:rsid w:val="002D5EED"/>
    <w:rsid w:val="002D6111"/>
    <w:rsid w:val="002D62B3"/>
    <w:rsid w:val="002D650C"/>
    <w:rsid w:val="002D6563"/>
    <w:rsid w:val="002D678C"/>
    <w:rsid w:val="002D68F0"/>
    <w:rsid w:val="002D6917"/>
    <w:rsid w:val="002D6A7A"/>
    <w:rsid w:val="002D6E87"/>
    <w:rsid w:val="002D70B1"/>
    <w:rsid w:val="002D70DC"/>
    <w:rsid w:val="002D70F9"/>
    <w:rsid w:val="002D710C"/>
    <w:rsid w:val="002D712C"/>
    <w:rsid w:val="002D71C6"/>
    <w:rsid w:val="002D7533"/>
    <w:rsid w:val="002D7914"/>
    <w:rsid w:val="002D7A7B"/>
    <w:rsid w:val="002D7CAA"/>
    <w:rsid w:val="002D7D5D"/>
    <w:rsid w:val="002D7E95"/>
    <w:rsid w:val="002E0081"/>
    <w:rsid w:val="002E00A9"/>
    <w:rsid w:val="002E0103"/>
    <w:rsid w:val="002E02A9"/>
    <w:rsid w:val="002E038E"/>
    <w:rsid w:val="002E068D"/>
    <w:rsid w:val="002E0719"/>
    <w:rsid w:val="002E07EA"/>
    <w:rsid w:val="002E089F"/>
    <w:rsid w:val="002E0A79"/>
    <w:rsid w:val="002E0B44"/>
    <w:rsid w:val="002E0C8E"/>
    <w:rsid w:val="002E0D72"/>
    <w:rsid w:val="002E0DBA"/>
    <w:rsid w:val="002E0DE9"/>
    <w:rsid w:val="002E0E08"/>
    <w:rsid w:val="002E0F14"/>
    <w:rsid w:val="002E0FD9"/>
    <w:rsid w:val="002E15C3"/>
    <w:rsid w:val="002E1682"/>
    <w:rsid w:val="002E1898"/>
    <w:rsid w:val="002E19D1"/>
    <w:rsid w:val="002E1C3B"/>
    <w:rsid w:val="002E1E3C"/>
    <w:rsid w:val="002E1EAC"/>
    <w:rsid w:val="002E24A2"/>
    <w:rsid w:val="002E2563"/>
    <w:rsid w:val="002E2591"/>
    <w:rsid w:val="002E2630"/>
    <w:rsid w:val="002E29EF"/>
    <w:rsid w:val="002E2B28"/>
    <w:rsid w:val="002E2CC1"/>
    <w:rsid w:val="002E2E6B"/>
    <w:rsid w:val="002E3755"/>
    <w:rsid w:val="002E382A"/>
    <w:rsid w:val="002E3978"/>
    <w:rsid w:val="002E3C1D"/>
    <w:rsid w:val="002E3D17"/>
    <w:rsid w:val="002E418E"/>
    <w:rsid w:val="002E43DD"/>
    <w:rsid w:val="002E4530"/>
    <w:rsid w:val="002E45AB"/>
    <w:rsid w:val="002E471C"/>
    <w:rsid w:val="002E475C"/>
    <w:rsid w:val="002E481D"/>
    <w:rsid w:val="002E4957"/>
    <w:rsid w:val="002E4AB3"/>
    <w:rsid w:val="002E4AE8"/>
    <w:rsid w:val="002E4AF6"/>
    <w:rsid w:val="002E4B39"/>
    <w:rsid w:val="002E4B43"/>
    <w:rsid w:val="002E4E0C"/>
    <w:rsid w:val="002E4EC3"/>
    <w:rsid w:val="002E4F85"/>
    <w:rsid w:val="002E51E5"/>
    <w:rsid w:val="002E526F"/>
    <w:rsid w:val="002E5721"/>
    <w:rsid w:val="002E5946"/>
    <w:rsid w:val="002E5BC4"/>
    <w:rsid w:val="002E5C62"/>
    <w:rsid w:val="002E5D9B"/>
    <w:rsid w:val="002E61C8"/>
    <w:rsid w:val="002E656A"/>
    <w:rsid w:val="002E65F1"/>
    <w:rsid w:val="002E66A5"/>
    <w:rsid w:val="002E681F"/>
    <w:rsid w:val="002E6967"/>
    <w:rsid w:val="002E6A4D"/>
    <w:rsid w:val="002E6E03"/>
    <w:rsid w:val="002E6E78"/>
    <w:rsid w:val="002E7290"/>
    <w:rsid w:val="002E7402"/>
    <w:rsid w:val="002E745E"/>
    <w:rsid w:val="002E7628"/>
    <w:rsid w:val="002E765D"/>
    <w:rsid w:val="002E766F"/>
    <w:rsid w:val="002E7819"/>
    <w:rsid w:val="002E7BF3"/>
    <w:rsid w:val="002E7E0A"/>
    <w:rsid w:val="002E7FE1"/>
    <w:rsid w:val="002F0271"/>
    <w:rsid w:val="002F02B9"/>
    <w:rsid w:val="002F07E9"/>
    <w:rsid w:val="002F0819"/>
    <w:rsid w:val="002F09E9"/>
    <w:rsid w:val="002F0C10"/>
    <w:rsid w:val="002F0C61"/>
    <w:rsid w:val="002F0E5B"/>
    <w:rsid w:val="002F0EBE"/>
    <w:rsid w:val="002F0F98"/>
    <w:rsid w:val="002F102B"/>
    <w:rsid w:val="002F10EA"/>
    <w:rsid w:val="002F1289"/>
    <w:rsid w:val="002F12F4"/>
    <w:rsid w:val="002F13D0"/>
    <w:rsid w:val="002F18F4"/>
    <w:rsid w:val="002F19EB"/>
    <w:rsid w:val="002F1AB6"/>
    <w:rsid w:val="002F1DF1"/>
    <w:rsid w:val="002F20E8"/>
    <w:rsid w:val="002F2242"/>
    <w:rsid w:val="002F2256"/>
    <w:rsid w:val="002F2280"/>
    <w:rsid w:val="002F22B8"/>
    <w:rsid w:val="002F2374"/>
    <w:rsid w:val="002F2411"/>
    <w:rsid w:val="002F287A"/>
    <w:rsid w:val="002F2C08"/>
    <w:rsid w:val="002F2DB5"/>
    <w:rsid w:val="002F2E26"/>
    <w:rsid w:val="002F2E3C"/>
    <w:rsid w:val="002F3414"/>
    <w:rsid w:val="002F346B"/>
    <w:rsid w:val="002F3692"/>
    <w:rsid w:val="002F381D"/>
    <w:rsid w:val="002F3B29"/>
    <w:rsid w:val="002F3B38"/>
    <w:rsid w:val="002F3BB9"/>
    <w:rsid w:val="002F4173"/>
    <w:rsid w:val="002F4262"/>
    <w:rsid w:val="002F42B7"/>
    <w:rsid w:val="002F444D"/>
    <w:rsid w:val="002F486D"/>
    <w:rsid w:val="002F4D6C"/>
    <w:rsid w:val="002F5094"/>
    <w:rsid w:val="002F518E"/>
    <w:rsid w:val="002F520F"/>
    <w:rsid w:val="002F52DA"/>
    <w:rsid w:val="002F52E8"/>
    <w:rsid w:val="002F5581"/>
    <w:rsid w:val="002F58E7"/>
    <w:rsid w:val="002F5A4C"/>
    <w:rsid w:val="002F5ADF"/>
    <w:rsid w:val="002F5ECD"/>
    <w:rsid w:val="002F6024"/>
    <w:rsid w:val="002F60F4"/>
    <w:rsid w:val="002F6283"/>
    <w:rsid w:val="002F654A"/>
    <w:rsid w:val="002F660F"/>
    <w:rsid w:val="002F6633"/>
    <w:rsid w:val="002F66FF"/>
    <w:rsid w:val="002F6A36"/>
    <w:rsid w:val="002F6B6E"/>
    <w:rsid w:val="002F6BD6"/>
    <w:rsid w:val="002F6C8C"/>
    <w:rsid w:val="002F7385"/>
    <w:rsid w:val="002F73B9"/>
    <w:rsid w:val="002F7406"/>
    <w:rsid w:val="002F75ED"/>
    <w:rsid w:val="002F7697"/>
    <w:rsid w:val="002F76ED"/>
    <w:rsid w:val="002F77B2"/>
    <w:rsid w:val="002F79D7"/>
    <w:rsid w:val="002F7A8F"/>
    <w:rsid w:val="002F7CB0"/>
    <w:rsid w:val="002F7CD3"/>
    <w:rsid w:val="002F7E78"/>
    <w:rsid w:val="00300196"/>
    <w:rsid w:val="0030022C"/>
    <w:rsid w:val="00300285"/>
    <w:rsid w:val="003002DA"/>
    <w:rsid w:val="003002E2"/>
    <w:rsid w:val="00300312"/>
    <w:rsid w:val="003008DE"/>
    <w:rsid w:val="00300ABC"/>
    <w:rsid w:val="00300CCF"/>
    <w:rsid w:val="00300DD9"/>
    <w:rsid w:val="003014CF"/>
    <w:rsid w:val="003015A4"/>
    <w:rsid w:val="0030172E"/>
    <w:rsid w:val="00301780"/>
    <w:rsid w:val="0030182D"/>
    <w:rsid w:val="00301942"/>
    <w:rsid w:val="003019F0"/>
    <w:rsid w:val="00301C02"/>
    <w:rsid w:val="00301F34"/>
    <w:rsid w:val="00301FC9"/>
    <w:rsid w:val="0030207A"/>
    <w:rsid w:val="0030236A"/>
    <w:rsid w:val="003024C8"/>
    <w:rsid w:val="00302878"/>
    <w:rsid w:val="00302B2F"/>
    <w:rsid w:val="00302BD0"/>
    <w:rsid w:val="00302C4D"/>
    <w:rsid w:val="00302C6A"/>
    <w:rsid w:val="00302CCE"/>
    <w:rsid w:val="00302DF6"/>
    <w:rsid w:val="00302E07"/>
    <w:rsid w:val="00302E70"/>
    <w:rsid w:val="00302F94"/>
    <w:rsid w:val="003031BB"/>
    <w:rsid w:val="003033D4"/>
    <w:rsid w:val="003034EC"/>
    <w:rsid w:val="003039C8"/>
    <w:rsid w:val="00303C86"/>
    <w:rsid w:val="00303E4D"/>
    <w:rsid w:val="00304138"/>
    <w:rsid w:val="0030430F"/>
    <w:rsid w:val="00304980"/>
    <w:rsid w:val="00304B37"/>
    <w:rsid w:val="00304C4D"/>
    <w:rsid w:val="00304D49"/>
    <w:rsid w:val="00304F52"/>
    <w:rsid w:val="0030517F"/>
    <w:rsid w:val="003052EC"/>
    <w:rsid w:val="00305456"/>
    <w:rsid w:val="0030559D"/>
    <w:rsid w:val="003057CC"/>
    <w:rsid w:val="00305B37"/>
    <w:rsid w:val="00305B4B"/>
    <w:rsid w:val="00305CEC"/>
    <w:rsid w:val="00305D0A"/>
    <w:rsid w:val="003060FF"/>
    <w:rsid w:val="0030616E"/>
    <w:rsid w:val="00306265"/>
    <w:rsid w:val="0030645B"/>
    <w:rsid w:val="003064FD"/>
    <w:rsid w:val="00306553"/>
    <w:rsid w:val="00306688"/>
    <w:rsid w:val="0030678D"/>
    <w:rsid w:val="003067DD"/>
    <w:rsid w:val="00306895"/>
    <w:rsid w:val="00306D0A"/>
    <w:rsid w:val="00306DA7"/>
    <w:rsid w:val="00306DB4"/>
    <w:rsid w:val="00306E12"/>
    <w:rsid w:val="00306EDB"/>
    <w:rsid w:val="00306FF5"/>
    <w:rsid w:val="00307130"/>
    <w:rsid w:val="00307665"/>
    <w:rsid w:val="0030789A"/>
    <w:rsid w:val="003078A8"/>
    <w:rsid w:val="0030790B"/>
    <w:rsid w:val="003079F4"/>
    <w:rsid w:val="00307D40"/>
    <w:rsid w:val="00307FB9"/>
    <w:rsid w:val="003102A5"/>
    <w:rsid w:val="00310305"/>
    <w:rsid w:val="003106CC"/>
    <w:rsid w:val="003107E4"/>
    <w:rsid w:val="003108A9"/>
    <w:rsid w:val="00310C07"/>
    <w:rsid w:val="00310CC6"/>
    <w:rsid w:val="00310CDA"/>
    <w:rsid w:val="00310E5A"/>
    <w:rsid w:val="00310F4D"/>
    <w:rsid w:val="00311160"/>
    <w:rsid w:val="00311259"/>
    <w:rsid w:val="003113AD"/>
    <w:rsid w:val="0031152E"/>
    <w:rsid w:val="00311751"/>
    <w:rsid w:val="00311934"/>
    <w:rsid w:val="00311AD6"/>
    <w:rsid w:val="00311F72"/>
    <w:rsid w:val="00311FF2"/>
    <w:rsid w:val="003122E6"/>
    <w:rsid w:val="0031246C"/>
    <w:rsid w:val="003125BA"/>
    <w:rsid w:val="003127F1"/>
    <w:rsid w:val="00312964"/>
    <w:rsid w:val="00312ACD"/>
    <w:rsid w:val="00312AD6"/>
    <w:rsid w:val="00312D10"/>
    <w:rsid w:val="00312D8F"/>
    <w:rsid w:val="00312D95"/>
    <w:rsid w:val="00312E68"/>
    <w:rsid w:val="00312EAB"/>
    <w:rsid w:val="00312F9D"/>
    <w:rsid w:val="00313445"/>
    <w:rsid w:val="00313495"/>
    <w:rsid w:val="00313724"/>
    <w:rsid w:val="00313797"/>
    <w:rsid w:val="00313A01"/>
    <w:rsid w:val="00313A69"/>
    <w:rsid w:val="00313A92"/>
    <w:rsid w:val="00313EB0"/>
    <w:rsid w:val="003141AF"/>
    <w:rsid w:val="0031432A"/>
    <w:rsid w:val="0031436F"/>
    <w:rsid w:val="0031445F"/>
    <w:rsid w:val="0031458B"/>
    <w:rsid w:val="003145DF"/>
    <w:rsid w:val="003146DC"/>
    <w:rsid w:val="0031471C"/>
    <w:rsid w:val="00314739"/>
    <w:rsid w:val="00314878"/>
    <w:rsid w:val="00314A49"/>
    <w:rsid w:val="00314AF9"/>
    <w:rsid w:val="00314C2A"/>
    <w:rsid w:val="00314DED"/>
    <w:rsid w:val="00314EED"/>
    <w:rsid w:val="00315028"/>
    <w:rsid w:val="003151C5"/>
    <w:rsid w:val="0031525C"/>
    <w:rsid w:val="0031550B"/>
    <w:rsid w:val="0031564A"/>
    <w:rsid w:val="0031567A"/>
    <w:rsid w:val="0031596E"/>
    <w:rsid w:val="00315A80"/>
    <w:rsid w:val="00315B0A"/>
    <w:rsid w:val="00315C4A"/>
    <w:rsid w:val="00315EB4"/>
    <w:rsid w:val="0031638A"/>
    <w:rsid w:val="0031678F"/>
    <w:rsid w:val="0031684F"/>
    <w:rsid w:val="003168B7"/>
    <w:rsid w:val="003168D7"/>
    <w:rsid w:val="00316A85"/>
    <w:rsid w:val="00316BCE"/>
    <w:rsid w:val="00316DB5"/>
    <w:rsid w:val="00317048"/>
    <w:rsid w:val="003170C1"/>
    <w:rsid w:val="003173B3"/>
    <w:rsid w:val="00317869"/>
    <w:rsid w:val="00317C20"/>
    <w:rsid w:val="00317D15"/>
    <w:rsid w:val="00317F8E"/>
    <w:rsid w:val="00317FEE"/>
    <w:rsid w:val="0032061B"/>
    <w:rsid w:val="00320680"/>
    <w:rsid w:val="00320727"/>
    <w:rsid w:val="00320746"/>
    <w:rsid w:val="0032081A"/>
    <w:rsid w:val="003209D4"/>
    <w:rsid w:val="00320A99"/>
    <w:rsid w:val="00320AC6"/>
    <w:rsid w:val="00321074"/>
    <w:rsid w:val="00321177"/>
    <w:rsid w:val="0032127B"/>
    <w:rsid w:val="003214B2"/>
    <w:rsid w:val="00321653"/>
    <w:rsid w:val="00321671"/>
    <w:rsid w:val="003216B6"/>
    <w:rsid w:val="00321CFB"/>
    <w:rsid w:val="00321F22"/>
    <w:rsid w:val="0032223F"/>
    <w:rsid w:val="0032244E"/>
    <w:rsid w:val="0032245B"/>
    <w:rsid w:val="003224B0"/>
    <w:rsid w:val="0032258C"/>
    <w:rsid w:val="0032258D"/>
    <w:rsid w:val="003227A6"/>
    <w:rsid w:val="00322B07"/>
    <w:rsid w:val="00322C9A"/>
    <w:rsid w:val="00322F38"/>
    <w:rsid w:val="00322F5F"/>
    <w:rsid w:val="00323357"/>
    <w:rsid w:val="003236A5"/>
    <w:rsid w:val="003238DC"/>
    <w:rsid w:val="003239AF"/>
    <w:rsid w:val="00323A33"/>
    <w:rsid w:val="00323AB9"/>
    <w:rsid w:val="00323CD8"/>
    <w:rsid w:val="00323DCF"/>
    <w:rsid w:val="00324367"/>
    <w:rsid w:val="003245E5"/>
    <w:rsid w:val="003246D4"/>
    <w:rsid w:val="00324794"/>
    <w:rsid w:val="003247CA"/>
    <w:rsid w:val="00324AA1"/>
    <w:rsid w:val="00324C28"/>
    <w:rsid w:val="00324F3D"/>
    <w:rsid w:val="00324FDE"/>
    <w:rsid w:val="00325272"/>
    <w:rsid w:val="00325321"/>
    <w:rsid w:val="003255EE"/>
    <w:rsid w:val="003256C2"/>
    <w:rsid w:val="003258C1"/>
    <w:rsid w:val="00325C03"/>
    <w:rsid w:val="00325C30"/>
    <w:rsid w:val="00325E96"/>
    <w:rsid w:val="00325FA0"/>
    <w:rsid w:val="0032604C"/>
    <w:rsid w:val="003264CA"/>
    <w:rsid w:val="00326877"/>
    <w:rsid w:val="00326AF2"/>
    <w:rsid w:val="00326BF1"/>
    <w:rsid w:val="00326D49"/>
    <w:rsid w:val="00327057"/>
    <w:rsid w:val="00327374"/>
    <w:rsid w:val="003274AC"/>
    <w:rsid w:val="003274F5"/>
    <w:rsid w:val="0032767D"/>
    <w:rsid w:val="0032772B"/>
    <w:rsid w:val="003277E5"/>
    <w:rsid w:val="00327B2B"/>
    <w:rsid w:val="00327F95"/>
    <w:rsid w:val="00330177"/>
    <w:rsid w:val="00330218"/>
    <w:rsid w:val="0033021C"/>
    <w:rsid w:val="0033026F"/>
    <w:rsid w:val="0033034B"/>
    <w:rsid w:val="0033064F"/>
    <w:rsid w:val="0033098C"/>
    <w:rsid w:val="00330A00"/>
    <w:rsid w:val="00330CF9"/>
    <w:rsid w:val="00330D64"/>
    <w:rsid w:val="00330E11"/>
    <w:rsid w:val="00331327"/>
    <w:rsid w:val="00331349"/>
    <w:rsid w:val="00331528"/>
    <w:rsid w:val="0033188C"/>
    <w:rsid w:val="00331BA2"/>
    <w:rsid w:val="003325B9"/>
    <w:rsid w:val="00332721"/>
    <w:rsid w:val="00332C29"/>
    <w:rsid w:val="00332CA8"/>
    <w:rsid w:val="00332DDF"/>
    <w:rsid w:val="00332E0C"/>
    <w:rsid w:val="0033308B"/>
    <w:rsid w:val="00333247"/>
    <w:rsid w:val="003332B9"/>
    <w:rsid w:val="00333314"/>
    <w:rsid w:val="003334AA"/>
    <w:rsid w:val="0033357B"/>
    <w:rsid w:val="0033386B"/>
    <w:rsid w:val="003339D3"/>
    <w:rsid w:val="003339D7"/>
    <w:rsid w:val="00333A47"/>
    <w:rsid w:val="00333B7A"/>
    <w:rsid w:val="00333B91"/>
    <w:rsid w:val="00333BDC"/>
    <w:rsid w:val="00333D8F"/>
    <w:rsid w:val="00333EDA"/>
    <w:rsid w:val="00334483"/>
    <w:rsid w:val="003347DD"/>
    <w:rsid w:val="00334889"/>
    <w:rsid w:val="003348A0"/>
    <w:rsid w:val="00334960"/>
    <w:rsid w:val="00334C5A"/>
    <w:rsid w:val="00335475"/>
    <w:rsid w:val="003354E0"/>
    <w:rsid w:val="003355D4"/>
    <w:rsid w:val="003356B7"/>
    <w:rsid w:val="0033583E"/>
    <w:rsid w:val="0033590E"/>
    <w:rsid w:val="0033594A"/>
    <w:rsid w:val="00335B6E"/>
    <w:rsid w:val="00335B9B"/>
    <w:rsid w:val="00335D2B"/>
    <w:rsid w:val="00336048"/>
    <w:rsid w:val="003361C5"/>
    <w:rsid w:val="0033642C"/>
    <w:rsid w:val="003364D3"/>
    <w:rsid w:val="003369A5"/>
    <w:rsid w:val="00336B49"/>
    <w:rsid w:val="00336FC5"/>
    <w:rsid w:val="003373D4"/>
    <w:rsid w:val="003374A5"/>
    <w:rsid w:val="003375A1"/>
    <w:rsid w:val="00337624"/>
    <w:rsid w:val="00337878"/>
    <w:rsid w:val="00337D4F"/>
    <w:rsid w:val="00337E1C"/>
    <w:rsid w:val="00340150"/>
    <w:rsid w:val="0034049B"/>
    <w:rsid w:val="003408E1"/>
    <w:rsid w:val="0034104D"/>
    <w:rsid w:val="00341124"/>
    <w:rsid w:val="003413EE"/>
    <w:rsid w:val="0034166C"/>
    <w:rsid w:val="0034185D"/>
    <w:rsid w:val="00341E10"/>
    <w:rsid w:val="00341E7E"/>
    <w:rsid w:val="00341F23"/>
    <w:rsid w:val="00341FEE"/>
    <w:rsid w:val="003421F1"/>
    <w:rsid w:val="0034222B"/>
    <w:rsid w:val="003422BA"/>
    <w:rsid w:val="003422CA"/>
    <w:rsid w:val="0034237C"/>
    <w:rsid w:val="0034245F"/>
    <w:rsid w:val="0034267C"/>
    <w:rsid w:val="003429D7"/>
    <w:rsid w:val="00342A2D"/>
    <w:rsid w:val="00342ABC"/>
    <w:rsid w:val="00343290"/>
    <w:rsid w:val="003433C6"/>
    <w:rsid w:val="003433EB"/>
    <w:rsid w:val="00343796"/>
    <w:rsid w:val="00343869"/>
    <w:rsid w:val="00343872"/>
    <w:rsid w:val="00343960"/>
    <w:rsid w:val="00343A2D"/>
    <w:rsid w:val="00343C4B"/>
    <w:rsid w:val="00343CA0"/>
    <w:rsid w:val="003440E8"/>
    <w:rsid w:val="0034427A"/>
    <w:rsid w:val="003446DF"/>
    <w:rsid w:val="003448F4"/>
    <w:rsid w:val="00344D20"/>
    <w:rsid w:val="00344E1A"/>
    <w:rsid w:val="00344FAD"/>
    <w:rsid w:val="003451FE"/>
    <w:rsid w:val="003456AA"/>
    <w:rsid w:val="003458B8"/>
    <w:rsid w:val="00345B09"/>
    <w:rsid w:val="00345B2E"/>
    <w:rsid w:val="00345CEE"/>
    <w:rsid w:val="00345DD2"/>
    <w:rsid w:val="00345F0A"/>
    <w:rsid w:val="00345F69"/>
    <w:rsid w:val="0034636B"/>
    <w:rsid w:val="00346417"/>
    <w:rsid w:val="0034662F"/>
    <w:rsid w:val="0034673A"/>
    <w:rsid w:val="0034678F"/>
    <w:rsid w:val="0034687B"/>
    <w:rsid w:val="0034690D"/>
    <w:rsid w:val="00346BAA"/>
    <w:rsid w:val="00346C21"/>
    <w:rsid w:val="00346DE8"/>
    <w:rsid w:val="00347171"/>
    <w:rsid w:val="003471A2"/>
    <w:rsid w:val="00347594"/>
    <w:rsid w:val="003475D0"/>
    <w:rsid w:val="003476DD"/>
    <w:rsid w:val="00347AD0"/>
    <w:rsid w:val="00347C85"/>
    <w:rsid w:val="00347ECB"/>
    <w:rsid w:val="003501C0"/>
    <w:rsid w:val="00350239"/>
    <w:rsid w:val="00350408"/>
    <w:rsid w:val="003508A5"/>
    <w:rsid w:val="003509CB"/>
    <w:rsid w:val="00350BAE"/>
    <w:rsid w:val="00350DC1"/>
    <w:rsid w:val="00350F2A"/>
    <w:rsid w:val="00350F4F"/>
    <w:rsid w:val="00351047"/>
    <w:rsid w:val="003510BE"/>
    <w:rsid w:val="0035123E"/>
    <w:rsid w:val="00351376"/>
    <w:rsid w:val="0035152E"/>
    <w:rsid w:val="003516E0"/>
    <w:rsid w:val="0035181F"/>
    <w:rsid w:val="00351A1A"/>
    <w:rsid w:val="00351B27"/>
    <w:rsid w:val="00351CC9"/>
    <w:rsid w:val="00351F2A"/>
    <w:rsid w:val="00351F60"/>
    <w:rsid w:val="003520F7"/>
    <w:rsid w:val="003520FF"/>
    <w:rsid w:val="00352183"/>
    <w:rsid w:val="0035229F"/>
    <w:rsid w:val="003523A8"/>
    <w:rsid w:val="0035244B"/>
    <w:rsid w:val="00352475"/>
    <w:rsid w:val="003524FB"/>
    <w:rsid w:val="0035256F"/>
    <w:rsid w:val="00352886"/>
    <w:rsid w:val="00352A20"/>
    <w:rsid w:val="00352A3B"/>
    <w:rsid w:val="00352E99"/>
    <w:rsid w:val="00353058"/>
    <w:rsid w:val="00353166"/>
    <w:rsid w:val="00353626"/>
    <w:rsid w:val="0035377E"/>
    <w:rsid w:val="00353B59"/>
    <w:rsid w:val="00353C9C"/>
    <w:rsid w:val="00353E77"/>
    <w:rsid w:val="003542F6"/>
    <w:rsid w:val="003543D7"/>
    <w:rsid w:val="00354DEB"/>
    <w:rsid w:val="00355064"/>
    <w:rsid w:val="0035555F"/>
    <w:rsid w:val="00355A50"/>
    <w:rsid w:val="00355BB1"/>
    <w:rsid w:val="00355C63"/>
    <w:rsid w:val="0035660A"/>
    <w:rsid w:val="003566C3"/>
    <w:rsid w:val="00356733"/>
    <w:rsid w:val="00356747"/>
    <w:rsid w:val="003569C4"/>
    <w:rsid w:val="00356A29"/>
    <w:rsid w:val="00356EC1"/>
    <w:rsid w:val="003570EA"/>
    <w:rsid w:val="00357CBF"/>
    <w:rsid w:val="00357E87"/>
    <w:rsid w:val="00357EBD"/>
    <w:rsid w:val="00357FEB"/>
    <w:rsid w:val="0036003A"/>
    <w:rsid w:val="003602BB"/>
    <w:rsid w:val="0036039F"/>
    <w:rsid w:val="003606B8"/>
    <w:rsid w:val="0036099B"/>
    <w:rsid w:val="00360B87"/>
    <w:rsid w:val="00360CD4"/>
    <w:rsid w:val="00360DCA"/>
    <w:rsid w:val="00360DF9"/>
    <w:rsid w:val="00360FF6"/>
    <w:rsid w:val="0036108C"/>
    <w:rsid w:val="0036112A"/>
    <w:rsid w:val="0036118A"/>
    <w:rsid w:val="003612D3"/>
    <w:rsid w:val="00361331"/>
    <w:rsid w:val="003613E1"/>
    <w:rsid w:val="003616FE"/>
    <w:rsid w:val="0036172B"/>
    <w:rsid w:val="00361C9A"/>
    <w:rsid w:val="00361FCE"/>
    <w:rsid w:val="00361FD3"/>
    <w:rsid w:val="0036207A"/>
    <w:rsid w:val="00362295"/>
    <w:rsid w:val="00362421"/>
    <w:rsid w:val="0036257F"/>
    <w:rsid w:val="00362A33"/>
    <w:rsid w:val="00362C6F"/>
    <w:rsid w:val="00362D15"/>
    <w:rsid w:val="00362D45"/>
    <w:rsid w:val="00362DA8"/>
    <w:rsid w:val="00362FE7"/>
    <w:rsid w:val="003633C2"/>
    <w:rsid w:val="003635C7"/>
    <w:rsid w:val="003635DB"/>
    <w:rsid w:val="003639DC"/>
    <w:rsid w:val="00363A12"/>
    <w:rsid w:val="00363AB5"/>
    <w:rsid w:val="00363F51"/>
    <w:rsid w:val="003640BF"/>
    <w:rsid w:val="0036421F"/>
    <w:rsid w:val="00364365"/>
    <w:rsid w:val="00364377"/>
    <w:rsid w:val="003643B3"/>
    <w:rsid w:val="0036454F"/>
    <w:rsid w:val="00364702"/>
    <w:rsid w:val="00364862"/>
    <w:rsid w:val="003649EE"/>
    <w:rsid w:val="00364FE2"/>
    <w:rsid w:val="00364FF7"/>
    <w:rsid w:val="003650B7"/>
    <w:rsid w:val="003650E5"/>
    <w:rsid w:val="0036527D"/>
    <w:rsid w:val="00365691"/>
    <w:rsid w:val="003658AE"/>
    <w:rsid w:val="00365A1B"/>
    <w:rsid w:val="00365B64"/>
    <w:rsid w:val="00365C8E"/>
    <w:rsid w:val="00365CB4"/>
    <w:rsid w:val="00365D7D"/>
    <w:rsid w:val="00365DE6"/>
    <w:rsid w:val="00366371"/>
    <w:rsid w:val="003663B8"/>
    <w:rsid w:val="0036649D"/>
    <w:rsid w:val="00366E58"/>
    <w:rsid w:val="0036705A"/>
    <w:rsid w:val="00367211"/>
    <w:rsid w:val="00367901"/>
    <w:rsid w:val="00367924"/>
    <w:rsid w:val="00367939"/>
    <w:rsid w:val="00367B58"/>
    <w:rsid w:val="00367B8A"/>
    <w:rsid w:val="00367BA2"/>
    <w:rsid w:val="00367F6E"/>
    <w:rsid w:val="00370229"/>
    <w:rsid w:val="003705A5"/>
    <w:rsid w:val="003708B3"/>
    <w:rsid w:val="00370D37"/>
    <w:rsid w:val="00370E68"/>
    <w:rsid w:val="00370F80"/>
    <w:rsid w:val="00370FC4"/>
    <w:rsid w:val="003714A6"/>
    <w:rsid w:val="003714E8"/>
    <w:rsid w:val="0037151D"/>
    <w:rsid w:val="00371644"/>
    <w:rsid w:val="003716A6"/>
    <w:rsid w:val="003716D7"/>
    <w:rsid w:val="00371732"/>
    <w:rsid w:val="003717E9"/>
    <w:rsid w:val="00371A2A"/>
    <w:rsid w:val="00371AF1"/>
    <w:rsid w:val="00371D06"/>
    <w:rsid w:val="00371EE4"/>
    <w:rsid w:val="00372042"/>
    <w:rsid w:val="00372082"/>
    <w:rsid w:val="0037213E"/>
    <w:rsid w:val="00372172"/>
    <w:rsid w:val="0037237B"/>
    <w:rsid w:val="003723AC"/>
    <w:rsid w:val="003727FB"/>
    <w:rsid w:val="00372AE6"/>
    <w:rsid w:val="00372B99"/>
    <w:rsid w:val="003731E1"/>
    <w:rsid w:val="00373313"/>
    <w:rsid w:val="003734FF"/>
    <w:rsid w:val="003736ED"/>
    <w:rsid w:val="0037370F"/>
    <w:rsid w:val="00373711"/>
    <w:rsid w:val="00373828"/>
    <w:rsid w:val="0037388B"/>
    <w:rsid w:val="00373D8A"/>
    <w:rsid w:val="003743C8"/>
    <w:rsid w:val="003743DC"/>
    <w:rsid w:val="0037443A"/>
    <w:rsid w:val="003746EE"/>
    <w:rsid w:val="003746FA"/>
    <w:rsid w:val="00374C03"/>
    <w:rsid w:val="00374C19"/>
    <w:rsid w:val="00375087"/>
    <w:rsid w:val="00375373"/>
    <w:rsid w:val="00375583"/>
    <w:rsid w:val="00375629"/>
    <w:rsid w:val="003756A7"/>
    <w:rsid w:val="003756B7"/>
    <w:rsid w:val="003756B9"/>
    <w:rsid w:val="00375BAA"/>
    <w:rsid w:val="00375BFA"/>
    <w:rsid w:val="003765B5"/>
    <w:rsid w:val="00376813"/>
    <w:rsid w:val="003768D0"/>
    <w:rsid w:val="00376CB7"/>
    <w:rsid w:val="00376CE7"/>
    <w:rsid w:val="00377156"/>
    <w:rsid w:val="00377214"/>
    <w:rsid w:val="00377259"/>
    <w:rsid w:val="00377389"/>
    <w:rsid w:val="00377442"/>
    <w:rsid w:val="003777DC"/>
    <w:rsid w:val="00377C0A"/>
    <w:rsid w:val="00377E0E"/>
    <w:rsid w:val="00377E3E"/>
    <w:rsid w:val="00377F1B"/>
    <w:rsid w:val="003800B9"/>
    <w:rsid w:val="00380146"/>
    <w:rsid w:val="00380265"/>
    <w:rsid w:val="003802A8"/>
    <w:rsid w:val="00380301"/>
    <w:rsid w:val="003805C1"/>
    <w:rsid w:val="00380615"/>
    <w:rsid w:val="00380620"/>
    <w:rsid w:val="00380866"/>
    <w:rsid w:val="003808FD"/>
    <w:rsid w:val="00380DCF"/>
    <w:rsid w:val="00380F53"/>
    <w:rsid w:val="00381381"/>
    <w:rsid w:val="00381393"/>
    <w:rsid w:val="003816C2"/>
    <w:rsid w:val="00381B2B"/>
    <w:rsid w:val="00381BB7"/>
    <w:rsid w:val="00381E23"/>
    <w:rsid w:val="00381F0A"/>
    <w:rsid w:val="0038221B"/>
    <w:rsid w:val="00382235"/>
    <w:rsid w:val="00382652"/>
    <w:rsid w:val="003827CE"/>
    <w:rsid w:val="003827DA"/>
    <w:rsid w:val="0038287E"/>
    <w:rsid w:val="00382EF9"/>
    <w:rsid w:val="00382F18"/>
    <w:rsid w:val="0038306F"/>
    <w:rsid w:val="003835AF"/>
    <w:rsid w:val="00383A34"/>
    <w:rsid w:val="00383A92"/>
    <w:rsid w:val="00383B60"/>
    <w:rsid w:val="00383C34"/>
    <w:rsid w:val="00383CD1"/>
    <w:rsid w:val="00383E1C"/>
    <w:rsid w:val="00384085"/>
    <w:rsid w:val="003840D3"/>
    <w:rsid w:val="003844F6"/>
    <w:rsid w:val="00384FC5"/>
    <w:rsid w:val="003851C2"/>
    <w:rsid w:val="0038540A"/>
    <w:rsid w:val="00385790"/>
    <w:rsid w:val="00385889"/>
    <w:rsid w:val="00385CF6"/>
    <w:rsid w:val="00385DBE"/>
    <w:rsid w:val="00385DD1"/>
    <w:rsid w:val="0038665C"/>
    <w:rsid w:val="003868DD"/>
    <w:rsid w:val="00386967"/>
    <w:rsid w:val="00386CB4"/>
    <w:rsid w:val="00386CDF"/>
    <w:rsid w:val="00386CF8"/>
    <w:rsid w:val="00387290"/>
    <w:rsid w:val="003874E1"/>
    <w:rsid w:val="00387721"/>
    <w:rsid w:val="003878C0"/>
    <w:rsid w:val="003878CC"/>
    <w:rsid w:val="00387C65"/>
    <w:rsid w:val="00387D2B"/>
    <w:rsid w:val="00387FCD"/>
    <w:rsid w:val="00390179"/>
    <w:rsid w:val="0039026F"/>
    <w:rsid w:val="003903A5"/>
    <w:rsid w:val="00390536"/>
    <w:rsid w:val="0039060A"/>
    <w:rsid w:val="00390610"/>
    <w:rsid w:val="00390B68"/>
    <w:rsid w:val="00390E40"/>
    <w:rsid w:val="003911A4"/>
    <w:rsid w:val="003914D2"/>
    <w:rsid w:val="003915A3"/>
    <w:rsid w:val="003915E8"/>
    <w:rsid w:val="003915FB"/>
    <w:rsid w:val="00391713"/>
    <w:rsid w:val="00391765"/>
    <w:rsid w:val="003917D0"/>
    <w:rsid w:val="00391821"/>
    <w:rsid w:val="00391CDE"/>
    <w:rsid w:val="00391DE2"/>
    <w:rsid w:val="00392093"/>
    <w:rsid w:val="0039217E"/>
    <w:rsid w:val="003923BA"/>
    <w:rsid w:val="0039241F"/>
    <w:rsid w:val="0039244F"/>
    <w:rsid w:val="00392517"/>
    <w:rsid w:val="00392AAF"/>
    <w:rsid w:val="00392ABC"/>
    <w:rsid w:val="00392C0D"/>
    <w:rsid w:val="00392C77"/>
    <w:rsid w:val="00392D29"/>
    <w:rsid w:val="00392D7F"/>
    <w:rsid w:val="003931B2"/>
    <w:rsid w:val="00393263"/>
    <w:rsid w:val="0039329B"/>
    <w:rsid w:val="003932B8"/>
    <w:rsid w:val="003937F1"/>
    <w:rsid w:val="00393ED2"/>
    <w:rsid w:val="00394069"/>
    <w:rsid w:val="003940A6"/>
    <w:rsid w:val="003942BE"/>
    <w:rsid w:val="00394485"/>
    <w:rsid w:val="003944B5"/>
    <w:rsid w:val="003948CD"/>
    <w:rsid w:val="00394A8A"/>
    <w:rsid w:val="00394B2F"/>
    <w:rsid w:val="00394B35"/>
    <w:rsid w:val="00394D45"/>
    <w:rsid w:val="00394E0C"/>
    <w:rsid w:val="00394F8E"/>
    <w:rsid w:val="00394F9A"/>
    <w:rsid w:val="0039506C"/>
    <w:rsid w:val="003951C4"/>
    <w:rsid w:val="003956DC"/>
    <w:rsid w:val="003956FB"/>
    <w:rsid w:val="00395736"/>
    <w:rsid w:val="003957B5"/>
    <w:rsid w:val="003959A7"/>
    <w:rsid w:val="00395C73"/>
    <w:rsid w:val="00396158"/>
    <w:rsid w:val="00396170"/>
    <w:rsid w:val="00396172"/>
    <w:rsid w:val="00396358"/>
    <w:rsid w:val="00396751"/>
    <w:rsid w:val="003969C2"/>
    <w:rsid w:val="00396AC6"/>
    <w:rsid w:val="00396B31"/>
    <w:rsid w:val="00397088"/>
    <w:rsid w:val="003975D4"/>
    <w:rsid w:val="003976C7"/>
    <w:rsid w:val="00397917"/>
    <w:rsid w:val="00397BB2"/>
    <w:rsid w:val="00397F6E"/>
    <w:rsid w:val="003A0030"/>
    <w:rsid w:val="003A041F"/>
    <w:rsid w:val="003A0426"/>
    <w:rsid w:val="003A043C"/>
    <w:rsid w:val="003A04B3"/>
    <w:rsid w:val="003A0609"/>
    <w:rsid w:val="003A06C2"/>
    <w:rsid w:val="003A08A1"/>
    <w:rsid w:val="003A0AF5"/>
    <w:rsid w:val="003A0D12"/>
    <w:rsid w:val="003A0D5E"/>
    <w:rsid w:val="003A0EF0"/>
    <w:rsid w:val="003A11A0"/>
    <w:rsid w:val="003A1239"/>
    <w:rsid w:val="003A14D7"/>
    <w:rsid w:val="003A1624"/>
    <w:rsid w:val="003A1979"/>
    <w:rsid w:val="003A1DFC"/>
    <w:rsid w:val="003A1E4D"/>
    <w:rsid w:val="003A1EA5"/>
    <w:rsid w:val="003A1F5D"/>
    <w:rsid w:val="003A1F91"/>
    <w:rsid w:val="003A1FB8"/>
    <w:rsid w:val="003A2105"/>
    <w:rsid w:val="003A21D9"/>
    <w:rsid w:val="003A24FA"/>
    <w:rsid w:val="003A277D"/>
    <w:rsid w:val="003A28DA"/>
    <w:rsid w:val="003A2C04"/>
    <w:rsid w:val="003A2C2D"/>
    <w:rsid w:val="003A2D8E"/>
    <w:rsid w:val="003A2ECD"/>
    <w:rsid w:val="003A305C"/>
    <w:rsid w:val="003A336E"/>
    <w:rsid w:val="003A3371"/>
    <w:rsid w:val="003A342C"/>
    <w:rsid w:val="003A36C5"/>
    <w:rsid w:val="003A36CE"/>
    <w:rsid w:val="003A378C"/>
    <w:rsid w:val="003A3928"/>
    <w:rsid w:val="003A3A5A"/>
    <w:rsid w:val="003A40D4"/>
    <w:rsid w:val="003A40DE"/>
    <w:rsid w:val="003A439A"/>
    <w:rsid w:val="003A4483"/>
    <w:rsid w:val="003A4BBB"/>
    <w:rsid w:val="003A4F3A"/>
    <w:rsid w:val="003A5623"/>
    <w:rsid w:val="003A57D8"/>
    <w:rsid w:val="003A5FE7"/>
    <w:rsid w:val="003A60E9"/>
    <w:rsid w:val="003A61E8"/>
    <w:rsid w:val="003A6509"/>
    <w:rsid w:val="003A6857"/>
    <w:rsid w:val="003A68FA"/>
    <w:rsid w:val="003A6BCB"/>
    <w:rsid w:val="003A6F51"/>
    <w:rsid w:val="003A7040"/>
    <w:rsid w:val="003A707D"/>
    <w:rsid w:val="003A71BE"/>
    <w:rsid w:val="003A71E7"/>
    <w:rsid w:val="003A734C"/>
    <w:rsid w:val="003A755D"/>
    <w:rsid w:val="003A77C9"/>
    <w:rsid w:val="003A7CE6"/>
    <w:rsid w:val="003A7D66"/>
    <w:rsid w:val="003A7E90"/>
    <w:rsid w:val="003B013C"/>
    <w:rsid w:val="003B0267"/>
    <w:rsid w:val="003B037C"/>
    <w:rsid w:val="003B0498"/>
    <w:rsid w:val="003B04AA"/>
    <w:rsid w:val="003B0536"/>
    <w:rsid w:val="003B0A42"/>
    <w:rsid w:val="003B0C13"/>
    <w:rsid w:val="003B0E2C"/>
    <w:rsid w:val="003B0EC2"/>
    <w:rsid w:val="003B129D"/>
    <w:rsid w:val="003B13B0"/>
    <w:rsid w:val="003B13D4"/>
    <w:rsid w:val="003B1498"/>
    <w:rsid w:val="003B1578"/>
    <w:rsid w:val="003B179C"/>
    <w:rsid w:val="003B17BE"/>
    <w:rsid w:val="003B18B1"/>
    <w:rsid w:val="003B1AD7"/>
    <w:rsid w:val="003B1BA1"/>
    <w:rsid w:val="003B1BDA"/>
    <w:rsid w:val="003B1E33"/>
    <w:rsid w:val="003B2088"/>
    <w:rsid w:val="003B21F0"/>
    <w:rsid w:val="003B2323"/>
    <w:rsid w:val="003B2441"/>
    <w:rsid w:val="003B24E5"/>
    <w:rsid w:val="003B266D"/>
    <w:rsid w:val="003B2730"/>
    <w:rsid w:val="003B284C"/>
    <w:rsid w:val="003B2BC6"/>
    <w:rsid w:val="003B2C51"/>
    <w:rsid w:val="003B2C89"/>
    <w:rsid w:val="003B2F91"/>
    <w:rsid w:val="003B30CA"/>
    <w:rsid w:val="003B325C"/>
    <w:rsid w:val="003B3333"/>
    <w:rsid w:val="003B36A7"/>
    <w:rsid w:val="003B3771"/>
    <w:rsid w:val="003B3898"/>
    <w:rsid w:val="003B3901"/>
    <w:rsid w:val="003B3A1E"/>
    <w:rsid w:val="003B3D82"/>
    <w:rsid w:val="003B3DF1"/>
    <w:rsid w:val="003B4009"/>
    <w:rsid w:val="003B4862"/>
    <w:rsid w:val="003B4D28"/>
    <w:rsid w:val="003B4DEE"/>
    <w:rsid w:val="003B513F"/>
    <w:rsid w:val="003B5301"/>
    <w:rsid w:val="003B534A"/>
    <w:rsid w:val="003B539A"/>
    <w:rsid w:val="003B539C"/>
    <w:rsid w:val="003B567E"/>
    <w:rsid w:val="003B58A5"/>
    <w:rsid w:val="003B58EA"/>
    <w:rsid w:val="003B5AA4"/>
    <w:rsid w:val="003B5B00"/>
    <w:rsid w:val="003B5E16"/>
    <w:rsid w:val="003B5E9A"/>
    <w:rsid w:val="003B6034"/>
    <w:rsid w:val="003B6CFD"/>
    <w:rsid w:val="003B7F72"/>
    <w:rsid w:val="003C008B"/>
    <w:rsid w:val="003C009E"/>
    <w:rsid w:val="003C0135"/>
    <w:rsid w:val="003C0386"/>
    <w:rsid w:val="003C04A4"/>
    <w:rsid w:val="003C097A"/>
    <w:rsid w:val="003C0D83"/>
    <w:rsid w:val="003C0E93"/>
    <w:rsid w:val="003C0F47"/>
    <w:rsid w:val="003C0F80"/>
    <w:rsid w:val="003C10F6"/>
    <w:rsid w:val="003C1112"/>
    <w:rsid w:val="003C12FF"/>
    <w:rsid w:val="003C1348"/>
    <w:rsid w:val="003C13AB"/>
    <w:rsid w:val="003C1610"/>
    <w:rsid w:val="003C1AE1"/>
    <w:rsid w:val="003C1BD8"/>
    <w:rsid w:val="003C1C00"/>
    <w:rsid w:val="003C1C1E"/>
    <w:rsid w:val="003C1C28"/>
    <w:rsid w:val="003C1D84"/>
    <w:rsid w:val="003C1DE8"/>
    <w:rsid w:val="003C225E"/>
    <w:rsid w:val="003C2539"/>
    <w:rsid w:val="003C2619"/>
    <w:rsid w:val="003C3269"/>
    <w:rsid w:val="003C32B8"/>
    <w:rsid w:val="003C3301"/>
    <w:rsid w:val="003C350E"/>
    <w:rsid w:val="003C35CB"/>
    <w:rsid w:val="003C3791"/>
    <w:rsid w:val="003C38B4"/>
    <w:rsid w:val="003C3906"/>
    <w:rsid w:val="003C3909"/>
    <w:rsid w:val="003C42A6"/>
    <w:rsid w:val="003C430D"/>
    <w:rsid w:val="003C4781"/>
    <w:rsid w:val="003C4B0D"/>
    <w:rsid w:val="003C4D8B"/>
    <w:rsid w:val="003C4DE7"/>
    <w:rsid w:val="003C4DEA"/>
    <w:rsid w:val="003C4FCE"/>
    <w:rsid w:val="003C50D6"/>
    <w:rsid w:val="003C5143"/>
    <w:rsid w:val="003C521E"/>
    <w:rsid w:val="003C52FE"/>
    <w:rsid w:val="003C546D"/>
    <w:rsid w:val="003C5524"/>
    <w:rsid w:val="003C5646"/>
    <w:rsid w:val="003C5720"/>
    <w:rsid w:val="003C58F6"/>
    <w:rsid w:val="003C5931"/>
    <w:rsid w:val="003C5B89"/>
    <w:rsid w:val="003C5D85"/>
    <w:rsid w:val="003C607A"/>
    <w:rsid w:val="003C632E"/>
    <w:rsid w:val="003C633F"/>
    <w:rsid w:val="003C6610"/>
    <w:rsid w:val="003C67D3"/>
    <w:rsid w:val="003C68B3"/>
    <w:rsid w:val="003C6C89"/>
    <w:rsid w:val="003C6D4F"/>
    <w:rsid w:val="003C6E11"/>
    <w:rsid w:val="003C70F0"/>
    <w:rsid w:val="003C795D"/>
    <w:rsid w:val="003C7D5D"/>
    <w:rsid w:val="003C7D9A"/>
    <w:rsid w:val="003C7DEF"/>
    <w:rsid w:val="003D00A1"/>
    <w:rsid w:val="003D034A"/>
    <w:rsid w:val="003D04EE"/>
    <w:rsid w:val="003D05BE"/>
    <w:rsid w:val="003D066E"/>
    <w:rsid w:val="003D08BE"/>
    <w:rsid w:val="003D0AAA"/>
    <w:rsid w:val="003D0BAA"/>
    <w:rsid w:val="003D0C37"/>
    <w:rsid w:val="003D0ED2"/>
    <w:rsid w:val="003D0FA9"/>
    <w:rsid w:val="003D1404"/>
    <w:rsid w:val="003D1701"/>
    <w:rsid w:val="003D18AF"/>
    <w:rsid w:val="003D1956"/>
    <w:rsid w:val="003D1A66"/>
    <w:rsid w:val="003D1D39"/>
    <w:rsid w:val="003D1D97"/>
    <w:rsid w:val="003D261F"/>
    <w:rsid w:val="003D27C4"/>
    <w:rsid w:val="003D2AB9"/>
    <w:rsid w:val="003D2E09"/>
    <w:rsid w:val="003D2FB8"/>
    <w:rsid w:val="003D3040"/>
    <w:rsid w:val="003D3442"/>
    <w:rsid w:val="003D35EE"/>
    <w:rsid w:val="003D36E8"/>
    <w:rsid w:val="003D3702"/>
    <w:rsid w:val="003D3CB4"/>
    <w:rsid w:val="003D4062"/>
    <w:rsid w:val="003D40C3"/>
    <w:rsid w:val="003D4604"/>
    <w:rsid w:val="003D46F4"/>
    <w:rsid w:val="003D4AD7"/>
    <w:rsid w:val="003D4E1C"/>
    <w:rsid w:val="003D4E57"/>
    <w:rsid w:val="003D4F5C"/>
    <w:rsid w:val="003D52D9"/>
    <w:rsid w:val="003D56F7"/>
    <w:rsid w:val="003D570E"/>
    <w:rsid w:val="003D5C72"/>
    <w:rsid w:val="003D5D11"/>
    <w:rsid w:val="003D5D7A"/>
    <w:rsid w:val="003D6306"/>
    <w:rsid w:val="003D659D"/>
    <w:rsid w:val="003D66F7"/>
    <w:rsid w:val="003D6AB3"/>
    <w:rsid w:val="003D6AC3"/>
    <w:rsid w:val="003D6E07"/>
    <w:rsid w:val="003D702A"/>
    <w:rsid w:val="003D70CE"/>
    <w:rsid w:val="003D72FC"/>
    <w:rsid w:val="003D746B"/>
    <w:rsid w:val="003D76E4"/>
    <w:rsid w:val="003D79BD"/>
    <w:rsid w:val="003E02FB"/>
    <w:rsid w:val="003E0359"/>
    <w:rsid w:val="003E0733"/>
    <w:rsid w:val="003E07C5"/>
    <w:rsid w:val="003E0818"/>
    <w:rsid w:val="003E0A56"/>
    <w:rsid w:val="003E0F63"/>
    <w:rsid w:val="003E101B"/>
    <w:rsid w:val="003E158D"/>
    <w:rsid w:val="003E15A2"/>
    <w:rsid w:val="003E162D"/>
    <w:rsid w:val="003E16EF"/>
    <w:rsid w:val="003E1E65"/>
    <w:rsid w:val="003E1FD0"/>
    <w:rsid w:val="003E229D"/>
    <w:rsid w:val="003E25C2"/>
    <w:rsid w:val="003E279E"/>
    <w:rsid w:val="003E2889"/>
    <w:rsid w:val="003E2B52"/>
    <w:rsid w:val="003E2F7E"/>
    <w:rsid w:val="003E2F95"/>
    <w:rsid w:val="003E3311"/>
    <w:rsid w:val="003E33C0"/>
    <w:rsid w:val="003E3717"/>
    <w:rsid w:val="003E3D5C"/>
    <w:rsid w:val="003E3D7E"/>
    <w:rsid w:val="003E40D8"/>
    <w:rsid w:val="003E422D"/>
    <w:rsid w:val="003E42A0"/>
    <w:rsid w:val="003E4B06"/>
    <w:rsid w:val="003E4D60"/>
    <w:rsid w:val="003E4FE6"/>
    <w:rsid w:val="003E506D"/>
    <w:rsid w:val="003E5082"/>
    <w:rsid w:val="003E508D"/>
    <w:rsid w:val="003E50BE"/>
    <w:rsid w:val="003E54CB"/>
    <w:rsid w:val="003E5612"/>
    <w:rsid w:val="003E5647"/>
    <w:rsid w:val="003E57EA"/>
    <w:rsid w:val="003E592F"/>
    <w:rsid w:val="003E5A2B"/>
    <w:rsid w:val="003E5A5D"/>
    <w:rsid w:val="003E5B0E"/>
    <w:rsid w:val="003E5DD0"/>
    <w:rsid w:val="003E5EBF"/>
    <w:rsid w:val="003E5EDB"/>
    <w:rsid w:val="003E601E"/>
    <w:rsid w:val="003E6311"/>
    <w:rsid w:val="003E647F"/>
    <w:rsid w:val="003E7510"/>
    <w:rsid w:val="003E773F"/>
    <w:rsid w:val="003E77B0"/>
    <w:rsid w:val="003E7AB3"/>
    <w:rsid w:val="003E7C6D"/>
    <w:rsid w:val="003E7F5E"/>
    <w:rsid w:val="003F0337"/>
    <w:rsid w:val="003F0377"/>
    <w:rsid w:val="003F0456"/>
    <w:rsid w:val="003F0F2C"/>
    <w:rsid w:val="003F12B1"/>
    <w:rsid w:val="003F14A3"/>
    <w:rsid w:val="003F17E1"/>
    <w:rsid w:val="003F1B9C"/>
    <w:rsid w:val="003F1F05"/>
    <w:rsid w:val="003F21EA"/>
    <w:rsid w:val="003F22C5"/>
    <w:rsid w:val="003F2458"/>
    <w:rsid w:val="003F245A"/>
    <w:rsid w:val="003F255F"/>
    <w:rsid w:val="003F26CF"/>
    <w:rsid w:val="003F2B44"/>
    <w:rsid w:val="003F2F4F"/>
    <w:rsid w:val="003F2FA5"/>
    <w:rsid w:val="003F3479"/>
    <w:rsid w:val="003F3B42"/>
    <w:rsid w:val="003F3BC0"/>
    <w:rsid w:val="003F40F2"/>
    <w:rsid w:val="003F43C9"/>
    <w:rsid w:val="003F45B6"/>
    <w:rsid w:val="003F46CC"/>
    <w:rsid w:val="003F47E9"/>
    <w:rsid w:val="003F497B"/>
    <w:rsid w:val="003F4D23"/>
    <w:rsid w:val="003F4DE6"/>
    <w:rsid w:val="003F515E"/>
    <w:rsid w:val="003F5444"/>
    <w:rsid w:val="003F5471"/>
    <w:rsid w:val="003F5558"/>
    <w:rsid w:val="003F588A"/>
    <w:rsid w:val="003F5A43"/>
    <w:rsid w:val="003F5CDE"/>
    <w:rsid w:val="003F5CF1"/>
    <w:rsid w:val="003F5E05"/>
    <w:rsid w:val="003F5E6F"/>
    <w:rsid w:val="003F6059"/>
    <w:rsid w:val="003F608E"/>
    <w:rsid w:val="003F6216"/>
    <w:rsid w:val="003F6217"/>
    <w:rsid w:val="003F6395"/>
    <w:rsid w:val="003F6440"/>
    <w:rsid w:val="003F6524"/>
    <w:rsid w:val="003F6589"/>
    <w:rsid w:val="003F65DE"/>
    <w:rsid w:val="003F6681"/>
    <w:rsid w:val="003F66B4"/>
    <w:rsid w:val="003F671D"/>
    <w:rsid w:val="003F6920"/>
    <w:rsid w:val="003F69D1"/>
    <w:rsid w:val="003F6CE4"/>
    <w:rsid w:val="003F6DDB"/>
    <w:rsid w:val="003F6DE3"/>
    <w:rsid w:val="003F6F06"/>
    <w:rsid w:val="003F7200"/>
    <w:rsid w:val="003F7385"/>
    <w:rsid w:val="003F73BA"/>
    <w:rsid w:val="003F76ED"/>
    <w:rsid w:val="003F7895"/>
    <w:rsid w:val="003F7927"/>
    <w:rsid w:val="003F7B1F"/>
    <w:rsid w:val="003F7D52"/>
    <w:rsid w:val="003F7D74"/>
    <w:rsid w:val="003F7F8F"/>
    <w:rsid w:val="004002BF"/>
    <w:rsid w:val="004005A6"/>
    <w:rsid w:val="00400687"/>
    <w:rsid w:val="00400A13"/>
    <w:rsid w:val="00400F88"/>
    <w:rsid w:val="004015A3"/>
    <w:rsid w:val="00401692"/>
    <w:rsid w:val="0040181A"/>
    <w:rsid w:val="00401879"/>
    <w:rsid w:val="00401A44"/>
    <w:rsid w:val="00401CF4"/>
    <w:rsid w:val="00401F50"/>
    <w:rsid w:val="0040212F"/>
    <w:rsid w:val="0040233E"/>
    <w:rsid w:val="00402688"/>
    <w:rsid w:val="004027EF"/>
    <w:rsid w:val="004028F1"/>
    <w:rsid w:val="00402E33"/>
    <w:rsid w:val="00402F98"/>
    <w:rsid w:val="00403028"/>
    <w:rsid w:val="0040313D"/>
    <w:rsid w:val="004032F7"/>
    <w:rsid w:val="00403CFF"/>
    <w:rsid w:val="00403D87"/>
    <w:rsid w:val="00403DEE"/>
    <w:rsid w:val="00403EF4"/>
    <w:rsid w:val="0040400B"/>
    <w:rsid w:val="004040C3"/>
    <w:rsid w:val="004040DA"/>
    <w:rsid w:val="00404155"/>
    <w:rsid w:val="0040416B"/>
    <w:rsid w:val="00404293"/>
    <w:rsid w:val="00404479"/>
    <w:rsid w:val="0040484E"/>
    <w:rsid w:val="00404B25"/>
    <w:rsid w:val="00404C64"/>
    <w:rsid w:val="00404DC5"/>
    <w:rsid w:val="00404F30"/>
    <w:rsid w:val="0040519D"/>
    <w:rsid w:val="00405495"/>
    <w:rsid w:val="0040559C"/>
    <w:rsid w:val="00405650"/>
    <w:rsid w:val="0040583F"/>
    <w:rsid w:val="00405C4D"/>
    <w:rsid w:val="00405DFC"/>
    <w:rsid w:val="00405E9D"/>
    <w:rsid w:val="00405F79"/>
    <w:rsid w:val="004061BB"/>
    <w:rsid w:val="00406366"/>
    <w:rsid w:val="0040647F"/>
    <w:rsid w:val="00406812"/>
    <w:rsid w:val="00406890"/>
    <w:rsid w:val="00406BA4"/>
    <w:rsid w:val="00406D60"/>
    <w:rsid w:val="00407061"/>
    <w:rsid w:val="004071C5"/>
    <w:rsid w:val="0040723B"/>
    <w:rsid w:val="00407925"/>
    <w:rsid w:val="00407BA5"/>
    <w:rsid w:val="00407EC5"/>
    <w:rsid w:val="00410028"/>
    <w:rsid w:val="004101A7"/>
    <w:rsid w:val="004101CF"/>
    <w:rsid w:val="0041037F"/>
    <w:rsid w:val="00410890"/>
    <w:rsid w:val="00410ACA"/>
    <w:rsid w:val="00410AEA"/>
    <w:rsid w:val="00410D18"/>
    <w:rsid w:val="0041119E"/>
    <w:rsid w:val="00411491"/>
    <w:rsid w:val="004114A6"/>
    <w:rsid w:val="004114D9"/>
    <w:rsid w:val="0041177B"/>
    <w:rsid w:val="00411A78"/>
    <w:rsid w:val="00411B05"/>
    <w:rsid w:val="00411D66"/>
    <w:rsid w:val="0041205D"/>
    <w:rsid w:val="0041211C"/>
    <w:rsid w:val="00412292"/>
    <w:rsid w:val="004122E4"/>
    <w:rsid w:val="00412347"/>
    <w:rsid w:val="00412809"/>
    <w:rsid w:val="00412845"/>
    <w:rsid w:val="004128D0"/>
    <w:rsid w:val="00412A28"/>
    <w:rsid w:val="00412D22"/>
    <w:rsid w:val="00412D78"/>
    <w:rsid w:val="00412DBA"/>
    <w:rsid w:val="00412E58"/>
    <w:rsid w:val="004130DF"/>
    <w:rsid w:val="00413131"/>
    <w:rsid w:val="0041336B"/>
    <w:rsid w:val="00413635"/>
    <w:rsid w:val="0041384A"/>
    <w:rsid w:val="00413865"/>
    <w:rsid w:val="00413938"/>
    <w:rsid w:val="00413A06"/>
    <w:rsid w:val="00413CA4"/>
    <w:rsid w:val="00413D37"/>
    <w:rsid w:val="00413E24"/>
    <w:rsid w:val="0041411D"/>
    <w:rsid w:val="00414129"/>
    <w:rsid w:val="0041426B"/>
    <w:rsid w:val="00414356"/>
    <w:rsid w:val="00414512"/>
    <w:rsid w:val="004147BD"/>
    <w:rsid w:val="00414B89"/>
    <w:rsid w:val="00414BF2"/>
    <w:rsid w:val="00414E22"/>
    <w:rsid w:val="00414E68"/>
    <w:rsid w:val="00414ECE"/>
    <w:rsid w:val="00414EFF"/>
    <w:rsid w:val="00414F67"/>
    <w:rsid w:val="00414FE6"/>
    <w:rsid w:val="00415B41"/>
    <w:rsid w:val="00415CBD"/>
    <w:rsid w:val="00415CDB"/>
    <w:rsid w:val="00415D37"/>
    <w:rsid w:val="00415D78"/>
    <w:rsid w:val="00416050"/>
    <w:rsid w:val="004160E4"/>
    <w:rsid w:val="00416180"/>
    <w:rsid w:val="00416281"/>
    <w:rsid w:val="004162B0"/>
    <w:rsid w:val="00416574"/>
    <w:rsid w:val="00416598"/>
    <w:rsid w:val="00416610"/>
    <w:rsid w:val="0041698E"/>
    <w:rsid w:val="00416A1D"/>
    <w:rsid w:val="00416BAC"/>
    <w:rsid w:val="00416EDD"/>
    <w:rsid w:val="004171EA"/>
    <w:rsid w:val="004172A0"/>
    <w:rsid w:val="004172BF"/>
    <w:rsid w:val="0041739D"/>
    <w:rsid w:val="004173BE"/>
    <w:rsid w:val="00417672"/>
    <w:rsid w:val="004176F4"/>
    <w:rsid w:val="004178B4"/>
    <w:rsid w:val="00417AE9"/>
    <w:rsid w:val="00417D32"/>
    <w:rsid w:val="00417EF2"/>
    <w:rsid w:val="00417F5D"/>
    <w:rsid w:val="00417F7C"/>
    <w:rsid w:val="00417FB6"/>
    <w:rsid w:val="00420D1C"/>
    <w:rsid w:val="00420F91"/>
    <w:rsid w:val="00420FBA"/>
    <w:rsid w:val="0042107C"/>
    <w:rsid w:val="00421427"/>
    <w:rsid w:val="00421539"/>
    <w:rsid w:val="004216CB"/>
    <w:rsid w:val="00421ABB"/>
    <w:rsid w:val="00421C69"/>
    <w:rsid w:val="00422191"/>
    <w:rsid w:val="00422431"/>
    <w:rsid w:val="004226AF"/>
    <w:rsid w:val="00422A0F"/>
    <w:rsid w:val="00422DCB"/>
    <w:rsid w:val="00423015"/>
    <w:rsid w:val="00423047"/>
    <w:rsid w:val="0042315F"/>
    <w:rsid w:val="00423339"/>
    <w:rsid w:val="00423401"/>
    <w:rsid w:val="00423445"/>
    <w:rsid w:val="0042346C"/>
    <w:rsid w:val="0042389E"/>
    <w:rsid w:val="004238BC"/>
    <w:rsid w:val="004238BD"/>
    <w:rsid w:val="00423BCD"/>
    <w:rsid w:val="00423D23"/>
    <w:rsid w:val="00423D28"/>
    <w:rsid w:val="004244B1"/>
    <w:rsid w:val="00424C35"/>
    <w:rsid w:val="00424DF3"/>
    <w:rsid w:val="00424E5D"/>
    <w:rsid w:val="0042510A"/>
    <w:rsid w:val="004254C2"/>
    <w:rsid w:val="0042550B"/>
    <w:rsid w:val="00425728"/>
    <w:rsid w:val="004258F7"/>
    <w:rsid w:val="004259DB"/>
    <w:rsid w:val="00425B9D"/>
    <w:rsid w:val="00425D91"/>
    <w:rsid w:val="00426082"/>
    <w:rsid w:val="00426193"/>
    <w:rsid w:val="0042656D"/>
    <w:rsid w:val="00426770"/>
    <w:rsid w:val="00426842"/>
    <w:rsid w:val="00426AA4"/>
    <w:rsid w:val="00426C34"/>
    <w:rsid w:val="00427046"/>
    <w:rsid w:val="0042725E"/>
    <w:rsid w:val="004272B5"/>
    <w:rsid w:val="00427481"/>
    <w:rsid w:val="00427516"/>
    <w:rsid w:val="00427666"/>
    <w:rsid w:val="00427A64"/>
    <w:rsid w:val="00427BF4"/>
    <w:rsid w:val="00427E09"/>
    <w:rsid w:val="00427E19"/>
    <w:rsid w:val="00427E64"/>
    <w:rsid w:val="00427EA5"/>
    <w:rsid w:val="00430033"/>
    <w:rsid w:val="004300CD"/>
    <w:rsid w:val="004300EB"/>
    <w:rsid w:val="004301DA"/>
    <w:rsid w:val="00430242"/>
    <w:rsid w:val="00430370"/>
    <w:rsid w:val="0043043D"/>
    <w:rsid w:val="004304D9"/>
    <w:rsid w:val="00430632"/>
    <w:rsid w:val="004313F3"/>
    <w:rsid w:val="004314B7"/>
    <w:rsid w:val="004314E1"/>
    <w:rsid w:val="0043163C"/>
    <w:rsid w:val="00431793"/>
    <w:rsid w:val="00431820"/>
    <w:rsid w:val="00431886"/>
    <w:rsid w:val="004318BC"/>
    <w:rsid w:val="0043193E"/>
    <w:rsid w:val="0043198A"/>
    <w:rsid w:val="00431AE0"/>
    <w:rsid w:val="00431DE1"/>
    <w:rsid w:val="004323BA"/>
    <w:rsid w:val="004325DF"/>
    <w:rsid w:val="004326B8"/>
    <w:rsid w:val="00432C41"/>
    <w:rsid w:val="00432F99"/>
    <w:rsid w:val="004330F9"/>
    <w:rsid w:val="004332B1"/>
    <w:rsid w:val="0043371B"/>
    <w:rsid w:val="00433745"/>
    <w:rsid w:val="00433A1D"/>
    <w:rsid w:val="00433F59"/>
    <w:rsid w:val="00433FA8"/>
    <w:rsid w:val="00434376"/>
    <w:rsid w:val="004343FA"/>
    <w:rsid w:val="00434640"/>
    <w:rsid w:val="00434641"/>
    <w:rsid w:val="0043469D"/>
    <w:rsid w:val="00434BF3"/>
    <w:rsid w:val="00434E32"/>
    <w:rsid w:val="00434EED"/>
    <w:rsid w:val="0043505F"/>
    <w:rsid w:val="004350A4"/>
    <w:rsid w:val="004350EC"/>
    <w:rsid w:val="0043552F"/>
    <w:rsid w:val="00435857"/>
    <w:rsid w:val="00435912"/>
    <w:rsid w:val="00435A48"/>
    <w:rsid w:val="00435C94"/>
    <w:rsid w:val="00435C9F"/>
    <w:rsid w:val="00435E60"/>
    <w:rsid w:val="00436513"/>
    <w:rsid w:val="00436633"/>
    <w:rsid w:val="00436A4C"/>
    <w:rsid w:val="00436B8A"/>
    <w:rsid w:val="00436ED9"/>
    <w:rsid w:val="00437026"/>
    <w:rsid w:val="00437163"/>
    <w:rsid w:val="00437309"/>
    <w:rsid w:val="0043754B"/>
    <w:rsid w:val="00437667"/>
    <w:rsid w:val="00437776"/>
    <w:rsid w:val="00437833"/>
    <w:rsid w:val="00437C31"/>
    <w:rsid w:val="004402E0"/>
    <w:rsid w:val="004403C6"/>
    <w:rsid w:val="00440525"/>
    <w:rsid w:val="004406D6"/>
    <w:rsid w:val="004407B3"/>
    <w:rsid w:val="004407DC"/>
    <w:rsid w:val="004407DD"/>
    <w:rsid w:val="00440838"/>
    <w:rsid w:val="004409CC"/>
    <w:rsid w:val="00440A60"/>
    <w:rsid w:val="00440A7D"/>
    <w:rsid w:val="00440B77"/>
    <w:rsid w:val="00440DC5"/>
    <w:rsid w:val="00440ED3"/>
    <w:rsid w:val="00440ED7"/>
    <w:rsid w:val="00440F13"/>
    <w:rsid w:val="00440F56"/>
    <w:rsid w:val="00440F91"/>
    <w:rsid w:val="00440F9D"/>
    <w:rsid w:val="00441073"/>
    <w:rsid w:val="0044124F"/>
    <w:rsid w:val="00441316"/>
    <w:rsid w:val="00441589"/>
    <w:rsid w:val="00441AEA"/>
    <w:rsid w:val="00441B52"/>
    <w:rsid w:val="004420A2"/>
    <w:rsid w:val="00442274"/>
    <w:rsid w:val="004422B3"/>
    <w:rsid w:val="00442489"/>
    <w:rsid w:val="004427E9"/>
    <w:rsid w:val="004427F6"/>
    <w:rsid w:val="00442838"/>
    <w:rsid w:val="004428A5"/>
    <w:rsid w:val="004429A3"/>
    <w:rsid w:val="00442E86"/>
    <w:rsid w:val="004430AF"/>
    <w:rsid w:val="00443218"/>
    <w:rsid w:val="004437FD"/>
    <w:rsid w:val="0044385F"/>
    <w:rsid w:val="004438F4"/>
    <w:rsid w:val="00443CB9"/>
    <w:rsid w:val="00443E09"/>
    <w:rsid w:val="00443F68"/>
    <w:rsid w:val="0044411D"/>
    <w:rsid w:val="004441F7"/>
    <w:rsid w:val="0044442E"/>
    <w:rsid w:val="00444634"/>
    <w:rsid w:val="004447C6"/>
    <w:rsid w:val="00444AB6"/>
    <w:rsid w:val="00445092"/>
    <w:rsid w:val="004450CF"/>
    <w:rsid w:val="0044569E"/>
    <w:rsid w:val="004457A9"/>
    <w:rsid w:val="004458EC"/>
    <w:rsid w:val="004459DB"/>
    <w:rsid w:val="00445B43"/>
    <w:rsid w:val="004460A2"/>
    <w:rsid w:val="0044619D"/>
    <w:rsid w:val="00446306"/>
    <w:rsid w:val="004463A7"/>
    <w:rsid w:val="0044662F"/>
    <w:rsid w:val="004468D0"/>
    <w:rsid w:val="0044691E"/>
    <w:rsid w:val="00446A3F"/>
    <w:rsid w:val="00446B0D"/>
    <w:rsid w:val="00446B52"/>
    <w:rsid w:val="00446D14"/>
    <w:rsid w:val="00446E32"/>
    <w:rsid w:val="00447174"/>
    <w:rsid w:val="00447216"/>
    <w:rsid w:val="004474C8"/>
    <w:rsid w:val="0044755E"/>
    <w:rsid w:val="00447590"/>
    <w:rsid w:val="004477FA"/>
    <w:rsid w:val="00447ADE"/>
    <w:rsid w:val="00447D74"/>
    <w:rsid w:val="004503A0"/>
    <w:rsid w:val="004507DC"/>
    <w:rsid w:val="004507E2"/>
    <w:rsid w:val="004508C3"/>
    <w:rsid w:val="00450B49"/>
    <w:rsid w:val="00451122"/>
    <w:rsid w:val="004511E1"/>
    <w:rsid w:val="004514C6"/>
    <w:rsid w:val="0045153F"/>
    <w:rsid w:val="004516B6"/>
    <w:rsid w:val="004517F0"/>
    <w:rsid w:val="0045196A"/>
    <w:rsid w:val="00451992"/>
    <w:rsid w:val="00451BA5"/>
    <w:rsid w:val="00451BCB"/>
    <w:rsid w:val="00451BE0"/>
    <w:rsid w:val="00451D7A"/>
    <w:rsid w:val="004520FF"/>
    <w:rsid w:val="00452198"/>
    <w:rsid w:val="0045221D"/>
    <w:rsid w:val="00452345"/>
    <w:rsid w:val="004524F2"/>
    <w:rsid w:val="00452646"/>
    <w:rsid w:val="004528CF"/>
    <w:rsid w:val="00452AC1"/>
    <w:rsid w:val="00452CF7"/>
    <w:rsid w:val="00452EF8"/>
    <w:rsid w:val="00453432"/>
    <w:rsid w:val="00453460"/>
    <w:rsid w:val="00453916"/>
    <w:rsid w:val="00453A1E"/>
    <w:rsid w:val="00453AA4"/>
    <w:rsid w:val="00454006"/>
    <w:rsid w:val="0045447F"/>
    <w:rsid w:val="00454944"/>
    <w:rsid w:val="004549BA"/>
    <w:rsid w:val="004549C6"/>
    <w:rsid w:val="00454B11"/>
    <w:rsid w:val="00454CC7"/>
    <w:rsid w:val="00454CCD"/>
    <w:rsid w:val="00454DE9"/>
    <w:rsid w:val="00454E87"/>
    <w:rsid w:val="00454F10"/>
    <w:rsid w:val="00455048"/>
    <w:rsid w:val="004551B3"/>
    <w:rsid w:val="00455224"/>
    <w:rsid w:val="00455294"/>
    <w:rsid w:val="004552D1"/>
    <w:rsid w:val="0045565A"/>
    <w:rsid w:val="00455678"/>
    <w:rsid w:val="0045571E"/>
    <w:rsid w:val="00455865"/>
    <w:rsid w:val="004558C7"/>
    <w:rsid w:val="00455947"/>
    <w:rsid w:val="00455DD3"/>
    <w:rsid w:val="00456331"/>
    <w:rsid w:val="0045634C"/>
    <w:rsid w:val="004563B8"/>
    <w:rsid w:val="00456430"/>
    <w:rsid w:val="0045643F"/>
    <w:rsid w:val="0045664E"/>
    <w:rsid w:val="00456715"/>
    <w:rsid w:val="004568DE"/>
    <w:rsid w:val="00456B17"/>
    <w:rsid w:val="00456EAC"/>
    <w:rsid w:val="0045705D"/>
    <w:rsid w:val="004571A0"/>
    <w:rsid w:val="004571E1"/>
    <w:rsid w:val="00457B01"/>
    <w:rsid w:val="00457B6F"/>
    <w:rsid w:val="00457CDB"/>
    <w:rsid w:val="00457F17"/>
    <w:rsid w:val="00457F26"/>
    <w:rsid w:val="0046004C"/>
    <w:rsid w:val="0046033B"/>
    <w:rsid w:val="004605F4"/>
    <w:rsid w:val="00460654"/>
    <w:rsid w:val="00460752"/>
    <w:rsid w:val="004608BE"/>
    <w:rsid w:val="00460909"/>
    <w:rsid w:val="00460945"/>
    <w:rsid w:val="00460A7C"/>
    <w:rsid w:val="00460BE1"/>
    <w:rsid w:val="00460D54"/>
    <w:rsid w:val="00460E6B"/>
    <w:rsid w:val="004610E0"/>
    <w:rsid w:val="00461394"/>
    <w:rsid w:val="00461558"/>
    <w:rsid w:val="0046163F"/>
    <w:rsid w:val="004616A6"/>
    <w:rsid w:val="00461945"/>
    <w:rsid w:val="00461BA8"/>
    <w:rsid w:val="00461EE7"/>
    <w:rsid w:val="00461F2E"/>
    <w:rsid w:val="00462207"/>
    <w:rsid w:val="004626CC"/>
    <w:rsid w:val="004627B1"/>
    <w:rsid w:val="00462821"/>
    <w:rsid w:val="0046288E"/>
    <w:rsid w:val="00462AB9"/>
    <w:rsid w:val="00462C75"/>
    <w:rsid w:val="00462E45"/>
    <w:rsid w:val="004630A6"/>
    <w:rsid w:val="004630B8"/>
    <w:rsid w:val="00463360"/>
    <w:rsid w:val="0046352C"/>
    <w:rsid w:val="004636FE"/>
    <w:rsid w:val="004638C6"/>
    <w:rsid w:val="004638FB"/>
    <w:rsid w:val="00463B65"/>
    <w:rsid w:val="00463F0D"/>
    <w:rsid w:val="0046439A"/>
    <w:rsid w:val="0046461B"/>
    <w:rsid w:val="00464B01"/>
    <w:rsid w:val="00464B37"/>
    <w:rsid w:val="00464D38"/>
    <w:rsid w:val="00464DC2"/>
    <w:rsid w:val="004651B4"/>
    <w:rsid w:val="0046523C"/>
    <w:rsid w:val="00465265"/>
    <w:rsid w:val="0046543D"/>
    <w:rsid w:val="0046559B"/>
    <w:rsid w:val="00465703"/>
    <w:rsid w:val="00465977"/>
    <w:rsid w:val="00465C22"/>
    <w:rsid w:val="00465CBE"/>
    <w:rsid w:val="004662E7"/>
    <w:rsid w:val="004662FF"/>
    <w:rsid w:val="004667F3"/>
    <w:rsid w:val="0046692F"/>
    <w:rsid w:val="004669F8"/>
    <w:rsid w:val="00466AB5"/>
    <w:rsid w:val="00466AFB"/>
    <w:rsid w:val="00466D6C"/>
    <w:rsid w:val="00466EFE"/>
    <w:rsid w:val="00466FA7"/>
    <w:rsid w:val="00467175"/>
    <w:rsid w:val="00467365"/>
    <w:rsid w:val="0046752B"/>
    <w:rsid w:val="0046760A"/>
    <w:rsid w:val="00467751"/>
    <w:rsid w:val="0046785D"/>
    <w:rsid w:val="00467A64"/>
    <w:rsid w:val="00467C44"/>
    <w:rsid w:val="00467C64"/>
    <w:rsid w:val="00467C90"/>
    <w:rsid w:val="00467ED4"/>
    <w:rsid w:val="00467EF0"/>
    <w:rsid w:val="00467FD9"/>
    <w:rsid w:val="00470110"/>
    <w:rsid w:val="004703EB"/>
    <w:rsid w:val="004704A1"/>
    <w:rsid w:val="004705B5"/>
    <w:rsid w:val="004705BC"/>
    <w:rsid w:val="004705F8"/>
    <w:rsid w:val="004707FF"/>
    <w:rsid w:val="004708E9"/>
    <w:rsid w:val="0047095F"/>
    <w:rsid w:val="00470C97"/>
    <w:rsid w:val="00470D8A"/>
    <w:rsid w:val="00470DBD"/>
    <w:rsid w:val="00470F53"/>
    <w:rsid w:val="0047129D"/>
    <w:rsid w:val="0047133E"/>
    <w:rsid w:val="00471444"/>
    <w:rsid w:val="00471494"/>
    <w:rsid w:val="004716D0"/>
    <w:rsid w:val="0047181F"/>
    <w:rsid w:val="00471842"/>
    <w:rsid w:val="00471EB6"/>
    <w:rsid w:val="00471FB1"/>
    <w:rsid w:val="00472184"/>
    <w:rsid w:val="0047239B"/>
    <w:rsid w:val="00472424"/>
    <w:rsid w:val="0047254A"/>
    <w:rsid w:val="0047275A"/>
    <w:rsid w:val="00472B0A"/>
    <w:rsid w:val="00472B80"/>
    <w:rsid w:val="00472C6B"/>
    <w:rsid w:val="00472D5E"/>
    <w:rsid w:val="00472F97"/>
    <w:rsid w:val="00472FDE"/>
    <w:rsid w:val="00473085"/>
    <w:rsid w:val="004730A8"/>
    <w:rsid w:val="00473154"/>
    <w:rsid w:val="00473166"/>
    <w:rsid w:val="00473271"/>
    <w:rsid w:val="00473476"/>
    <w:rsid w:val="004734EB"/>
    <w:rsid w:val="00473535"/>
    <w:rsid w:val="004736C0"/>
    <w:rsid w:val="00473760"/>
    <w:rsid w:val="0047379C"/>
    <w:rsid w:val="00473851"/>
    <w:rsid w:val="0047390B"/>
    <w:rsid w:val="00473933"/>
    <w:rsid w:val="00473B3E"/>
    <w:rsid w:val="00473B8E"/>
    <w:rsid w:val="00473BE5"/>
    <w:rsid w:val="00473BF9"/>
    <w:rsid w:val="00474146"/>
    <w:rsid w:val="0047416B"/>
    <w:rsid w:val="004742C3"/>
    <w:rsid w:val="004743C7"/>
    <w:rsid w:val="0047447F"/>
    <w:rsid w:val="004745DA"/>
    <w:rsid w:val="00474784"/>
    <w:rsid w:val="0047486E"/>
    <w:rsid w:val="00474A48"/>
    <w:rsid w:val="00474F92"/>
    <w:rsid w:val="004752F5"/>
    <w:rsid w:val="004754A6"/>
    <w:rsid w:val="0047566C"/>
    <w:rsid w:val="004757E1"/>
    <w:rsid w:val="0047582C"/>
    <w:rsid w:val="00475A8A"/>
    <w:rsid w:val="00475AFA"/>
    <w:rsid w:val="00475B62"/>
    <w:rsid w:val="00475BCE"/>
    <w:rsid w:val="00475BF3"/>
    <w:rsid w:val="00475C40"/>
    <w:rsid w:val="00475C7C"/>
    <w:rsid w:val="00475F2D"/>
    <w:rsid w:val="00476746"/>
    <w:rsid w:val="0047676E"/>
    <w:rsid w:val="00476B2A"/>
    <w:rsid w:val="00476C3C"/>
    <w:rsid w:val="00476CBB"/>
    <w:rsid w:val="00476CE3"/>
    <w:rsid w:val="00476E04"/>
    <w:rsid w:val="00476F21"/>
    <w:rsid w:val="004775DA"/>
    <w:rsid w:val="00477BC7"/>
    <w:rsid w:val="00477DC9"/>
    <w:rsid w:val="00477EB8"/>
    <w:rsid w:val="00477F06"/>
    <w:rsid w:val="00477F7F"/>
    <w:rsid w:val="00477F9B"/>
    <w:rsid w:val="00480030"/>
    <w:rsid w:val="004800B5"/>
    <w:rsid w:val="0048073E"/>
    <w:rsid w:val="00480831"/>
    <w:rsid w:val="00480933"/>
    <w:rsid w:val="00480A17"/>
    <w:rsid w:val="00480A3E"/>
    <w:rsid w:val="00480A69"/>
    <w:rsid w:val="00480E69"/>
    <w:rsid w:val="00480F43"/>
    <w:rsid w:val="0048102A"/>
    <w:rsid w:val="004812AF"/>
    <w:rsid w:val="00481384"/>
    <w:rsid w:val="004816B3"/>
    <w:rsid w:val="004816E1"/>
    <w:rsid w:val="0048188B"/>
    <w:rsid w:val="00481940"/>
    <w:rsid w:val="004819D1"/>
    <w:rsid w:val="004819F5"/>
    <w:rsid w:val="00481A2F"/>
    <w:rsid w:val="00481BFE"/>
    <w:rsid w:val="00481E6A"/>
    <w:rsid w:val="00481F25"/>
    <w:rsid w:val="00481F4E"/>
    <w:rsid w:val="00481FC2"/>
    <w:rsid w:val="0048206B"/>
    <w:rsid w:val="0048233C"/>
    <w:rsid w:val="004824EF"/>
    <w:rsid w:val="004825E4"/>
    <w:rsid w:val="00482718"/>
    <w:rsid w:val="004827D8"/>
    <w:rsid w:val="0048281A"/>
    <w:rsid w:val="004829DE"/>
    <w:rsid w:val="00482D77"/>
    <w:rsid w:val="004830E7"/>
    <w:rsid w:val="004835ED"/>
    <w:rsid w:val="004838C7"/>
    <w:rsid w:val="00483B5F"/>
    <w:rsid w:val="00483D56"/>
    <w:rsid w:val="00483FB2"/>
    <w:rsid w:val="00483FD4"/>
    <w:rsid w:val="004848C8"/>
    <w:rsid w:val="00484BB8"/>
    <w:rsid w:val="00484BBA"/>
    <w:rsid w:val="00485047"/>
    <w:rsid w:val="00485094"/>
    <w:rsid w:val="0048517A"/>
    <w:rsid w:val="00485346"/>
    <w:rsid w:val="0048598F"/>
    <w:rsid w:val="00485A3B"/>
    <w:rsid w:val="00485CD7"/>
    <w:rsid w:val="00485D0C"/>
    <w:rsid w:val="0048624D"/>
    <w:rsid w:val="00486302"/>
    <w:rsid w:val="0048637C"/>
    <w:rsid w:val="00486389"/>
    <w:rsid w:val="00486533"/>
    <w:rsid w:val="00486614"/>
    <w:rsid w:val="00486A5E"/>
    <w:rsid w:val="00486C05"/>
    <w:rsid w:val="00486CBC"/>
    <w:rsid w:val="00486E4A"/>
    <w:rsid w:val="004870B1"/>
    <w:rsid w:val="00487408"/>
    <w:rsid w:val="0048741D"/>
    <w:rsid w:val="004874D4"/>
    <w:rsid w:val="004902AC"/>
    <w:rsid w:val="004904EB"/>
    <w:rsid w:val="0049067C"/>
    <w:rsid w:val="00490919"/>
    <w:rsid w:val="004909DF"/>
    <w:rsid w:val="00490A69"/>
    <w:rsid w:val="00490BCC"/>
    <w:rsid w:val="00490D47"/>
    <w:rsid w:val="00490F98"/>
    <w:rsid w:val="0049106F"/>
    <w:rsid w:val="004910C9"/>
    <w:rsid w:val="00491333"/>
    <w:rsid w:val="004913FF"/>
    <w:rsid w:val="0049149D"/>
    <w:rsid w:val="0049157E"/>
    <w:rsid w:val="004918AA"/>
    <w:rsid w:val="00491957"/>
    <w:rsid w:val="00491D9E"/>
    <w:rsid w:val="00491ECA"/>
    <w:rsid w:val="00491F50"/>
    <w:rsid w:val="00491FDA"/>
    <w:rsid w:val="00492371"/>
    <w:rsid w:val="0049265A"/>
    <w:rsid w:val="0049276E"/>
    <w:rsid w:val="00492AF2"/>
    <w:rsid w:val="00492C3A"/>
    <w:rsid w:val="00492D0A"/>
    <w:rsid w:val="00492DD3"/>
    <w:rsid w:val="004934B4"/>
    <w:rsid w:val="00493631"/>
    <w:rsid w:val="004937E8"/>
    <w:rsid w:val="004938DC"/>
    <w:rsid w:val="00493A59"/>
    <w:rsid w:val="00493A69"/>
    <w:rsid w:val="00493BA9"/>
    <w:rsid w:val="00493BE4"/>
    <w:rsid w:val="00493C2E"/>
    <w:rsid w:val="00493D7E"/>
    <w:rsid w:val="00493E79"/>
    <w:rsid w:val="00493EAE"/>
    <w:rsid w:val="0049429F"/>
    <w:rsid w:val="004947A0"/>
    <w:rsid w:val="0049487F"/>
    <w:rsid w:val="004949E4"/>
    <w:rsid w:val="00494A0D"/>
    <w:rsid w:val="00494CAA"/>
    <w:rsid w:val="00494DB7"/>
    <w:rsid w:val="00494DF5"/>
    <w:rsid w:val="004951F2"/>
    <w:rsid w:val="00495212"/>
    <w:rsid w:val="00495293"/>
    <w:rsid w:val="0049535A"/>
    <w:rsid w:val="004954E5"/>
    <w:rsid w:val="004956E5"/>
    <w:rsid w:val="00495A17"/>
    <w:rsid w:val="00495A23"/>
    <w:rsid w:val="00495B15"/>
    <w:rsid w:val="00495C18"/>
    <w:rsid w:val="00495DDF"/>
    <w:rsid w:val="00495E3B"/>
    <w:rsid w:val="00495E58"/>
    <w:rsid w:val="00495EDE"/>
    <w:rsid w:val="00496216"/>
    <w:rsid w:val="0049626D"/>
    <w:rsid w:val="004963AC"/>
    <w:rsid w:val="00496B01"/>
    <w:rsid w:val="00496D5F"/>
    <w:rsid w:val="00496D82"/>
    <w:rsid w:val="00496E03"/>
    <w:rsid w:val="00496F09"/>
    <w:rsid w:val="00496FB4"/>
    <w:rsid w:val="00496FC9"/>
    <w:rsid w:val="004972F6"/>
    <w:rsid w:val="004974E5"/>
    <w:rsid w:val="00497531"/>
    <w:rsid w:val="0049762C"/>
    <w:rsid w:val="00497811"/>
    <w:rsid w:val="00497876"/>
    <w:rsid w:val="004979DB"/>
    <w:rsid w:val="00497AA8"/>
    <w:rsid w:val="00497EB9"/>
    <w:rsid w:val="004A00D3"/>
    <w:rsid w:val="004A02DE"/>
    <w:rsid w:val="004A0394"/>
    <w:rsid w:val="004A03D3"/>
    <w:rsid w:val="004A03E6"/>
    <w:rsid w:val="004A0571"/>
    <w:rsid w:val="004A05B0"/>
    <w:rsid w:val="004A0A75"/>
    <w:rsid w:val="004A0DE3"/>
    <w:rsid w:val="004A0F6A"/>
    <w:rsid w:val="004A114C"/>
    <w:rsid w:val="004A118E"/>
    <w:rsid w:val="004A11CB"/>
    <w:rsid w:val="004A1299"/>
    <w:rsid w:val="004A173E"/>
    <w:rsid w:val="004A1876"/>
    <w:rsid w:val="004A189C"/>
    <w:rsid w:val="004A1A1E"/>
    <w:rsid w:val="004A1C58"/>
    <w:rsid w:val="004A1C84"/>
    <w:rsid w:val="004A1E1E"/>
    <w:rsid w:val="004A1E75"/>
    <w:rsid w:val="004A1F51"/>
    <w:rsid w:val="004A20C3"/>
    <w:rsid w:val="004A2150"/>
    <w:rsid w:val="004A2208"/>
    <w:rsid w:val="004A2495"/>
    <w:rsid w:val="004A27FC"/>
    <w:rsid w:val="004A2856"/>
    <w:rsid w:val="004A2A98"/>
    <w:rsid w:val="004A2C05"/>
    <w:rsid w:val="004A3199"/>
    <w:rsid w:val="004A3265"/>
    <w:rsid w:val="004A32AC"/>
    <w:rsid w:val="004A330C"/>
    <w:rsid w:val="004A3384"/>
    <w:rsid w:val="004A3579"/>
    <w:rsid w:val="004A374E"/>
    <w:rsid w:val="004A393B"/>
    <w:rsid w:val="004A3AF6"/>
    <w:rsid w:val="004A3BDC"/>
    <w:rsid w:val="004A3C62"/>
    <w:rsid w:val="004A3C7A"/>
    <w:rsid w:val="004A3E19"/>
    <w:rsid w:val="004A3F32"/>
    <w:rsid w:val="004A3FD9"/>
    <w:rsid w:val="004A40C1"/>
    <w:rsid w:val="004A412C"/>
    <w:rsid w:val="004A4187"/>
    <w:rsid w:val="004A435B"/>
    <w:rsid w:val="004A4432"/>
    <w:rsid w:val="004A45CD"/>
    <w:rsid w:val="004A4775"/>
    <w:rsid w:val="004A489E"/>
    <w:rsid w:val="004A4B2E"/>
    <w:rsid w:val="004A4C6E"/>
    <w:rsid w:val="004A51DF"/>
    <w:rsid w:val="004A54F6"/>
    <w:rsid w:val="004A56BD"/>
    <w:rsid w:val="004A572E"/>
    <w:rsid w:val="004A59EE"/>
    <w:rsid w:val="004A5ACA"/>
    <w:rsid w:val="004A5EC1"/>
    <w:rsid w:val="004A6099"/>
    <w:rsid w:val="004A6168"/>
    <w:rsid w:val="004A6AB8"/>
    <w:rsid w:val="004A710B"/>
    <w:rsid w:val="004A7170"/>
    <w:rsid w:val="004A7637"/>
    <w:rsid w:val="004A763A"/>
    <w:rsid w:val="004A7683"/>
    <w:rsid w:val="004A76CB"/>
    <w:rsid w:val="004A77BC"/>
    <w:rsid w:val="004A78D4"/>
    <w:rsid w:val="004A7A0E"/>
    <w:rsid w:val="004A7E9C"/>
    <w:rsid w:val="004B015B"/>
    <w:rsid w:val="004B077C"/>
    <w:rsid w:val="004B0AE3"/>
    <w:rsid w:val="004B0B6B"/>
    <w:rsid w:val="004B0B9F"/>
    <w:rsid w:val="004B0E1B"/>
    <w:rsid w:val="004B0EA0"/>
    <w:rsid w:val="004B0F70"/>
    <w:rsid w:val="004B12D1"/>
    <w:rsid w:val="004B1323"/>
    <w:rsid w:val="004B1368"/>
    <w:rsid w:val="004B13FC"/>
    <w:rsid w:val="004B156C"/>
    <w:rsid w:val="004B16A6"/>
    <w:rsid w:val="004B16B9"/>
    <w:rsid w:val="004B1831"/>
    <w:rsid w:val="004B18CA"/>
    <w:rsid w:val="004B195D"/>
    <w:rsid w:val="004B1976"/>
    <w:rsid w:val="004B1996"/>
    <w:rsid w:val="004B1A61"/>
    <w:rsid w:val="004B1B93"/>
    <w:rsid w:val="004B2331"/>
    <w:rsid w:val="004B257D"/>
    <w:rsid w:val="004B2744"/>
    <w:rsid w:val="004B2824"/>
    <w:rsid w:val="004B2843"/>
    <w:rsid w:val="004B2879"/>
    <w:rsid w:val="004B28D5"/>
    <w:rsid w:val="004B2AF9"/>
    <w:rsid w:val="004B2C4C"/>
    <w:rsid w:val="004B2F28"/>
    <w:rsid w:val="004B3088"/>
    <w:rsid w:val="004B3110"/>
    <w:rsid w:val="004B3140"/>
    <w:rsid w:val="004B3185"/>
    <w:rsid w:val="004B36A4"/>
    <w:rsid w:val="004B37F9"/>
    <w:rsid w:val="004B3952"/>
    <w:rsid w:val="004B3A32"/>
    <w:rsid w:val="004B3B76"/>
    <w:rsid w:val="004B3D68"/>
    <w:rsid w:val="004B3E3D"/>
    <w:rsid w:val="004B42BD"/>
    <w:rsid w:val="004B450D"/>
    <w:rsid w:val="004B460F"/>
    <w:rsid w:val="004B4623"/>
    <w:rsid w:val="004B4627"/>
    <w:rsid w:val="004B46C3"/>
    <w:rsid w:val="004B4FF5"/>
    <w:rsid w:val="004B51BE"/>
    <w:rsid w:val="004B5A10"/>
    <w:rsid w:val="004B5C03"/>
    <w:rsid w:val="004B5C7A"/>
    <w:rsid w:val="004B5DFB"/>
    <w:rsid w:val="004B5E61"/>
    <w:rsid w:val="004B5E78"/>
    <w:rsid w:val="004B5F8E"/>
    <w:rsid w:val="004B605C"/>
    <w:rsid w:val="004B65A4"/>
    <w:rsid w:val="004B6790"/>
    <w:rsid w:val="004B6AAD"/>
    <w:rsid w:val="004B6D5B"/>
    <w:rsid w:val="004B70B8"/>
    <w:rsid w:val="004B71B6"/>
    <w:rsid w:val="004B73ED"/>
    <w:rsid w:val="004B75A3"/>
    <w:rsid w:val="004B7841"/>
    <w:rsid w:val="004B79BE"/>
    <w:rsid w:val="004B7A0F"/>
    <w:rsid w:val="004B7AC6"/>
    <w:rsid w:val="004B7BDB"/>
    <w:rsid w:val="004B7EC0"/>
    <w:rsid w:val="004B7F42"/>
    <w:rsid w:val="004B7F9B"/>
    <w:rsid w:val="004C0067"/>
    <w:rsid w:val="004C01E9"/>
    <w:rsid w:val="004C0400"/>
    <w:rsid w:val="004C044A"/>
    <w:rsid w:val="004C07B5"/>
    <w:rsid w:val="004C0CD4"/>
    <w:rsid w:val="004C0FC8"/>
    <w:rsid w:val="004C1071"/>
    <w:rsid w:val="004C1102"/>
    <w:rsid w:val="004C1239"/>
    <w:rsid w:val="004C191D"/>
    <w:rsid w:val="004C1CF8"/>
    <w:rsid w:val="004C1F6B"/>
    <w:rsid w:val="004C21BC"/>
    <w:rsid w:val="004C2372"/>
    <w:rsid w:val="004C24B1"/>
    <w:rsid w:val="004C24B3"/>
    <w:rsid w:val="004C2567"/>
    <w:rsid w:val="004C2623"/>
    <w:rsid w:val="004C2878"/>
    <w:rsid w:val="004C2B3A"/>
    <w:rsid w:val="004C2BFB"/>
    <w:rsid w:val="004C301E"/>
    <w:rsid w:val="004C3A79"/>
    <w:rsid w:val="004C3CD0"/>
    <w:rsid w:val="004C3D97"/>
    <w:rsid w:val="004C3F5A"/>
    <w:rsid w:val="004C3F7B"/>
    <w:rsid w:val="004C4231"/>
    <w:rsid w:val="004C42EB"/>
    <w:rsid w:val="004C4403"/>
    <w:rsid w:val="004C4799"/>
    <w:rsid w:val="004C54E2"/>
    <w:rsid w:val="004C56C5"/>
    <w:rsid w:val="004C5A22"/>
    <w:rsid w:val="004C5A61"/>
    <w:rsid w:val="004C5AA6"/>
    <w:rsid w:val="004C5AA9"/>
    <w:rsid w:val="004C5C6C"/>
    <w:rsid w:val="004C5E3C"/>
    <w:rsid w:val="004C5F4F"/>
    <w:rsid w:val="004C6009"/>
    <w:rsid w:val="004C62F2"/>
    <w:rsid w:val="004C63E7"/>
    <w:rsid w:val="004C647E"/>
    <w:rsid w:val="004C64D2"/>
    <w:rsid w:val="004C681B"/>
    <w:rsid w:val="004C6AB2"/>
    <w:rsid w:val="004C6C0A"/>
    <w:rsid w:val="004C6C16"/>
    <w:rsid w:val="004C6E12"/>
    <w:rsid w:val="004C6E77"/>
    <w:rsid w:val="004C706B"/>
    <w:rsid w:val="004C71EF"/>
    <w:rsid w:val="004C7C6E"/>
    <w:rsid w:val="004C7D0C"/>
    <w:rsid w:val="004C7D1A"/>
    <w:rsid w:val="004C7DD6"/>
    <w:rsid w:val="004C7E05"/>
    <w:rsid w:val="004C7E48"/>
    <w:rsid w:val="004C7E80"/>
    <w:rsid w:val="004C7EF8"/>
    <w:rsid w:val="004C7F2B"/>
    <w:rsid w:val="004C7F84"/>
    <w:rsid w:val="004D0031"/>
    <w:rsid w:val="004D0049"/>
    <w:rsid w:val="004D0247"/>
    <w:rsid w:val="004D0622"/>
    <w:rsid w:val="004D0AF8"/>
    <w:rsid w:val="004D0B58"/>
    <w:rsid w:val="004D0E6F"/>
    <w:rsid w:val="004D0F66"/>
    <w:rsid w:val="004D12BF"/>
    <w:rsid w:val="004D1345"/>
    <w:rsid w:val="004D1376"/>
    <w:rsid w:val="004D13AA"/>
    <w:rsid w:val="004D13F9"/>
    <w:rsid w:val="004D179E"/>
    <w:rsid w:val="004D1B5D"/>
    <w:rsid w:val="004D1CE7"/>
    <w:rsid w:val="004D1D36"/>
    <w:rsid w:val="004D1EB2"/>
    <w:rsid w:val="004D1F0D"/>
    <w:rsid w:val="004D1F14"/>
    <w:rsid w:val="004D1F29"/>
    <w:rsid w:val="004D1FB7"/>
    <w:rsid w:val="004D2055"/>
    <w:rsid w:val="004D20D0"/>
    <w:rsid w:val="004D2169"/>
    <w:rsid w:val="004D21B2"/>
    <w:rsid w:val="004D22F1"/>
    <w:rsid w:val="004D2564"/>
    <w:rsid w:val="004D27FC"/>
    <w:rsid w:val="004D29AD"/>
    <w:rsid w:val="004D2C8C"/>
    <w:rsid w:val="004D2E8E"/>
    <w:rsid w:val="004D2FEE"/>
    <w:rsid w:val="004D2FF0"/>
    <w:rsid w:val="004D3040"/>
    <w:rsid w:val="004D3069"/>
    <w:rsid w:val="004D31AB"/>
    <w:rsid w:val="004D3408"/>
    <w:rsid w:val="004D3707"/>
    <w:rsid w:val="004D39E7"/>
    <w:rsid w:val="004D3A1E"/>
    <w:rsid w:val="004D3A25"/>
    <w:rsid w:val="004D3CDB"/>
    <w:rsid w:val="004D3ED9"/>
    <w:rsid w:val="004D3FB2"/>
    <w:rsid w:val="004D4109"/>
    <w:rsid w:val="004D4369"/>
    <w:rsid w:val="004D4970"/>
    <w:rsid w:val="004D4D1B"/>
    <w:rsid w:val="004D50DA"/>
    <w:rsid w:val="004D55CC"/>
    <w:rsid w:val="004D55DD"/>
    <w:rsid w:val="004D55F3"/>
    <w:rsid w:val="004D5715"/>
    <w:rsid w:val="004D5AA3"/>
    <w:rsid w:val="004D5DE1"/>
    <w:rsid w:val="004D5F96"/>
    <w:rsid w:val="004D5FA1"/>
    <w:rsid w:val="004D6075"/>
    <w:rsid w:val="004D666F"/>
    <w:rsid w:val="004D68DB"/>
    <w:rsid w:val="004D6FC6"/>
    <w:rsid w:val="004D700E"/>
    <w:rsid w:val="004D758B"/>
    <w:rsid w:val="004D772A"/>
    <w:rsid w:val="004D7DDB"/>
    <w:rsid w:val="004E0656"/>
    <w:rsid w:val="004E0699"/>
    <w:rsid w:val="004E089A"/>
    <w:rsid w:val="004E08B3"/>
    <w:rsid w:val="004E0A66"/>
    <w:rsid w:val="004E0C18"/>
    <w:rsid w:val="004E1139"/>
    <w:rsid w:val="004E1391"/>
    <w:rsid w:val="004E1558"/>
    <w:rsid w:val="004E16A9"/>
    <w:rsid w:val="004E1719"/>
    <w:rsid w:val="004E1ADE"/>
    <w:rsid w:val="004E1C6F"/>
    <w:rsid w:val="004E1F05"/>
    <w:rsid w:val="004E1F44"/>
    <w:rsid w:val="004E2030"/>
    <w:rsid w:val="004E211B"/>
    <w:rsid w:val="004E2846"/>
    <w:rsid w:val="004E2AFC"/>
    <w:rsid w:val="004E3235"/>
    <w:rsid w:val="004E3419"/>
    <w:rsid w:val="004E34D3"/>
    <w:rsid w:val="004E34E9"/>
    <w:rsid w:val="004E3524"/>
    <w:rsid w:val="004E3887"/>
    <w:rsid w:val="004E3B94"/>
    <w:rsid w:val="004E3D3E"/>
    <w:rsid w:val="004E408A"/>
    <w:rsid w:val="004E4253"/>
    <w:rsid w:val="004E430D"/>
    <w:rsid w:val="004E4489"/>
    <w:rsid w:val="004E454A"/>
    <w:rsid w:val="004E4592"/>
    <w:rsid w:val="004E4659"/>
    <w:rsid w:val="004E4A40"/>
    <w:rsid w:val="004E5310"/>
    <w:rsid w:val="004E53BA"/>
    <w:rsid w:val="004E55CC"/>
    <w:rsid w:val="004E57A5"/>
    <w:rsid w:val="004E5ACC"/>
    <w:rsid w:val="004E5B2B"/>
    <w:rsid w:val="004E5B8E"/>
    <w:rsid w:val="004E5BE5"/>
    <w:rsid w:val="004E5D74"/>
    <w:rsid w:val="004E5FA8"/>
    <w:rsid w:val="004E6027"/>
    <w:rsid w:val="004E608B"/>
    <w:rsid w:val="004E6304"/>
    <w:rsid w:val="004E6464"/>
    <w:rsid w:val="004E64F6"/>
    <w:rsid w:val="004E65E5"/>
    <w:rsid w:val="004E696F"/>
    <w:rsid w:val="004E6A19"/>
    <w:rsid w:val="004E6E6D"/>
    <w:rsid w:val="004E7134"/>
    <w:rsid w:val="004E734D"/>
    <w:rsid w:val="004E74B2"/>
    <w:rsid w:val="004E77B9"/>
    <w:rsid w:val="004E7AFC"/>
    <w:rsid w:val="004E7CAE"/>
    <w:rsid w:val="004E7FE0"/>
    <w:rsid w:val="004F0106"/>
    <w:rsid w:val="004F0434"/>
    <w:rsid w:val="004F0600"/>
    <w:rsid w:val="004F0BF6"/>
    <w:rsid w:val="004F0DC6"/>
    <w:rsid w:val="004F0ED2"/>
    <w:rsid w:val="004F0F26"/>
    <w:rsid w:val="004F141B"/>
    <w:rsid w:val="004F1794"/>
    <w:rsid w:val="004F19AD"/>
    <w:rsid w:val="004F19F1"/>
    <w:rsid w:val="004F1B5F"/>
    <w:rsid w:val="004F1DBE"/>
    <w:rsid w:val="004F216D"/>
    <w:rsid w:val="004F260E"/>
    <w:rsid w:val="004F2676"/>
    <w:rsid w:val="004F27AD"/>
    <w:rsid w:val="004F2C74"/>
    <w:rsid w:val="004F2D5A"/>
    <w:rsid w:val="004F2E30"/>
    <w:rsid w:val="004F2E50"/>
    <w:rsid w:val="004F2FC8"/>
    <w:rsid w:val="004F323C"/>
    <w:rsid w:val="004F325B"/>
    <w:rsid w:val="004F34D9"/>
    <w:rsid w:val="004F3503"/>
    <w:rsid w:val="004F35A1"/>
    <w:rsid w:val="004F3B23"/>
    <w:rsid w:val="004F3C0E"/>
    <w:rsid w:val="004F3C2A"/>
    <w:rsid w:val="004F3C3C"/>
    <w:rsid w:val="004F3F81"/>
    <w:rsid w:val="004F425C"/>
    <w:rsid w:val="004F45D6"/>
    <w:rsid w:val="004F46F1"/>
    <w:rsid w:val="004F478D"/>
    <w:rsid w:val="004F493F"/>
    <w:rsid w:val="004F499E"/>
    <w:rsid w:val="004F4CE8"/>
    <w:rsid w:val="004F4D9C"/>
    <w:rsid w:val="004F5726"/>
    <w:rsid w:val="004F59E1"/>
    <w:rsid w:val="004F5A40"/>
    <w:rsid w:val="004F5A7B"/>
    <w:rsid w:val="004F5C3B"/>
    <w:rsid w:val="004F5D6E"/>
    <w:rsid w:val="004F5DA2"/>
    <w:rsid w:val="004F5EB9"/>
    <w:rsid w:val="004F5F09"/>
    <w:rsid w:val="004F6256"/>
    <w:rsid w:val="004F626C"/>
    <w:rsid w:val="004F6473"/>
    <w:rsid w:val="004F65BD"/>
    <w:rsid w:val="004F6705"/>
    <w:rsid w:val="004F69A4"/>
    <w:rsid w:val="004F6AE4"/>
    <w:rsid w:val="004F6BAC"/>
    <w:rsid w:val="004F6DF4"/>
    <w:rsid w:val="004F6F30"/>
    <w:rsid w:val="004F6F3C"/>
    <w:rsid w:val="004F71F4"/>
    <w:rsid w:val="004F73D9"/>
    <w:rsid w:val="004F7528"/>
    <w:rsid w:val="004F758D"/>
    <w:rsid w:val="004F76F0"/>
    <w:rsid w:val="004F7707"/>
    <w:rsid w:val="004F7EED"/>
    <w:rsid w:val="004F7FCC"/>
    <w:rsid w:val="00500062"/>
    <w:rsid w:val="005001B4"/>
    <w:rsid w:val="00500275"/>
    <w:rsid w:val="005005B2"/>
    <w:rsid w:val="00500683"/>
    <w:rsid w:val="005008A9"/>
    <w:rsid w:val="0050097E"/>
    <w:rsid w:val="00501028"/>
    <w:rsid w:val="005010CE"/>
    <w:rsid w:val="005011A6"/>
    <w:rsid w:val="00501273"/>
    <w:rsid w:val="0050131A"/>
    <w:rsid w:val="005015B3"/>
    <w:rsid w:val="00501795"/>
    <w:rsid w:val="005018B5"/>
    <w:rsid w:val="005019B2"/>
    <w:rsid w:val="00501AD0"/>
    <w:rsid w:val="00501B6A"/>
    <w:rsid w:val="00501D63"/>
    <w:rsid w:val="00501E5A"/>
    <w:rsid w:val="00501F30"/>
    <w:rsid w:val="00501F40"/>
    <w:rsid w:val="0050229B"/>
    <w:rsid w:val="0050267D"/>
    <w:rsid w:val="0050282F"/>
    <w:rsid w:val="00502C02"/>
    <w:rsid w:val="00502CF4"/>
    <w:rsid w:val="00502E10"/>
    <w:rsid w:val="00503008"/>
    <w:rsid w:val="0050305C"/>
    <w:rsid w:val="00503098"/>
    <w:rsid w:val="005030DE"/>
    <w:rsid w:val="00503105"/>
    <w:rsid w:val="00503266"/>
    <w:rsid w:val="0050333A"/>
    <w:rsid w:val="005037D4"/>
    <w:rsid w:val="0050394B"/>
    <w:rsid w:val="00503A71"/>
    <w:rsid w:val="00503E7E"/>
    <w:rsid w:val="00503EA1"/>
    <w:rsid w:val="00503F1E"/>
    <w:rsid w:val="00504294"/>
    <w:rsid w:val="00504566"/>
    <w:rsid w:val="00504D59"/>
    <w:rsid w:val="00505051"/>
    <w:rsid w:val="005051ED"/>
    <w:rsid w:val="005052A1"/>
    <w:rsid w:val="005052F5"/>
    <w:rsid w:val="005052FC"/>
    <w:rsid w:val="005055B2"/>
    <w:rsid w:val="005055C7"/>
    <w:rsid w:val="00505691"/>
    <w:rsid w:val="00505852"/>
    <w:rsid w:val="005058BF"/>
    <w:rsid w:val="00505B43"/>
    <w:rsid w:val="00505BBE"/>
    <w:rsid w:val="00505C84"/>
    <w:rsid w:val="00505D05"/>
    <w:rsid w:val="00505D5C"/>
    <w:rsid w:val="00505EA4"/>
    <w:rsid w:val="00505EDF"/>
    <w:rsid w:val="005062A0"/>
    <w:rsid w:val="0050675E"/>
    <w:rsid w:val="005068FA"/>
    <w:rsid w:val="00506BEC"/>
    <w:rsid w:val="00506F7D"/>
    <w:rsid w:val="0050707A"/>
    <w:rsid w:val="0050733E"/>
    <w:rsid w:val="00507395"/>
    <w:rsid w:val="00507662"/>
    <w:rsid w:val="005077EF"/>
    <w:rsid w:val="00507A91"/>
    <w:rsid w:val="00510054"/>
    <w:rsid w:val="005102C6"/>
    <w:rsid w:val="0051040D"/>
    <w:rsid w:val="00510616"/>
    <w:rsid w:val="00510623"/>
    <w:rsid w:val="00510A69"/>
    <w:rsid w:val="00510D60"/>
    <w:rsid w:val="00510F4F"/>
    <w:rsid w:val="00511196"/>
    <w:rsid w:val="0051123A"/>
    <w:rsid w:val="005115FC"/>
    <w:rsid w:val="0051161F"/>
    <w:rsid w:val="0051169E"/>
    <w:rsid w:val="00511AE0"/>
    <w:rsid w:val="00511C89"/>
    <w:rsid w:val="00511E09"/>
    <w:rsid w:val="00511EA4"/>
    <w:rsid w:val="00512052"/>
    <w:rsid w:val="00512096"/>
    <w:rsid w:val="005122E4"/>
    <w:rsid w:val="005122E6"/>
    <w:rsid w:val="005123F4"/>
    <w:rsid w:val="00512648"/>
    <w:rsid w:val="00512A29"/>
    <w:rsid w:val="00512B61"/>
    <w:rsid w:val="00512C51"/>
    <w:rsid w:val="00512F63"/>
    <w:rsid w:val="005130C9"/>
    <w:rsid w:val="00513259"/>
    <w:rsid w:val="005133CD"/>
    <w:rsid w:val="00513C52"/>
    <w:rsid w:val="00513CFA"/>
    <w:rsid w:val="00513D59"/>
    <w:rsid w:val="00514056"/>
    <w:rsid w:val="00514176"/>
    <w:rsid w:val="005141DF"/>
    <w:rsid w:val="005147BB"/>
    <w:rsid w:val="005147DE"/>
    <w:rsid w:val="00514BFE"/>
    <w:rsid w:val="00514C1E"/>
    <w:rsid w:val="00514F43"/>
    <w:rsid w:val="00514F87"/>
    <w:rsid w:val="00515078"/>
    <w:rsid w:val="00515263"/>
    <w:rsid w:val="005153C9"/>
    <w:rsid w:val="00515707"/>
    <w:rsid w:val="005157A7"/>
    <w:rsid w:val="00515BF8"/>
    <w:rsid w:val="00515CBB"/>
    <w:rsid w:val="00515CE4"/>
    <w:rsid w:val="00516044"/>
    <w:rsid w:val="005168B8"/>
    <w:rsid w:val="00516BA9"/>
    <w:rsid w:val="00516CC6"/>
    <w:rsid w:val="00516E8F"/>
    <w:rsid w:val="00516F57"/>
    <w:rsid w:val="0051758C"/>
    <w:rsid w:val="005177FB"/>
    <w:rsid w:val="00517805"/>
    <w:rsid w:val="00517942"/>
    <w:rsid w:val="00517C43"/>
    <w:rsid w:val="00517CC4"/>
    <w:rsid w:val="00517E0A"/>
    <w:rsid w:val="00520384"/>
    <w:rsid w:val="00520411"/>
    <w:rsid w:val="00520609"/>
    <w:rsid w:val="0052064B"/>
    <w:rsid w:val="00520698"/>
    <w:rsid w:val="005206CF"/>
    <w:rsid w:val="005206F2"/>
    <w:rsid w:val="00520CB8"/>
    <w:rsid w:val="00520E31"/>
    <w:rsid w:val="00520EEB"/>
    <w:rsid w:val="00520F94"/>
    <w:rsid w:val="0052134C"/>
    <w:rsid w:val="0052146C"/>
    <w:rsid w:val="00521839"/>
    <w:rsid w:val="00521848"/>
    <w:rsid w:val="00521855"/>
    <w:rsid w:val="00521966"/>
    <w:rsid w:val="00521DD8"/>
    <w:rsid w:val="00521F42"/>
    <w:rsid w:val="005223A6"/>
    <w:rsid w:val="0052278B"/>
    <w:rsid w:val="00522803"/>
    <w:rsid w:val="0052294E"/>
    <w:rsid w:val="00522CD4"/>
    <w:rsid w:val="00522CE6"/>
    <w:rsid w:val="00522D2C"/>
    <w:rsid w:val="00522DAF"/>
    <w:rsid w:val="00522E40"/>
    <w:rsid w:val="00522F82"/>
    <w:rsid w:val="0052321E"/>
    <w:rsid w:val="0052331E"/>
    <w:rsid w:val="005233AF"/>
    <w:rsid w:val="0052353A"/>
    <w:rsid w:val="00523688"/>
    <w:rsid w:val="0052373F"/>
    <w:rsid w:val="00523BE4"/>
    <w:rsid w:val="00523DC7"/>
    <w:rsid w:val="005240D1"/>
    <w:rsid w:val="005247D9"/>
    <w:rsid w:val="00524BE2"/>
    <w:rsid w:val="00524D35"/>
    <w:rsid w:val="005250E0"/>
    <w:rsid w:val="005251B0"/>
    <w:rsid w:val="005251BB"/>
    <w:rsid w:val="00525297"/>
    <w:rsid w:val="00525420"/>
    <w:rsid w:val="005256D1"/>
    <w:rsid w:val="0052579F"/>
    <w:rsid w:val="005258D0"/>
    <w:rsid w:val="00525A04"/>
    <w:rsid w:val="00525A97"/>
    <w:rsid w:val="00525BAF"/>
    <w:rsid w:val="00525C32"/>
    <w:rsid w:val="00525C52"/>
    <w:rsid w:val="00525E18"/>
    <w:rsid w:val="0052600E"/>
    <w:rsid w:val="00526048"/>
    <w:rsid w:val="00526098"/>
    <w:rsid w:val="0052624F"/>
    <w:rsid w:val="00526791"/>
    <w:rsid w:val="00526999"/>
    <w:rsid w:val="00526A2B"/>
    <w:rsid w:val="00526B0C"/>
    <w:rsid w:val="00526B5B"/>
    <w:rsid w:val="00526B82"/>
    <w:rsid w:val="00526E48"/>
    <w:rsid w:val="00526E88"/>
    <w:rsid w:val="00526ECE"/>
    <w:rsid w:val="00526F35"/>
    <w:rsid w:val="0052702E"/>
    <w:rsid w:val="00527763"/>
    <w:rsid w:val="005277BC"/>
    <w:rsid w:val="005277CD"/>
    <w:rsid w:val="00527AF9"/>
    <w:rsid w:val="00527C98"/>
    <w:rsid w:val="00527CEE"/>
    <w:rsid w:val="00527D34"/>
    <w:rsid w:val="00527F9A"/>
    <w:rsid w:val="00530035"/>
    <w:rsid w:val="005300FD"/>
    <w:rsid w:val="00530228"/>
    <w:rsid w:val="0053042A"/>
    <w:rsid w:val="0053046D"/>
    <w:rsid w:val="005305FD"/>
    <w:rsid w:val="0053063C"/>
    <w:rsid w:val="00530A49"/>
    <w:rsid w:val="00530A70"/>
    <w:rsid w:val="00530DD0"/>
    <w:rsid w:val="00530EC1"/>
    <w:rsid w:val="00530F25"/>
    <w:rsid w:val="00531094"/>
    <w:rsid w:val="0053116D"/>
    <w:rsid w:val="005312A6"/>
    <w:rsid w:val="0053133D"/>
    <w:rsid w:val="005313C8"/>
    <w:rsid w:val="00531563"/>
    <w:rsid w:val="005316C7"/>
    <w:rsid w:val="00531744"/>
    <w:rsid w:val="005317C3"/>
    <w:rsid w:val="00531826"/>
    <w:rsid w:val="00531B0D"/>
    <w:rsid w:val="00531D84"/>
    <w:rsid w:val="00531F5B"/>
    <w:rsid w:val="005324FF"/>
    <w:rsid w:val="00532502"/>
    <w:rsid w:val="00532637"/>
    <w:rsid w:val="00532A2F"/>
    <w:rsid w:val="00532DE2"/>
    <w:rsid w:val="0053312A"/>
    <w:rsid w:val="005332C8"/>
    <w:rsid w:val="0053336D"/>
    <w:rsid w:val="005334B2"/>
    <w:rsid w:val="0053361F"/>
    <w:rsid w:val="0053367F"/>
    <w:rsid w:val="005339A1"/>
    <w:rsid w:val="005339AA"/>
    <w:rsid w:val="00533D61"/>
    <w:rsid w:val="00533E62"/>
    <w:rsid w:val="00533F6A"/>
    <w:rsid w:val="0053414B"/>
    <w:rsid w:val="0053423B"/>
    <w:rsid w:val="005342CC"/>
    <w:rsid w:val="005342DD"/>
    <w:rsid w:val="0053438D"/>
    <w:rsid w:val="0053450A"/>
    <w:rsid w:val="00534666"/>
    <w:rsid w:val="0053478D"/>
    <w:rsid w:val="00534792"/>
    <w:rsid w:val="00534C0E"/>
    <w:rsid w:val="00534D98"/>
    <w:rsid w:val="00534E3A"/>
    <w:rsid w:val="005351AB"/>
    <w:rsid w:val="005352EC"/>
    <w:rsid w:val="0053531A"/>
    <w:rsid w:val="00535502"/>
    <w:rsid w:val="00535679"/>
    <w:rsid w:val="005356B9"/>
    <w:rsid w:val="0053575C"/>
    <w:rsid w:val="005359E9"/>
    <w:rsid w:val="005359EF"/>
    <w:rsid w:val="00535A03"/>
    <w:rsid w:val="00535E6C"/>
    <w:rsid w:val="00536003"/>
    <w:rsid w:val="0053601E"/>
    <w:rsid w:val="00536065"/>
    <w:rsid w:val="005363CC"/>
    <w:rsid w:val="005365A0"/>
    <w:rsid w:val="005365DC"/>
    <w:rsid w:val="005366D0"/>
    <w:rsid w:val="00536C12"/>
    <w:rsid w:val="00537235"/>
    <w:rsid w:val="00537580"/>
    <w:rsid w:val="00537663"/>
    <w:rsid w:val="005377DB"/>
    <w:rsid w:val="00537AEA"/>
    <w:rsid w:val="00537B16"/>
    <w:rsid w:val="00537D89"/>
    <w:rsid w:val="00537FC3"/>
    <w:rsid w:val="005400DF"/>
    <w:rsid w:val="00540258"/>
    <w:rsid w:val="005404FC"/>
    <w:rsid w:val="005407CC"/>
    <w:rsid w:val="00540CA5"/>
    <w:rsid w:val="00540F00"/>
    <w:rsid w:val="00541797"/>
    <w:rsid w:val="005418CE"/>
    <w:rsid w:val="00541918"/>
    <w:rsid w:val="005419DB"/>
    <w:rsid w:val="00541C2E"/>
    <w:rsid w:val="00541CA7"/>
    <w:rsid w:val="00541E7D"/>
    <w:rsid w:val="005420C6"/>
    <w:rsid w:val="00542122"/>
    <w:rsid w:val="00542317"/>
    <w:rsid w:val="00542555"/>
    <w:rsid w:val="00542CB0"/>
    <w:rsid w:val="00542DBC"/>
    <w:rsid w:val="00542F25"/>
    <w:rsid w:val="005432A0"/>
    <w:rsid w:val="00543415"/>
    <w:rsid w:val="0054356C"/>
    <w:rsid w:val="00543722"/>
    <w:rsid w:val="005437DD"/>
    <w:rsid w:val="0054396C"/>
    <w:rsid w:val="00543B23"/>
    <w:rsid w:val="00543CEA"/>
    <w:rsid w:val="005440CB"/>
    <w:rsid w:val="005443BD"/>
    <w:rsid w:val="0054462D"/>
    <w:rsid w:val="005446B1"/>
    <w:rsid w:val="005446B3"/>
    <w:rsid w:val="00544755"/>
    <w:rsid w:val="00544A6B"/>
    <w:rsid w:val="00544B54"/>
    <w:rsid w:val="00544BF9"/>
    <w:rsid w:val="00544C0F"/>
    <w:rsid w:val="00544C1F"/>
    <w:rsid w:val="00545249"/>
    <w:rsid w:val="00545496"/>
    <w:rsid w:val="005456A4"/>
    <w:rsid w:val="0054580E"/>
    <w:rsid w:val="00546555"/>
    <w:rsid w:val="0054667C"/>
    <w:rsid w:val="005466D7"/>
    <w:rsid w:val="00546B66"/>
    <w:rsid w:val="00546CFC"/>
    <w:rsid w:val="00546DB4"/>
    <w:rsid w:val="00546F29"/>
    <w:rsid w:val="005470BC"/>
    <w:rsid w:val="0054724C"/>
    <w:rsid w:val="005472C2"/>
    <w:rsid w:val="005472E7"/>
    <w:rsid w:val="0054736E"/>
    <w:rsid w:val="005473D1"/>
    <w:rsid w:val="005475CA"/>
    <w:rsid w:val="00547886"/>
    <w:rsid w:val="0054791E"/>
    <w:rsid w:val="00547D69"/>
    <w:rsid w:val="00547DE5"/>
    <w:rsid w:val="00547F63"/>
    <w:rsid w:val="00550085"/>
    <w:rsid w:val="0055033D"/>
    <w:rsid w:val="005503FD"/>
    <w:rsid w:val="005509CB"/>
    <w:rsid w:val="00550EAD"/>
    <w:rsid w:val="00550FF2"/>
    <w:rsid w:val="00551D5D"/>
    <w:rsid w:val="00551ED2"/>
    <w:rsid w:val="00551EFA"/>
    <w:rsid w:val="00552003"/>
    <w:rsid w:val="00552047"/>
    <w:rsid w:val="00552266"/>
    <w:rsid w:val="00552295"/>
    <w:rsid w:val="005524F0"/>
    <w:rsid w:val="0055290E"/>
    <w:rsid w:val="00552A01"/>
    <w:rsid w:val="00552B61"/>
    <w:rsid w:val="00552C35"/>
    <w:rsid w:val="00552D83"/>
    <w:rsid w:val="005536B4"/>
    <w:rsid w:val="0055377D"/>
    <w:rsid w:val="00553A5F"/>
    <w:rsid w:val="00553B92"/>
    <w:rsid w:val="00553C03"/>
    <w:rsid w:val="00553E74"/>
    <w:rsid w:val="00553EFA"/>
    <w:rsid w:val="00553F4D"/>
    <w:rsid w:val="005540A3"/>
    <w:rsid w:val="005541A2"/>
    <w:rsid w:val="005541CF"/>
    <w:rsid w:val="005546EA"/>
    <w:rsid w:val="005546ED"/>
    <w:rsid w:val="005549EA"/>
    <w:rsid w:val="00554A6E"/>
    <w:rsid w:val="00554ADB"/>
    <w:rsid w:val="00554B99"/>
    <w:rsid w:val="00554C02"/>
    <w:rsid w:val="00554C7E"/>
    <w:rsid w:val="00554DDB"/>
    <w:rsid w:val="005551CC"/>
    <w:rsid w:val="0055580A"/>
    <w:rsid w:val="0055591A"/>
    <w:rsid w:val="00555A93"/>
    <w:rsid w:val="00555CE5"/>
    <w:rsid w:val="00555DB5"/>
    <w:rsid w:val="00555DEB"/>
    <w:rsid w:val="0055607B"/>
    <w:rsid w:val="005562FE"/>
    <w:rsid w:val="00556546"/>
    <w:rsid w:val="00556635"/>
    <w:rsid w:val="0055666C"/>
    <w:rsid w:val="0055673A"/>
    <w:rsid w:val="0055674C"/>
    <w:rsid w:val="0055679D"/>
    <w:rsid w:val="00556B54"/>
    <w:rsid w:val="00556D71"/>
    <w:rsid w:val="00557256"/>
    <w:rsid w:val="005572A5"/>
    <w:rsid w:val="0055762E"/>
    <w:rsid w:val="00557F2B"/>
    <w:rsid w:val="0056008F"/>
    <w:rsid w:val="00560321"/>
    <w:rsid w:val="0056045A"/>
    <w:rsid w:val="00560920"/>
    <w:rsid w:val="00560B84"/>
    <w:rsid w:val="00560BBE"/>
    <w:rsid w:val="00560C11"/>
    <w:rsid w:val="00560C5E"/>
    <w:rsid w:val="00560C8A"/>
    <w:rsid w:val="00560D3A"/>
    <w:rsid w:val="00560F5F"/>
    <w:rsid w:val="005613EA"/>
    <w:rsid w:val="00561604"/>
    <w:rsid w:val="0056166A"/>
    <w:rsid w:val="00561802"/>
    <w:rsid w:val="005619AF"/>
    <w:rsid w:val="005619CC"/>
    <w:rsid w:val="00561A27"/>
    <w:rsid w:val="00561B21"/>
    <w:rsid w:val="0056216E"/>
    <w:rsid w:val="00562434"/>
    <w:rsid w:val="00562549"/>
    <w:rsid w:val="005625FA"/>
    <w:rsid w:val="005627BC"/>
    <w:rsid w:val="00562925"/>
    <w:rsid w:val="00562B38"/>
    <w:rsid w:val="00562C03"/>
    <w:rsid w:val="00562D5E"/>
    <w:rsid w:val="00562E09"/>
    <w:rsid w:val="0056318F"/>
    <w:rsid w:val="00563986"/>
    <w:rsid w:val="00563A46"/>
    <w:rsid w:val="00563BC7"/>
    <w:rsid w:val="00563CAE"/>
    <w:rsid w:val="00563E7E"/>
    <w:rsid w:val="00563F88"/>
    <w:rsid w:val="00564117"/>
    <w:rsid w:val="005642C6"/>
    <w:rsid w:val="00564542"/>
    <w:rsid w:val="005646BC"/>
    <w:rsid w:val="0056474A"/>
    <w:rsid w:val="005649C9"/>
    <w:rsid w:val="00564D14"/>
    <w:rsid w:val="00564D9E"/>
    <w:rsid w:val="00564DEE"/>
    <w:rsid w:val="00564FCD"/>
    <w:rsid w:val="005656B6"/>
    <w:rsid w:val="00565898"/>
    <w:rsid w:val="0056594B"/>
    <w:rsid w:val="005659D2"/>
    <w:rsid w:val="00565AC5"/>
    <w:rsid w:val="00565BE9"/>
    <w:rsid w:val="00565C18"/>
    <w:rsid w:val="00565DEB"/>
    <w:rsid w:val="005660B8"/>
    <w:rsid w:val="0056628F"/>
    <w:rsid w:val="005662CC"/>
    <w:rsid w:val="005663A1"/>
    <w:rsid w:val="00566583"/>
    <w:rsid w:val="005666E5"/>
    <w:rsid w:val="005669E4"/>
    <w:rsid w:val="00566AD9"/>
    <w:rsid w:val="00566CAA"/>
    <w:rsid w:val="00566DE4"/>
    <w:rsid w:val="00567402"/>
    <w:rsid w:val="00567B42"/>
    <w:rsid w:val="00567E04"/>
    <w:rsid w:val="00567FCD"/>
    <w:rsid w:val="00570007"/>
    <w:rsid w:val="005701DF"/>
    <w:rsid w:val="00570363"/>
    <w:rsid w:val="00570440"/>
    <w:rsid w:val="0057057D"/>
    <w:rsid w:val="00570663"/>
    <w:rsid w:val="0057075F"/>
    <w:rsid w:val="00570A01"/>
    <w:rsid w:val="00570A1F"/>
    <w:rsid w:val="00570DD0"/>
    <w:rsid w:val="00570F85"/>
    <w:rsid w:val="0057103C"/>
    <w:rsid w:val="00571045"/>
    <w:rsid w:val="00571BE5"/>
    <w:rsid w:val="00571C9D"/>
    <w:rsid w:val="00571E39"/>
    <w:rsid w:val="00571F08"/>
    <w:rsid w:val="00572800"/>
    <w:rsid w:val="00572AB7"/>
    <w:rsid w:val="00572D95"/>
    <w:rsid w:val="00572F1E"/>
    <w:rsid w:val="00572FD2"/>
    <w:rsid w:val="00573193"/>
    <w:rsid w:val="00573380"/>
    <w:rsid w:val="0057338A"/>
    <w:rsid w:val="00573774"/>
    <w:rsid w:val="00573968"/>
    <w:rsid w:val="00573A8D"/>
    <w:rsid w:val="00573AA9"/>
    <w:rsid w:val="00573ADE"/>
    <w:rsid w:val="00573B79"/>
    <w:rsid w:val="00573FDD"/>
    <w:rsid w:val="0057486C"/>
    <w:rsid w:val="0057488D"/>
    <w:rsid w:val="00574BA8"/>
    <w:rsid w:val="00574C7B"/>
    <w:rsid w:val="005752C8"/>
    <w:rsid w:val="0057554B"/>
    <w:rsid w:val="0057559E"/>
    <w:rsid w:val="00575FE1"/>
    <w:rsid w:val="0057609C"/>
    <w:rsid w:val="0057613E"/>
    <w:rsid w:val="005762E4"/>
    <w:rsid w:val="005766E6"/>
    <w:rsid w:val="005767ED"/>
    <w:rsid w:val="00576A5E"/>
    <w:rsid w:val="00576AB9"/>
    <w:rsid w:val="005771C8"/>
    <w:rsid w:val="00577524"/>
    <w:rsid w:val="005775D7"/>
    <w:rsid w:val="00577609"/>
    <w:rsid w:val="005778B1"/>
    <w:rsid w:val="00577AAE"/>
    <w:rsid w:val="00577CED"/>
    <w:rsid w:val="00580143"/>
    <w:rsid w:val="005802C1"/>
    <w:rsid w:val="00580405"/>
    <w:rsid w:val="00580794"/>
    <w:rsid w:val="005807A2"/>
    <w:rsid w:val="005807F2"/>
    <w:rsid w:val="00580843"/>
    <w:rsid w:val="00580D91"/>
    <w:rsid w:val="00580F53"/>
    <w:rsid w:val="005812A7"/>
    <w:rsid w:val="0058131B"/>
    <w:rsid w:val="005813FB"/>
    <w:rsid w:val="0058154D"/>
    <w:rsid w:val="005816A9"/>
    <w:rsid w:val="005819A2"/>
    <w:rsid w:val="00581C00"/>
    <w:rsid w:val="00581E36"/>
    <w:rsid w:val="00581FE5"/>
    <w:rsid w:val="00582047"/>
    <w:rsid w:val="00582147"/>
    <w:rsid w:val="00582656"/>
    <w:rsid w:val="00582810"/>
    <w:rsid w:val="0058287F"/>
    <w:rsid w:val="005829B0"/>
    <w:rsid w:val="00582CDA"/>
    <w:rsid w:val="00582E96"/>
    <w:rsid w:val="0058302B"/>
    <w:rsid w:val="00583167"/>
    <w:rsid w:val="00583316"/>
    <w:rsid w:val="005836A5"/>
    <w:rsid w:val="00583A9A"/>
    <w:rsid w:val="00583AE8"/>
    <w:rsid w:val="00583E6E"/>
    <w:rsid w:val="00583FB9"/>
    <w:rsid w:val="00583FD4"/>
    <w:rsid w:val="005840DE"/>
    <w:rsid w:val="00584243"/>
    <w:rsid w:val="005843D0"/>
    <w:rsid w:val="0058491A"/>
    <w:rsid w:val="00584969"/>
    <w:rsid w:val="005849D0"/>
    <w:rsid w:val="00584A10"/>
    <w:rsid w:val="00584A9C"/>
    <w:rsid w:val="00584BF8"/>
    <w:rsid w:val="005850CF"/>
    <w:rsid w:val="00585210"/>
    <w:rsid w:val="00585453"/>
    <w:rsid w:val="00585460"/>
    <w:rsid w:val="005857A5"/>
    <w:rsid w:val="00585989"/>
    <w:rsid w:val="00585BE3"/>
    <w:rsid w:val="00585CCF"/>
    <w:rsid w:val="00585DE3"/>
    <w:rsid w:val="00585E76"/>
    <w:rsid w:val="0058608D"/>
    <w:rsid w:val="005861A2"/>
    <w:rsid w:val="005861B9"/>
    <w:rsid w:val="00586522"/>
    <w:rsid w:val="005865B9"/>
    <w:rsid w:val="005868FF"/>
    <w:rsid w:val="00586AFD"/>
    <w:rsid w:val="00586CF9"/>
    <w:rsid w:val="0058706F"/>
    <w:rsid w:val="00587343"/>
    <w:rsid w:val="005873B1"/>
    <w:rsid w:val="00587592"/>
    <w:rsid w:val="005875DE"/>
    <w:rsid w:val="005878CC"/>
    <w:rsid w:val="005878D4"/>
    <w:rsid w:val="00587900"/>
    <w:rsid w:val="00587933"/>
    <w:rsid w:val="0058797A"/>
    <w:rsid w:val="00587A92"/>
    <w:rsid w:val="00587FE8"/>
    <w:rsid w:val="005900FE"/>
    <w:rsid w:val="005903B8"/>
    <w:rsid w:val="0059077E"/>
    <w:rsid w:val="00590828"/>
    <w:rsid w:val="0059085E"/>
    <w:rsid w:val="00590B68"/>
    <w:rsid w:val="00590FAC"/>
    <w:rsid w:val="005911F8"/>
    <w:rsid w:val="005913A5"/>
    <w:rsid w:val="0059156B"/>
    <w:rsid w:val="005916C1"/>
    <w:rsid w:val="005918C2"/>
    <w:rsid w:val="00591C2F"/>
    <w:rsid w:val="00591E89"/>
    <w:rsid w:val="00591F70"/>
    <w:rsid w:val="0059232C"/>
    <w:rsid w:val="005926EC"/>
    <w:rsid w:val="0059297C"/>
    <w:rsid w:val="00592C5D"/>
    <w:rsid w:val="00592F4F"/>
    <w:rsid w:val="00592FE0"/>
    <w:rsid w:val="0059302B"/>
    <w:rsid w:val="00593186"/>
    <w:rsid w:val="005931F4"/>
    <w:rsid w:val="005935FB"/>
    <w:rsid w:val="00593785"/>
    <w:rsid w:val="0059385D"/>
    <w:rsid w:val="00593AB4"/>
    <w:rsid w:val="00593B8B"/>
    <w:rsid w:val="00593F3A"/>
    <w:rsid w:val="00594053"/>
    <w:rsid w:val="00594111"/>
    <w:rsid w:val="0059468A"/>
    <w:rsid w:val="005946E1"/>
    <w:rsid w:val="005947CF"/>
    <w:rsid w:val="00594A9F"/>
    <w:rsid w:val="00594E18"/>
    <w:rsid w:val="0059500D"/>
    <w:rsid w:val="00595072"/>
    <w:rsid w:val="00595231"/>
    <w:rsid w:val="00595233"/>
    <w:rsid w:val="00595291"/>
    <w:rsid w:val="005952FD"/>
    <w:rsid w:val="0059537B"/>
    <w:rsid w:val="005956C1"/>
    <w:rsid w:val="005957A4"/>
    <w:rsid w:val="00595AEC"/>
    <w:rsid w:val="00595B8A"/>
    <w:rsid w:val="00595DB7"/>
    <w:rsid w:val="0059605E"/>
    <w:rsid w:val="005960D6"/>
    <w:rsid w:val="00596445"/>
    <w:rsid w:val="00596682"/>
    <w:rsid w:val="005968D0"/>
    <w:rsid w:val="005969AA"/>
    <w:rsid w:val="00596EB3"/>
    <w:rsid w:val="00596F06"/>
    <w:rsid w:val="005970E1"/>
    <w:rsid w:val="005971DF"/>
    <w:rsid w:val="00597476"/>
    <w:rsid w:val="00597870"/>
    <w:rsid w:val="00597D26"/>
    <w:rsid w:val="00597DB8"/>
    <w:rsid w:val="00597EA6"/>
    <w:rsid w:val="00597FBE"/>
    <w:rsid w:val="005A06A9"/>
    <w:rsid w:val="005A06B9"/>
    <w:rsid w:val="005A0A4D"/>
    <w:rsid w:val="005A0BD7"/>
    <w:rsid w:val="005A0D26"/>
    <w:rsid w:val="005A1021"/>
    <w:rsid w:val="005A1152"/>
    <w:rsid w:val="005A1349"/>
    <w:rsid w:val="005A1382"/>
    <w:rsid w:val="005A13FE"/>
    <w:rsid w:val="005A15A4"/>
    <w:rsid w:val="005A16E6"/>
    <w:rsid w:val="005A16E7"/>
    <w:rsid w:val="005A16EC"/>
    <w:rsid w:val="005A198E"/>
    <w:rsid w:val="005A1B3A"/>
    <w:rsid w:val="005A1B58"/>
    <w:rsid w:val="005A1BA6"/>
    <w:rsid w:val="005A1EE2"/>
    <w:rsid w:val="005A1FAB"/>
    <w:rsid w:val="005A20F1"/>
    <w:rsid w:val="005A2262"/>
    <w:rsid w:val="005A23E2"/>
    <w:rsid w:val="005A252A"/>
    <w:rsid w:val="005A2A16"/>
    <w:rsid w:val="005A2B9D"/>
    <w:rsid w:val="005A31D1"/>
    <w:rsid w:val="005A323B"/>
    <w:rsid w:val="005A3314"/>
    <w:rsid w:val="005A36B8"/>
    <w:rsid w:val="005A3776"/>
    <w:rsid w:val="005A37AF"/>
    <w:rsid w:val="005A3805"/>
    <w:rsid w:val="005A38AD"/>
    <w:rsid w:val="005A38CD"/>
    <w:rsid w:val="005A3BDB"/>
    <w:rsid w:val="005A3F67"/>
    <w:rsid w:val="005A3FA9"/>
    <w:rsid w:val="005A4126"/>
    <w:rsid w:val="005A44EF"/>
    <w:rsid w:val="005A4AE0"/>
    <w:rsid w:val="005A4BE4"/>
    <w:rsid w:val="005A5272"/>
    <w:rsid w:val="005A549B"/>
    <w:rsid w:val="005A5626"/>
    <w:rsid w:val="005A5915"/>
    <w:rsid w:val="005A6014"/>
    <w:rsid w:val="005A6079"/>
    <w:rsid w:val="005A61E7"/>
    <w:rsid w:val="005A640D"/>
    <w:rsid w:val="005A64DB"/>
    <w:rsid w:val="005A6866"/>
    <w:rsid w:val="005A68BE"/>
    <w:rsid w:val="005A6B33"/>
    <w:rsid w:val="005A6B64"/>
    <w:rsid w:val="005A6ECD"/>
    <w:rsid w:val="005A732E"/>
    <w:rsid w:val="005A736F"/>
    <w:rsid w:val="005A7A0D"/>
    <w:rsid w:val="005A7B5C"/>
    <w:rsid w:val="005A7BAD"/>
    <w:rsid w:val="005A7BFC"/>
    <w:rsid w:val="005A7C7D"/>
    <w:rsid w:val="005A7CC7"/>
    <w:rsid w:val="005A7D58"/>
    <w:rsid w:val="005A7F76"/>
    <w:rsid w:val="005A7F97"/>
    <w:rsid w:val="005B017B"/>
    <w:rsid w:val="005B0268"/>
    <w:rsid w:val="005B042E"/>
    <w:rsid w:val="005B0559"/>
    <w:rsid w:val="005B05F4"/>
    <w:rsid w:val="005B069F"/>
    <w:rsid w:val="005B06F0"/>
    <w:rsid w:val="005B0740"/>
    <w:rsid w:val="005B0B9C"/>
    <w:rsid w:val="005B0D2A"/>
    <w:rsid w:val="005B0ED7"/>
    <w:rsid w:val="005B0FE8"/>
    <w:rsid w:val="005B145F"/>
    <w:rsid w:val="005B1477"/>
    <w:rsid w:val="005B16DE"/>
    <w:rsid w:val="005B1941"/>
    <w:rsid w:val="005B1E3E"/>
    <w:rsid w:val="005B1E4A"/>
    <w:rsid w:val="005B218D"/>
    <w:rsid w:val="005B2216"/>
    <w:rsid w:val="005B2527"/>
    <w:rsid w:val="005B2888"/>
    <w:rsid w:val="005B2BE5"/>
    <w:rsid w:val="005B32B7"/>
    <w:rsid w:val="005B336C"/>
    <w:rsid w:val="005B35B1"/>
    <w:rsid w:val="005B3646"/>
    <w:rsid w:val="005B3934"/>
    <w:rsid w:val="005B3E86"/>
    <w:rsid w:val="005B4115"/>
    <w:rsid w:val="005B4200"/>
    <w:rsid w:val="005B4278"/>
    <w:rsid w:val="005B450A"/>
    <w:rsid w:val="005B453C"/>
    <w:rsid w:val="005B4D27"/>
    <w:rsid w:val="005B4ED5"/>
    <w:rsid w:val="005B4F7C"/>
    <w:rsid w:val="005B5494"/>
    <w:rsid w:val="005B55B3"/>
    <w:rsid w:val="005B56F0"/>
    <w:rsid w:val="005B5A0B"/>
    <w:rsid w:val="005B5BDD"/>
    <w:rsid w:val="005B5C21"/>
    <w:rsid w:val="005B5E6B"/>
    <w:rsid w:val="005B5F24"/>
    <w:rsid w:val="005B5F7D"/>
    <w:rsid w:val="005B60F8"/>
    <w:rsid w:val="005B63D9"/>
    <w:rsid w:val="005B6407"/>
    <w:rsid w:val="005B651B"/>
    <w:rsid w:val="005B6606"/>
    <w:rsid w:val="005B6A02"/>
    <w:rsid w:val="005B6B07"/>
    <w:rsid w:val="005B6B49"/>
    <w:rsid w:val="005B6C3E"/>
    <w:rsid w:val="005B6D32"/>
    <w:rsid w:val="005B708C"/>
    <w:rsid w:val="005B71B0"/>
    <w:rsid w:val="005B74B3"/>
    <w:rsid w:val="005B764F"/>
    <w:rsid w:val="005B7B54"/>
    <w:rsid w:val="005B7CFD"/>
    <w:rsid w:val="005B7FCA"/>
    <w:rsid w:val="005C025C"/>
    <w:rsid w:val="005C0427"/>
    <w:rsid w:val="005C0526"/>
    <w:rsid w:val="005C06E7"/>
    <w:rsid w:val="005C07C7"/>
    <w:rsid w:val="005C0AFC"/>
    <w:rsid w:val="005C0EBC"/>
    <w:rsid w:val="005C0FB1"/>
    <w:rsid w:val="005C11E6"/>
    <w:rsid w:val="005C14A1"/>
    <w:rsid w:val="005C14D5"/>
    <w:rsid w:val="005C170A"/>
    <w:rsid w:val="005C1814"/>
    <w:rsid w:val="005C1BD1"/>
    <w:rsid w:val="005C1F4C"/>
    <w:rsid w:val="005C20C9"/>
    <w:rsid w:val="005C21AE"/>
    <w:rsid w:val="005C21B6"/>
    <w:rsid w:val="005C265E"/>
    <w:rsid w:val="005C2702"/>
    <w:rsid w:val="005C277B"/>
    <w:rsid w:val="005C2967"/>
    <w:rsid w:val="005C29D4"/>
    <w:rsid w:val="005C2A26"/>
    <w:rsid w:val="005C3025"/>
    <w:rsid w:val="005C30E0"/>
    <w:rsid w:val="005C3602"/>
    <w:rsid w:val="005C3644"/>
    <w:rsid w:val="005C36BA"/>
    <w:rsid w:val="005C3B0E"/>
    <w:rsid w:val="005C3D99"/>
    <w:rsid w:val="005C43AF"/>
    <w:rsid w:val="005C47CC"/>
    <w:rsid w:val="005C485B"/>
    <w:rsid w:val="005C49A7"/>
    <w:rsid w:val="005C4ABD"/>
    <w:rsid w:val="005C4F2C"/>
    <w:rsid w:val="005C5046"/>
    <w:rsid w:val="005C54B6"/>
    <w:rsid w:val="005C54DA"/>
    <w:rsid w:val="005C582A"/>
    <w:rsid w:val="005C5989"/>
    <w:rsid w:val="005C5999"/>
    <w:rsid w:val="005C5B8B"/>
    <w:rsid w:val="005C5D47"/>
    <w:rsid w:val="005C5D9D"/>
    <w:rsid w:val="005C5E7C"/>
    <w:rsid w:val="005C6169"/>
    <w:rsid w:val="005C655F"/>
    <w:rsid w:val="005C676F"/>
    <w:rsid w:val="005C6963"/>
    <w:rsid w:val="005C6E50"/>
    <w:rsid w:val="005C6F28"/>
    <w:rsid w:val="005C711D"/>
    <w:rsid w:val="005C71A7"/>
    <w:rsid w:val="005C71AC"/>
    <w:rsid w:val="005C7458"/>
    <w:rsid w:val="005C7495"/>
    <w:rsid w:val="005C74ED"/>
    <w:rsid w:val="005C76D9"/>
    <w:rsid w:val="005C7871"/>
    <w:rsid w:val="005C7B2D"/>
    <w:rsid w:val="005C7B54"/>
    <w:rsid w:val="005C7B81"/>
    <w:rsid w:val="005C7B90"/>
    <w:rsid w:val="005C7C0D"/>
    <w:rsid w:val="005C7C7E"/>
    <w:rsid w:val="005C7D69"/>
    <w:rsid w:val="005C7E80"/>
    <w:rsid w:val="005D0092"/>
    <w:rsid w:val="005D01CF"/>
    <w:rsid w:val="005D0221"/>
    <w:rsid w:val="005D03E6"/>
    <w:rsid w:val="005D0601"/>
    <w:rsid w:val="005D082C"/>
    <w:rsid w:val="005D0913"/>
    <w:rsid w:val="005D0D69"/>
    <w:rsid w:val="005D0F33"/>
    <w:rsid w:val="005D0FA2"/>
    <w:rsid w:val="005D1099"/>
    <w:rsid w:val="005D139A"/>
    <w:rsid w:val="005D14D1"/>
    <w:rsid w:val="005D17C7"/>
    <w:rsid w:val="005D1889"/>
    <w:rsid w:val="005D1CE5"/>
    <w:rsid w:val="005D1E06"/>
    <w:rsid w:val="005D1FCF"/>
    <w:rsid w:val="005D223C"/>
    <w:rsid w:val="005D238D"/>
    <w:rsid w:val="005D2552"/>
    <w:rsid w:val="005D27D2"/>
    <w:rsid w:val="005D27E8"/>
    <w:rsid w:val="005D28BC"/>
    <w:rsid w:val="005D2949"/>
    <w:rsid w:val="005D2D03"/>
    <w:rsid w:val="005D3238"/>
    <w:rsid w:val="005D3331"/>
    <w:rsid w:val="005D3A4F"/>
    <w:rsid w:val="005D3B0A"/>
    <w:rsid w:val="005D3D62"/>
    <w:rsid w:val="005D3D98"/>
    <w:rsid w:val="005D3E49"/>
    <w:rsid w:val="005D3ED7"/>
    <w:rsid w:val="005D4F25"/>
    <w:rsid w:val="005D5027"/>
    <w:rsid w:val="005D50A4"/>
    <w:rsid w:val="005D575A"/>
    <w:rsid w:val="005D5964"/>
    <w:rsid w:val="005D59AB"/>
    <w:rsid w:val="005D5BD8"/>
    <w:rsid w:val="005D5F29"/>
    <w:rsid w:val="005D6025"/>
    <w:rsid w:val="005D609A"/>
    <w:rsid w:val="005D6460"/>
    <w:rsid w:val="005D6534"/>
    <w:rsid w:val="005D67A3"/>
    <w:rsid w:val="005D6D50"/>
    <w:rsid w:val="005D6D8D"/>
    <w:rsid w:val="005D6EFD"/>
    <w:rsid w:val="005D6F1A"/>
    <w:rsid w:val="005D6FBB"/>
    <w:rsid w:val="005D7031"/>
    <w:rsid w:val="005D74BD"/>
    <w:rsid w:val="005D74D6"/>
    <w:rsid w:val="005D78A2"/>
    <w:rsid w:val="005D7C95"/>
    <w:rsid w:val="005E00FE"/>
    <w:rsid w:val="005E0130"/>
    <w:rsid w:val="005E0280"/>
    <w:rsid w:val="005E03D7"/>
    <w:rsid w:val="005E06D9"/>
    <w:rsid w:val="005E07A8"/>
    <w:rsid w:val="005E08A0"/>
    <w:rsid w:val="005E099B"/>
    <w:rsid w:val="005E0A4C"/>
    <w:rsid w:val="005E0C9F"/>
    <w:rsid w:val="005E0DC7"/>
    <w:rsid w:val="005E0DE6"/>
    <w:rsid w:val="005E0F7C"/>
    <w:rsid w:val="005E10FA"/>
    <w:rsid w:val="005E1516"/>
    <w:rsid w:val="005E157E"/>
    <w:rsid w:val="005E1644"/>
    <w:rsid w:val="005E214D"/>
    <w:rsid w:val="005E2323"/>
    <w:rsid w:val="005E27BC"/>
    <w:rsid w:val="005E28FB"/>
    <w:rsid w:val="005E29FC"/>
    <w:rsid w:val="005E2C5E"/>
    <w:rsid w:val="005E2EB3"/>
    <w:rsid w:val="005E30FA"/>
    <w:rsid w:val="005E3A4A"/>
    <w:rsid w:val="005E3C5C"/>
    <w:rsid w:val="005E3DF4"/>
    <w:rsid w:val="005E4166"/>
    <w:rsid w:val="005E42E9"/>
    <w:rsid w:val="005E4340"/>
    <w:rsid w:val="005E4561"/>
    <w:rsid w:val="005E461E"/>
    <w:rsid w:val="005E47A8"/>
    <w:rsid w:val="005E49A3"/>
    <w:rsid w:val="005E4A30"/>
    <w:rsid w:val="005E4B9A"/>
    <w:rsid w:val="005E4CEB"/>
    <w:rsid w:val="005E54A3"/>
    <w:rsid w:val="005E5861"/>
    <w:rsid w:val="005E59DE"/>
    <w:rsid w:val="005E5B6F"/>
    <w:rsid w:val="005E5B82"/>
    <w:rsid w:val="005E5CD1"/>
    <w:rsid w:val="005E5D79"/>
    <w:rsid w:val="005E652A"/>
    <w:rsid w:val="005E65B9"/>
    <w:rsid w:val="005E663D"/>
    <w:rsid w:val="005E6650"/>
    <w:rsid w:val="005E6AE8"/>
    <w:rsid w:val="005E706D"/>
    <w:rsid w:val="005E70AD"/>
    <w:rsid w:val="005E70DE"/>
    <w:rsid w:val="005E73AD"/>
    <w:rsid w:val="005E740D"/>
    <w:rsid w:val="005E7AA7"/>
    <w:rsid w:val="005E7ACE"/>
    <w:rsid w:val="005E7BA0"/>
    <w:rsid w:val="005E7FA6"/>
    <w:rsid w:val="005F0068"/>
    <w:rsid w:val="005F0121"/>
    <w:rsid w:val="005F015A"/>
    <w:rsid w:val="005F02E1"/>
    <w:rsid w:val="005F03CB"/>
    <w:rsid w:val="005F0481"/>
    <w:rsid w:val="005F09A1"/>
    <w:rsid w:val="005F0B94"/>
    <w:rsid w:val="005F0C5F"/>
    <w:rsid w:val="005F0D5A"/>
    <w:rsid w:val="005F0EE1"/>
    <w:rsid w:val="005F0F92"/>
    <w:rsid w:val="005F1087"/>
    <w:rsid w:val="005F1226"/>
    <w:rsid w:val="005F1255"/>
    <w:rsid w:val="005F13B0"/>
    <w:rsid w:val="005F13C9"/>
    <w:rsid w:val="005F1406"/>
    <w:rsid w:val="005F1532"/>
    <w:rsid w:val="005F17B9"/>
    <w:rsid w:val="005F18D0"/>
    <w:rsid w:val="005F1967"/>
    <w:rsid w:val="005F2089"/>
    <w:rsid w:val="005F20D9"/>
    <w:rsid w:val="005F20E9"/>
    <w:rsid w:val="005F23CD"/>
    <w:rsid w:val="005F2506"/>
    <w:rsid w:val="005F26B3"/>
    <w:rsid w:val="005F26DF"/>
    <w:rsid w:val="005F28F0"/>
    <w:rsid w:val="005F2AC1"/>
    <w:rsid w:val="005F2B13"/>
    <w:rsid w:val="005F2B81"/>
    <w:rsid w:val="005F2BD4"/>
    <w:rsid w:val="005F2CDF"/>
    <w:rsid w:val="005F307D"/>
    <w:rsid w:val="005F30A3"/>
    <w:rsid w:val="005F341A"/>
    <w:rsid w:val="005F3624"/>
    <w:rsid w:val="005F3862"/>
    <w:rsid w:val="005F39C8"/>
    <w:rsid w:val="005F3C01"/>
    <w:rsid w:val="005F3D0A"/>
    <w:rsid w:val="005F46E2"/>
    <w:rsid w:val="005F4717"/>
    <w:rsid w:val="005F47E1"/>
    <w:rsid w:val="005F4B68"/>
    <w:rsid w:val="005F4E2D"/>
    <w:rsid w:val="005F4FAA"/>
    <w:rsid w:val="005F4FFE"/>
    <w:rsid w:val="005F5048"/>
    <w:rsid w:val="005F5089"/>
    <w:rsid w:val="005F594F"/>
    <w:rsid w:val="005F5DA1"/>
    <w:rsid w:val="005F5DA5"/>
    <w:rsid w:val="005F5EC6"/>
    <w:rsid w:val="005F5FC4"/>
    <w:rsid w:val="005F617D"/>
    <w:rsid w:val="005F67E8"/>
    <w:rsid w:val="005F6861"/>
    <w:rsid w:val="005F6994"/>
    <w:rsid w:val="005F6B35"/>
    <w:rsid w:val="005F6B6D"/>
    <w:rsid w:val="005F6ECA"/>
    <w:rsid w:val="005F7578"/>
    <w:rsid w:val="005F784A"/>
    <w:rsid w:val="005F78FC"/>
    <w:rsid w:val="005F7D40"/>
    <w:rsid w:val="005F7D8D"/>
    <w:rsid w:val="005F7E3C"/>
    <w:rsid w:val="00600037"/>
    <w:rsid w:val="00600088"/>
    <w:rsid w:val="006000A4"/>
    <w:rsid w:val="0060031D"/>
    <w:rsid w:val="00600881"/>
    <w:rsid w:val="0060088F"/>
    <w:rsid w:val="00600A91"/>
    <w:rsid w:val="00600CBC"/>
    <w:rsid w:val="00601022"/>
    <w:rsid w:val="00601040"/>
    <w:rsid w:val="006012C9"/>
    <w:rsid w:val="0060151B"/>
    <w:rsid w:val="00601545"/>
    <w:rsid w:val="0060170D"/>
    <w:rsid w:val="006018B6"/>
    <w:rsid w:val="00601920"/>
    <w:rsid w:val="00601CBD"/>
    <w:rsid w:val="006020F4"/>
    <w:rsid w:val="00602301"/>
    <w:rsid w:val="0060236C"/>
    <w:rsid w:val="00602637"/>
    <w:rsid w:val="006026D4"/>
    <w:rsid w:val="00602A61"/>
    <w:rsid w:val="00602BF6"/>
    <w:rsid w:val="00602C6A"/>
    <w:rsid w:val="00602DB8"/>
    <w:rsid w:val="00602E3F"/>
    <w:rsid w:val="00602EBB"/>
    <w:rsid w:val="00602F2C"/>
    <w:rsid w:val="00602F3D"/>
    <w:rsid w:val="00602F7F"/>
    <w:rsid w:val="00603219"/>
    <w:rsid w:val="00603316"/>
    <w:rsid w:val="00603422"/>
    <w:rsid w:val="006037B0"/>
    <w:rsid w:val="0060395F"/>
    <w:rsid w:val="00603A24"/>
    <w:rsid w:val="00604088"/>
    <w:rsid w:val="00604356"/>
    <w:rsid w:val="0060439C"/>
    <w:rsid w:val="006044AF"/>
    <w:rsid w:val="0060496A"/>
    <w:rsid w:val="0060498C"/>
    <w:rsid w:val="00604AA1"/>
    <w:rsid w:val="00604B99"/>
    <w:rsid w:val="00604F39"/>
    <w:rsid w:val="00605310"/>
    <w:rsid w:val="00605456"/>
    <w:rsid w:val="0060557D"/>
    <w:rsid w:val="0060573D"/>
    <w:rsid w:val="00605A64"/>
    <w:rsid w:val="00605AFC"/>
    <w:rsid w:val="00605D0A"/>
    <w:rsid w:val="00605EA6"/>
    <w:rsid w:val="00605FD1"/>
    <w:rsid w:val="00606150"/>
    <w:rsid w:val="00606214"/>
    <w:rsid w:val="006062D8"/>
    <w:rsid w:val="00606471"/>
    <w:rsid w:val="006066C7"/>
    <w:rsid w:val="00606844"/>
    <w:rsid w:val="006069B1"/>
    <w:rsid w:val="006069F0"/>
    <w:rsid w:val="00606A29"/>
    <w:rsid w:val="00606BCB"/>
    <w:rsid w:val="00606CFF"/>
    <w:rsid w:val="00607099"/>
    <w:rsid w:val="00607548"/>
    <w:rsid w:val="006075AC"/>
    <w:rsid w:val="0060767A"/>
    <w:rsid w:val="00607953"/>
    <w:rsid w:val="006079AC"/>
    <w:rsid w:val="00607BA5"/>
    <w:rsid w:val="00607CE4"/>
    <w:rsid w:val="00607DB4"/>
    <w:rsid w:val="00607EFC"/>
    <w:rsid w:val="006101A5"/>
    <w:rsid w:val="00610482"/>
    <w:rsid w:val="006105CD"/>
    <w:rsid w:val="0061060E"/>
    <w:rsid w:val="00610621"/>
    <w:rsid w:val="006109B4"/>
    <w:rsid w:val="00610D1B"/>
    <w:rsid w:val="00610E14"/>
    <w:rsid w:val="00610E45"/>
    <w:rsid w:val="00611360"/>
    <w:rsid w:val="00611683"/>
    <w:rsid w:val="00611751"/>
    <w:rsid w:val="006117DD"/>
    <w:rsid w:val="006118C1"/>
    <w:rsid w:val="006118C6"/>
    <w:rsid w:val="00611B06"/>
    <w:rsid w:val="00611C4F"/>
    <w:rsid w:val="00611F77"/>
    <w:rsid w:val="00612287"/>
    <w:rsid w:val="0061235C"/>
    <w:rsid w:val="00612363"/>
    <w:rsid w:val="00612366"/>
    <w:rsid w:val="00612582"/>
    <w:rsid w:val="006125D0"/>
    <w:rsid w:val="0061263C"/>
    <w:rsid w:val="006126CB"/>
    <w:rsid w:val="006127DE"/>
    <w:rsid w:val="006129DF"/>
    <w:rsid w:val="00612A2D"/>
    <w:rsid w:val="00612BEE"/>
    <w:rsid w:val="00612D4E"/>
    <w:rsid w:val="00612E17"/>
    <w:rsid w:val="00612E48"/>
    <w:rsid w:val="0061303E"/>
    <w:rsid w:val="006131C0"/>
    <w:rsid w:val="006131CB"/>
    <w:rsid w:val="00613297"/>
    <w:rsid w:val="0061344E"/>
    <w:rsid w:val="006138FD"/>
    <w:rsid w:val="00613A48"/>
    <w:rsid w:val="00614001"/>
    <w:rsid w:val="0061410D"/>
    <w:rsid w:val="00614306"/>
    <w:rsid w:val="00614381"/>
    <w:rsid w:val="00614446"/>
    <w:rsid w:val="00614478"/>
    <w:rsid w:val="006147D3"/>
    <w:rsid w:val="00614B80"/>
    <w:rsid w:val="0061507D"/>
    <w:rsid w:val="0061536B"/>
    <w:rsid w:val="0061575F"/>
    <w:rsid w:val="006157DA"/>
    <w:rsid w:val="00615BD4"/>
    <w:rsid w:val="00615C68"/>
    <w:rsid w:val="00615D62"/>
    <w:rsid w:val="00615D6A"/>
    <w:rsid w:val="00615DA4"/>
    <w:rsid w:val="00616502"/>
    <w:rsid w:val="006167FF"/>
    <w:rsid w:val="00616A83"/>
    <w:rsid w:val="00616AB2"/>
    <w:rsid w:val="00616AB7"/>
    <w:rsid w:val="00616BB6"/>
    <w:rsid w:val="00616D05"/>
    <w:rsid w:val="0061717B"/>
    <w:rsid w:val="006178EE"/>
    <w:rsid w:val="00617D5A"/>
    <w:rsid w:val="00617D7F"/>
    <w:rsid w:val="00617FC8"/>
    <w:rsid w:val="00617FFE"/>
    <w:rsid w:val="00620218"/>
    <w:rsid w:val="006202C2"/>
    <w:rsid w:val="00620345"/>
    <w:rsid w:val="00620866"/>
    <w:rsid w:val="006209B7"/>
    <w:rsid w:val="00620BD9"/>
    <w:rsid w:val="00620CE0"/>
    <w:rsid w:val="00620DDB"/>
    <w:rsid w:val="00620E12"/>
    <w:rsid w:val="00620EB6"/>
    <w:rsid w:val="00621361"/>
    <w:rsid w:val="00621399"/>
    <w:rsid w:val="0062140F"/>
    <w:rsid w:val="006215CC"/>
    <w:rsid w:val="006215E3"/>
    <w:rsid w:val="006216FF"/>
    <w:rsid w:val="00621EF2"/>
    <w:rsid w:val="0062201A"/>
    <w:rsid w:val="00622059"/>
    <w:rsid w:val="0062233D"/>
    <w:rsid w:val="00622B63"/>
    <w:rsid w:val="00622BAC"/>
    <w:rsid w:val="00622DE5"/>
    <w:rsid w:val="00622F3B"/>
    <w:rsid w:val="006231C6"/>
    <w:rsid w:val="0062320B"/>
    <w:rsid w:val="00623319"/>
    <w:rsid w:val="006239DF"/>
    <w:rsid w:val="00623B22"/>
    <w:rsid w:val="00623B7B"/>
    <w:rsid w:val="00623C02"/>
    <w:rsid w:val="00623E17"/>
    <w:rsid w:val="00623F4C"/>
    <w:rsid w:val="006240FA"/>
    <w:rsid w:val="006243AF"/>
    <w:rsid w:val="0062456A"/>
    <w:rsid w:val="006246F7"/>
    <w:rsid w:val="00624D01"/>
    <w:rsid w:val="00625045"/>
    <w:rsid w:val="00625251"/>
    <w:rsid w:val="00625491"/>
    <w:rsid w:val="006256BC"/>
    <w:rsid w:val="0062599A"/>
    <w:rsid w:val="00625BA9"/>
    <w:rsid w:val="00625BC6"/>
    <w:rsid w:val="00625C76"/>
    <w:rsid w:val="00625E50"/>
    <w:rsid w:val="00625EA4"/>
    <w:rsid w:val="00625F27"/>
    <w:rsid w:val="00626026"/>
    <w:rsid w:val="00626095"/>
    <w:rsid w:val="006261AC"/>
    <w:rsid w:val="0062644B"/>
    <w:rsid w:val="0062651F"/>
    <w:rsid w:val="00626898"/>
    <w:rsid w:val="006269BE"/>
    <w:rsid w:val="00626B4B"/>
    <w:rsid w:val="00626C3B"/>
    <w:rsid w:val="00626D30"/>
    <w:rsid w:val="00626FC0"/>
    <w:rsid w:val="0062706F"/>
    <w:rsid w:val="00627120"/>
    <w:rsid w:val="006273E2"/>
    <w:rsid w:val="0062761E"/>
    <w:rsid w:val="0062784A"/>
    <w:rsid w:val="00627A26"/>
    <w:rsid w:val="00627D9E"/>
    <w:rsid w:val="00627E24"/>
    <w:rsid w:val="0062E987"/>
    <w:rsid w:val="00630092"/>
    <w:rsid w:val="00630222"/>
    <w:rsid w:val="00630339"/>
    <w:rsid w:val="00630586"/>
    <w:rsid w:val="006306DD"/>
    <w:rsid w:val="00630742"/>
    <w:rsid w:val="00630900"/>
    <w:rsid w:val="00630A15"/>
    <w:rsid w:val="00630CC6"/>
    <w:rsid w:val="00630D98"/>
    <w:rsid w:val="00630FDB"/>
    <w:rsid w:val="006314AE"/>
    <w:rsid w:val="00631721"/>
    <w:rsid w:val="0063186A"/>
    <w:rsid w:val="00631C6D"/>
    <w:rsid w:val="00632102"/>
    <w:rsid w:val="006321C1"/>
    <w:rsid w:val="0063239B"/>
    <w:rsid w:val="006323CB"/>
    <w:rsid w:val="00632624"/>
    <w:rsid w:val="0063281F"/>
    <w:rsid w:val="00632D39"/>
    <w:rsid w:val="00632E70"/>
    <w:rsid w:val="00632F14"/>
    <w:rsid w:val="006333C7"/>
    <w:rsid w:val="00633486"/>
    <w:rsid w:val="006334AA"/>
    <w:rsid w:val="006334E1"/>
    <w:rsid w:val="00633521"/>
    <w:rsid w:val="006337A5"/>
    <w:rsid w:val="00633A57"/>
    <w:rsid w:val="00633C06"/>
    <w:rsid w:val="00633E94"/>
    <w:rsid w:val="00633F01"/>
    <w:rsid w:val="00633F9B"/>
    <w:rsid w:val="00634197"/>
    <w:rsid w:val="0063425B"/>
    <w:rsid w:val="00634389"/>
    <w:rsid w:val="00634E9D"/>
    <w:rsid w:val="0063503D"/>
    <w:rsid w:val="00635047"/>
    <w:rsid w:val="00635178"/>
    <w:rsid w:val="00635591"/>
    <w:rsid w:val="00635700"/>
    <w:rsid w:val="006359FC"/>
    <w:rsid w:val="00635BB7"/>
    <w:rsid w:val="00635BDA"/>
    <w:rsid w:val="00635C1A"/>
    <w:rsid w:val="00635CED"/>
    <w:rsid w:val="0063604A"/>
    <w:rsid w:val="006361B9"/>
    <w:rsid w:val="00636715"/>
    <w:rsid w:val="00636812"/>
    <w:rsid w:val="00636814"/>
    <w:rsid w:val="0063682E"/>
    <w:rsid w:val="006369A2"/>
    <w:rsid w:val="006369D2"/>
    <w:rsid w:val="00636A6D"/>
    <w:rsid w:val="00636B44"/>
    <w:rsid w:val="00636D5E"/>
    <w:rsid w:val="00636D84"/>
    <w:rsid w:val="00636EE6"/>
    <w:rsid w:val="006370B2"/>
    <w:rsid w:val="006370B4"/>
    <w:rsid w:val="00637207"/>
    <w:rsid w:val="006373FE"/>
    <w:rsid w:val="0063749B"/>
    <w:rsid w:val="006374C5"/>
    <w:rsid w:val="0063764E"/>
    <w:rsid w:val="0063777D"/>
    <w:rsid w:val="006377FC"/>
    <w:rsid w:val="00637A33"/>
    <w:rsid w:val="00637AEA"/>
    <w:rsid w:val="00637B1B"/>
    <w:rsid w:val="00637C10"/>
    <w:rsid w:val="00637E1A"/>
    <w:rsid w:val="006400B1"/>
    <w:rsid w:val="006403D5"/>
    <w:rsid w:val="006403D6"/>
    <w:rsid w:val="006405D4"/>
    <w:rsid w:val="006406CB"/>
    <w:rsid w:val="006408BA"/>
    <w:rsid w:val="0064113E"/>
    <w:rsid w:val="00641224"/>
    <w:rsid w:val="006413E8"/>
    <w:rsid w:val="00641485"/>
    <w:rsid w:val="006414EB"/>
    <w:rsid w:val="006415C4"/>
    <w:rsid w:val="006416EE"/>
    <w:rsid w:val="0064185C"/>
    <w:rsid w:val="0064214A"/>
    <w:rsid w:val="006424B7"/>
    <w:rsid w:val="006425C0"/>
    <w:rsid w:val="006425EF"/>
    <w:rsid w:val="00642625"/>
    <w:rsid w:val="00642670"/>
    <w:rsid w:val="0064270F"/>
    <w:rsid w:val="006427AA"/>
    <w:rsid w:val="00642A03"/>
    <w:rsid w:val="00642E60"/>
    <w:rsid w:val="00643097"/>
    <w:rsid w:val="006430AB"/>
    <w:rsid w:val="00643310"/>
    <w:rsid w:val="0064338D"/>
    <w:rsid w:val="00643502"/>
    <w:rsid w:val="0064363B"/>
    <w:rsid w:val="006436B0"/>
    <w:rsid w:val="00643895"/>
    <w:rsid w:val="006442D2"/>
    <w:rsid w:val="00644315"/>
    <w:rsid w:val="00644387"/>
    <w:rsid w:val="0064452A"/>
    <w:rsid w:val="006446B6"/>
    <w:rsid w:val="00644B11"/>
    <w:rsid w:val="00645220"/>
    <w:rsid w:val="00645407"/>
    <w:rsid w:val="00645656"/>
    <w:rsid w:val="006458F5"/>
    <w:rsid w:val="0064594C"/>
    <w:rsid w:val="006459F1"/>
    <w:rsid w:val="00645A4E"/>
    <w:rsid w:val="00645B79"/>
    <w:rsid w:val="00645B88"/>
    <w:rsid w:val="00645DE3"/>
    <w:rsid w:val="00645E37"/>
    <w:rsid w:val="00645F97"/>
    <w:rsid w:val="0064600F"/>
    <w:rsid w:val="00646075"/>
    <w:rsid w:val="0064608E"/>
    <w:rsid w:val="006461C8"/>
    <w:rsid w:val="006461E1"/>
    <w:rsid w:val="00646564"/>
    <w:rsid w:val="0064667D"/>
    <w:rsid w:val="006468B3"/>
    <w:rsid w:val="006468FD"/>
    <w:rsid w:val="00646B99"/>
    <w:rsid w:val="00646BDD"/>
    <w:rsid w:val="00646D2B"/>
    <w:rsid w:val="006470FF"/>
    <w:rsid w:val="006477A0"/>
    <w:rsid w:val="006477F9"/>
    <w:rsid w:val="00647A3D"/>
    <w:rsid w:val="00647A6E"/>
    <w:rsid w:val="00647CF3"/>
    <w:rsid w:val="00647F59"/>
    <w:rsid w:val="0065003D"/>
    <w:rsid w:val="006500BE"/>
    <w:rsid w:val="00650204"/>
    <w:rsid w:val="00650354"/>
    <w:rsid w:val="006503E8"/>
    <w:rsid w:val="00650504"/>
    <w:rsid w:val="0065051D"/>
    <w:rsid w:val="00650712"/>
    <w:rsid w:val="006508A4"/>
    <w:rsid w:val="00650B04"/>
    <w:rsid w:val="00650B12"/>
    <w:rsid w:val="00650B1C"/>
    <w:rsid w:val="006510B4"/>
    <w:rsid w:val="00651389"/>
    <w:rsid w:val="006514E6"/>
    <w:rsid w:val="00651679"/>
    <w:rsid w:val="0065179A"/>
    <w:rsid w:val="0065195E"/>
    <w:rsid w:val="00651985"/>
    <w:rsid w:val="00651A69"/>
    <w:rsid w:val="00651D05"/>
    <w:rsid w:val="00652057"/>
    <w:rsid w:val="0065243B"/>
    <w:rsid w:val="006527CD"/>
    <w:rsid w:val="00652869"/>
    <w:rsid w:val="00652BD3"/>
    <w:rsid w:val="00652C8D"/>
    <w:rsid w:val="00652E32"/>
    <w:rsid w:val="0065304E"/>
    <w:rsid w:val="006531E6"/>
    <w:rsid w:val="006533B6"/>
    <w:rsid w:val="006537BF"/>
    <w:rsid w:val="00653871"/>
    <w:rsid w:val="00653950"/>
    <w:rsid w:val="00653F6E"/>
    <w:rsid w:val="006540D7"/>
    <w:rsid w:val="0065430A"/>
    <w:rsid w:val="006548CA"/>
    <w:rsid w:val="006549A6"/>
    <w:rsid w:val="00654B2F"/>
    <w:rsid w:val="00654DB7"/>
    <w:rsid w:val="00654E3F"/>
    <w:rsid w:val="00654E5E"/>
    <w:rsid w:val="006551A9"/>
    <w:rsid w:val="006552F8"/>
    <w:rsid w:val="00655315"/>
    <w:rsid w:val="006553E6"/>
    <w:rsid w:val="0065569E"/>
    <w:rsid w:val="00655753"/>
    <w:rsid w:val="006557A1"/>
    <w:rsid w:val="0065595D"/>
    <w:rsid w:val="0065597A"/>
    <w:rsid w:val="006559BC"/>
    <w:rsid w:val="00655B46"/>
    <w:rsid w:val="00655B71"/>
    <w:rsid w:val="00655D98"/>
    <w:rsid w:val="00656040"/>
    <w:rsid w:val="00656054"/>
    <w:rsid w:val="0065615D"/>
    <w:rsid w:val="006566A2"/>
    <w:rsid w:val="00656789"/>
    <w:rsid w:val="0065690F"/>
    <w:rsid w:val="00656BD1"/>
    <w:rsid w:val="006571CA"/>
    <w:rsid w:val="00657582"/>
    <w:rsid w:val="006575DA"/>
    <w:rsid w:val="006575F8"/>
    <w:rsid w:val="00657862"/>
    <w:rsid w:val="00657C19"/>
    <w:rsid w:val="00657C99"/>
    <w:rsid w:val="00657CEB"/>
    <w:rsid w:val="00657DA8"/>
    <w:rsid w:val="00657DCA"/>
    <w:rsid w:val="00657E9D"/>
    <w:rsid w:val="00660215"/>
    <w:rsid w:val="006603D4"/>
    <w:rsid w:val="0066099A"/>
    <w:rsid w:val="00660BBE"/>
    <w:rsid w:val="00660EC8"/>
    <w:rsid w:val="00660EF8"/>
    <w:rsid w:val="00661072"/>
    <w:rsid w:val="006610EB"/>
    <w:rsid w:val="006610F2"/>
    <w:rsid w:val="00661347"/>
    <w:rsid w:val="006613DC"/>
    <w:rsid w:val="006614B7"/>
    <w:rsid w:val="00661832"/>
    <w:rsid w:val="00661B3E"/>
    <w:rsid w:val="00661C31"/>
    <w:rsid w:val="00661F39"/>
    <w:rsid w:val="00661FBC"/>
    <w:rsid w:val="006620C6"/>
    <w:rsid w:val="00662539"/>
    <w:rsid w:val="006625F6"/>
    <w:rsid w:val="0066279E"/>
    <w:rsid w:val="00662B05"/>
    <w:rsid w:val="00662CAE"/>
    <w:rsid w:val="0066325A"/>
    <w:rsid w:val="006634C3"/>
    <w:rsid w:val="00663750"/>
    <w:rsid w:val="00663DD8"/>
    <w:rsid w:val="00663FCE"/>
    <w:rsid w:val="00664239"/>
    <w:rsid w:val="006642F6"/>
    <w:rsid w:val="00664365"/>
    <w:rsid w:val="006644BD"/>
    <w:rsid w:val="0066462A"/>
    <w:rsid w:val="006646B9"/>
    <w:rsid w:val="00664B3F"/>
    <w:rsid w:val="00664F66"/>
    <w:rsid w:val="0066505A"/>
    <w:rsid w:val="006656FE"/>
    <w:rsid w:val="00665888"/>
    <w:rsid w:val="006658A1"/>
    <w:rsid w:val="00665A3D"/>
    <w:rsid w:val="00665BD3"/>
    <w:rsid w:val="00665C67"/>
    <w:rsid w:val="00665DF8"/>
    <w:rsid w:val="00665E2C"/>
    <w:rsid w:val="00665EB3"/>
    <w:rsid w:val="00666124"/>
    <w:rsid w:val="006661C0"/>
    <w:rsid w:val="006662AB"/>
    <w:rsid w:val="006662AF"/>
    <w:rsid w:val="006665AB"/>
    <w:rsid w:val="0066665E"/>
    <w:rsid w:val="00666666"/>
    <w:rsid w:val="00666765"/>
    <w:rsid w:val="00666884"/>
    <w:rsid w:val="00666C49"/>
    <w:rsid w:val="006672B9"/>
    <w:rsid w:val="00667424"/>
    <w:rsid w:val="006676FD"/>
    <w:rsid w:val="0066774C"/>
    <w:rsid w:val="00667996"/>
    <w:rsid w:val="006679DF"/>
    <w:rsid w:val="00667A39"/>
    <w:rsid w:val="00667AC8"/>
    <w:rsid w:val="00667B8F"/>
    <w:rsid w:val="00670076"/>
    <w:rsid w:val="006701D2"/>
    <w:rsid w:val="00670217"/>
    <w:rsid w:val="006702AC"/>
    <w:rsid w:val="00670413"/>
    <w:rsid w:val="006705AE"/>
    <w:rsid w:val="00670939"/>
    <w:rsid w:val="00670A52"/>
    <w:rsid w:val="00670E37"/>
    <w:rsid w:val="00670FD2"/>
    <w:rsid w:val="006712F4"/>
    <w:rsid w:val="0067136E"/>
    <w:rsid w:val="00671862"/>
    <w:rsid w:val="006719FB"/>
    <w:rsid w:val="00671D09"/>
    <w:rsid w:val="00671F00"/>
    <w:rsid w:val="00671F95"/>
    <w:rsid w:val="00672392"/>
    <w:rsid w:val="0067255B"/>
    <w:rsid w:val="006727D8"/>
    <w:rsid w:val="00672957"/>
    <w:rsid w:val="00672A60"/>
    <w:rsid w:val="00672A92"/>
    <w:rsid w:val="00672D27"/>
    <w:rsid w:val="00672F3C"/>
    <w:rsid w:val="00672FC8"/>
    <w:rsid w:val="00673011"/>
    <w:rsid w:val="0067311E"/>
    <w:rsid w:val="006731CA"/>
    <w:rsid w:val="006736D7"/>
    <w:rsid w:val="00673800"/>
    <w:rsid w:val="0067386E"/>
    <w:rsid w:val="00673936"/>
    <w:rsid w:val="00673A3F"/>
    <w:rsid w:val="00673AD3"/>
    <w:rsid w:val="00673CF0"/>
    <w:rsid w:val="00673DAF"/>
    <w:rsid w:val="00673F26"/>
    <w:rsid w:val="00673F65"/>
    <w:rsid w:val="0067406C"/>
    <w:rsid w:val="00674497"/>
    <w:rsid w:val="0067454D"/>
    <w:rsid w:val="0067467D"/>
    <w:rsid w:val="00674986"/>
    <w:rsid w:val="00674DEC"/>
    <w:rsid w:val="00674E07"/>
    <w:rsid w:val="00674F62"/>
    <w:rsid w:val="00674FB7"/>
    <w:rsid w:val="00675381"/>
    <w:rsid w:val="00675608"/>
    <w:rsid w:val="0067571B"/>
    <w:rsid w:val="006758C9"/>
    <w:rsid w:val="00675E74"/>
    <w:rsid w:val="00675EDD"/>
    <w:rsid w:val="00676403"/>
    <w:rsid w:val="006764D7"/>
    <w:rsid w:val="00676799"/>
    <w:rsid w:val="00676902"/>
    <w:rsid w:val="00676927"/>
    <w:rsid w:val="00676A9C"/>
    <w:rsid w:val="0067716B"/>
    <w:rsid w:val="006771F8"/>
    <w:rsid w:val="00677247"/>
    <w:rsid w:val="0067724F"/>
    <w:rsid w:val="006773A3"/>
    <w:rsid w:val="006773E3"/>
    <w:rsid w:val="00677437"/>
    <w:rsid w:val="0067748E"/>
    <w:rsid w:val="00677668"/>
    <w:rsid w:val="0067780A"/>
    <w:rsid w:val="006778C6"/>
    <w:rsid w:val="00677B3C"/>
    <w:rsid w:val="00677BB2"/>
    <w:rsid w:val="00677CBF"/>
    <w:rsid w:val="00677D67"/>
    <w:rsid w:val="00677ECE"/>
    <w:rsid w:val="00680078"/>
    <w:rsid w:val="006802D6"/>
    <w:rsid w:val="00680349"/>
    <w:rsid w:val="00680431"/>
    <w:rsid w:val="00680496"/>
    <w:rsid w:val="00680510"/>
    <w:rsid w:val="00680705"/>
    <w:rsid w:val="00680806"/>
    <w:rsid w:val="0068080D"/>
    <w:rsid w:val="006808A8"/>
    <w:rsid w:val="00680916"/>
    <w:rsid w:val="00680E7D"/>
    <w:rsid w:val="006814D1"/>
    <w:rsid w:val="006816B9"/>
    <w:rsid w:val="006817BD"/>
    <w:rsid w:val="006817BF"/>
    <w:rsid w:val="006821CA"/>
    <w:rsid w:val="00682254"/>
    <w:rsid w:val="006822DA"/>
    <w:rsid w:val="0068253D"/>
    <w:rsid w:val="00682703"/>
    <w:rsid w:val="006829ED"/>
    <w:rsid w:val="00682C05"/>
    <w:rsid w:val="00682C2A"/>
    <w:rsid w:val="00682DBF"/>
    <w:rsid w:val="00682F5D"/>
    <w:rsid w:val="0068336D"/>
    <w:rsid w:val="006833CD"/>
    <w:rsid w:val="006834C4"/>
    <w:rsid w:val="0068371E"/>
    <w:rsid w:val="00683749"/>
    <w:rsid w:val="00683835"/>
    <w:rsid w:val="0068387E"/>
    <w:rsid w:val="0068388B"/>
    <w:rsid w:val="00683B51"/>
    <w:rsid w:val="00683B64"/>
    <w:rsid w:val="00684038"/>
    <w:rsid w:val="006841B2"/>
    <w:rsid w:val="0068448B"/>
    <w:rsid w:val="006844FE"/>
    <w:rsid w:val="0068478E"/>
    <w:rsid w:val="0068486D"/>
    <w:rsid w:val="00684D1B"/>
    <w:rsid w:val="00684D2E"/>
    <w:rsid w:val="00684D90"/>
    <w:rsid w:val="00684E20"/>
    <w:rsid w:val="0068502D"/>
    <w:rsid w:val="00685117"/>
    <w:rsid w:val="00685377"/>
    <w:rsid w:val="006853B2"/>
    <w:rsid w:val="006854ED"/>
    <w:rsid w:val="006854F9"/>
    <w:rsid w:val="00685A41"/>
    <w:rsid w:val="00685B67"/>
    <w:rsid w:val="00685D3D"/>
    <w:rsid w:val="0068627A"/>
    <w:rsid w:val="00686583"/>
    <w:rsid w:val="0068664F"/>
    <w:rsid w:val="0068685A"/>
    <w:rsid w:val="00686868"/>
    <w:rsid w:val="006869C7"/>
    <w:rsid w:val="00686C4A"/>
    <w:rsid w:val="00686FC7"/>
    <w:rsid w:val="006873C9"/>
    <w:rsid w:val="00687511"/>
    <w:rsid w:val="0068784F"/>
    <w:rsid w:val="00687C0B"/>
    <w:rsid w:val="00687D18"/>
    <w:rsid w:val="00687E63"/>
    <w:rsid w:val="0069005A"/>
    <w:rsid w:val="00690278"/>
    <w:rsid w:val="006908A7"/>
    <w:rsid w:val="00690A38"/>
    <w:rsid w:val="00690AC6"/>
    <w:rsid w:val="00690B30"/>
    <w:rsid w:val="00690D57"/>
    <w:rsid w:val="00690F61"/>
    <w:rsid w:val="00690F6E"/>
    <w:rsid w:val="006910DC"/>
    <w:rsid w:val="006913B5"/>
    <w:rsid w:val="0069160D"/>
    <w:rsid w:val="006918A5"/>
    <w:rsid w:val="00691F6B"/>
    <w:rsid w:val="00691FB4"/>
    <w:rsid w:val="006922AF"/>
    <w:rsid w:val="006922D7"/>
    <w:rsid w:val="006923A4"/>
    <w:rsid w:val="006925D2"/>
    <w:rsid w:val="0069286C"/>
    <w:rsid w:val="00692B22"/>
    <w:rsid w:val="00692B4B"/>
    <w:rsid w:val="00692C4D"/>
    <w:rsid w:val="00692EC1"/>
    <w:rsid w:val="0069320B"/>
    <w:rsid w:val="0069351B"/>
    <w:rsid w:val="00693569"/>
    <w:rsid w:val="006935A6"/>
    <w:rsid w:val="00693DD2"/>
    <w:rsid w:val="006941F6"/>
    <w:rsid w:val="006943FB"/>
    <w:rsid w:val="00694420"/>
    <w:rsid w:val="006944C8"/>
    <w:rsid w:val="006947EF"/>
    <w:rsid w:val="00694C2B"/>
    <w:rsid w:val="00694FC5"/>
    <w:rsid w:val="0069516D"/>
    <w:rsid w:val="006951B1"/>
    <w:rsid w:val="0069548C"/>
    <w:rsid w:val="0069553F"/>
    <w:rsid w:val="0069557E"/>
    <w:rsid w:val="006956F8"/>
    <w:rsid w:val="0069584D"/>
    <w:rsid w:val="006959BC"/>
    <w:rsid w:val="00695C97"/>
    <w:rsid w:val="00695D13"/>
    <w:rsid w:val="00696044"/>
    <w:rsid w:val="006960E9"/>
    <w:rsid w:val="006965BD"/>
    <w:rsid w:val="006965E2"/>
    <w:rsid w:val="006966A0"/>
    <w:rsid w:val="0069698C"/>
    <w:rsid w:val="00696B19"/>
    <w:rsid w:val="00696DB7"/>
    <w:rsid w:val="00696E23"/>
    <w:rsid w:val="00696F8F"/>
    <w:rsid w:val="006973C4"/>
    <w:rsid w:val="00697560"/>
    <w:rsid w:val="006977F3"/>
    <w:rsid w:val="0069796F"/>
    <w:rsid w:val="006979B3"/>
    <w:rsid w:val="00697A7C"/>
    <w:rsid w:val="00697B8C"/>
    <w:rsid w:val="00697C06"/>
    <w:rsid w:val="00697E9E"/>
    <w:rsid w:val="006A0512"/>
    <w:rsid w:val="006A0689"/>
    <w:rsid w:val="006A07FB"/>
    <w:rsid w:val="006A0A2B"/>
    <w:rsid w:val="006A0B87"/>
    <w:rsid w:val="006A0BD9"/>
    <w:rsid w:val="006A0ED1"/>
    <w:rsid w:val="006A106C"/>
    <w:rsid w:val="006A1345"/>
    <w:rsid w:val="006A1376"/>
    <w:rsid w:val="006A138E"/>
    <w:rsid w:val="006A1841"/>
    <w:rsid w:val="006A18AF"/>
    <w:rsid w:val="006A192B"/>
    <w:rsid w:val="006A1BC3"/>
    <w:rsid w:val="006A1C58"/>
    <w:rsid w:val="006A1CD7"/>
    <w:rsid w:val="006A1CE9"/>
    <w:rsid w:val="006A1E49"/>
    <w:rsid w:val="006A1F96"/>
    <w:rsid w:val="006A20A1"/>
    <w:rsid w:val="006A25E0"/>
    <w:rsid w:val="006A2678"/>
    <w:rsid w:val="006A27DB"/>
    <w:rsid w:val="006A29C4"/>
    <w:rsid w:val="006A2D57"/>
    <w:rsid w:val="006A2F5F"/>
    <w:rsid w:val="006A3181"/>
    <w:rsid w:val="006A3481"/>
    <w:rsid w:val="006A4026"/>
    <w:rsid w:val="006A4111"/>
    <w:rsid w:val="006A41B7"/>
    <w:rsid w:val="006A44C9"/>
    <w:rsid w:val="006A4D20"/>
    <w:rsid w:val="006A4EED"/>
    <w:rsid w:val="006A50F1"/>
    <w:rsid w:val="006A5216"/>
    <w:rsid w:val="006A562A"/>
    <w:rsid w:val="006A58FB"/>
    <w:rsid w:val="006A5BA1"/>
    <w:rsid w:val="006A5CAE"/>
    <w:rsid w:val="006A5D44"/>
    <w:rsid w:val="006A5DBA"/>
    <w:rsid w:val="006A5E32"/>
    <w:rsid w:val="006A5FE5"/>
    <w:rsid w:val="006A61C1"/>
    <w:rsid w:val="006A623C"/>
    <w:rsid w:val="006A659B"/>
    <w:rsid w:val="006A6B5F"/>
    <w:rsid w:val="006A6BF2"/>
    <w:rsid w:val="006A6CF3"/>
    <w:rsid w:val="006A6DA2"/>
    <w:rsid w:val="006A6E3B"/>
    <w:rsid w:val="006A6E5D"/>
    <w:rsid w:val="006A6EF8"/>
    <w:rsid w:val="006A6F92"/>
    <w:rsid w:val="006A7043"/>
    <w:rsid w:val="006A7182"/>
    <w:rsid w:val="006A7294"/>
    <w:rsid w:val="006A7535"/>
    <w:rsid w:val="006A7DEC"/>
    <w:rsid w:val="006A7F98"/>
    <w:rsid w:val="006B0055"/>
    <w:rsid w:val="006B0152"/>
    <w:rsid w:val="006B0245"/>
    <w:rsid w:val="006B0267"/>
    <w:rsid w:val="006B030A"/>
    <w:rsid w:val="006B0343"/>
    <w:rsid w:val="006B0350"/>
    <w:rsid w:val="006B0381"/>
    <w:rsid w:val="006B06D4"/>
    <w:rsid w:val="006B07C3"/>
    <w:rsid w:val="006B0DD1"/>
    <w:rsid w:val="006B0E62"/>
    <w:rsid w:val="006B0FF9"/>
    <w:rsid w:val="006B181B"/>
    <w:rsid w:val="006B1CEF"/>
    <w:rsid w:val="006B1D1D"/>
    <w:rsid w:val="006B1EE2"/>
    <w:rsid w:val="006B1EF8"/>
    <w:rsid w:val="006B1FDB"/>
    <w:rsid w:val="006B2011"/>
    <w:rsid w:val="006B226F"/>
    <w:rsid w:val="006B23BC"/>
    <w:rsid w:val="006B26B8"/>
    <w:rsid w:val="006B2A9F"/>
    <w:rsid w:val="006B2DAC"/>
    <w:rsid w:val="006B32FD"/>
    <w:rsid w:val="006B33BB"/>
    <w:rsid w:val="006B33DC"/>
    <w:rsid w:val="006B3499"/>
    <w:rsid w:val="006B36A1"/>
    <w:rsid w:val="006B3768"/>
    <w:rsid w:val="006B37D5"/>
    <w:rsid w:val="006B3828"/>
    <w:rsid w:val="006B389E"/>
    <w:rsid w:val="006B3903"/>
    <w:rsid w:val="006B39A2"/>
    <w:rsid w:val="006B3C20"/>
    <w:rsid w:val="006B3DA1"/>
    <w:rsid w:val="006B3FEA"/>
    <w:rsid w:val="006B401F"/>
    <w:rsid w:val="006B416D"/>
    <w:rsid w:val="006B4555"/>
    <w:rsid w:val="006B45A7"/>
    <w:rsid w:val="006B4635"/>
    <w:rsid w:val="006B475C"/>
    <w:rsid w:val="006B4773"/>
    <w:rsid w:val="006B499D"/>
    <w:rsid w:val="006B4A85"/>
    <w:rsid w:val="006B4C09"/>
    <w:rsid w:val="006B4DED"/>
    <w:rsid w:val="006B4F1C"/>
    <w:rsid w:val="006B506E"/>
    <w:rsid w:val="006B54DC"/>
    <w:rsid w:val="006B5803"/>
    <w:rsid w:val="006B5A10"/>
    <w:rsid w:val="006B5B47"/>
    <w:rsid w:val="006B5BC0"/>
    <w:rsid w:val="006B5E74"/>
    <w:rsid w:val="006B6051"/>
    <w:rsid w:val="006B61CF"/>
    <w:rsid w:val="006B6352"/>
    <w:rsid w:val="006B63D7"/>
    <w:rsid w:val="006B649B"/>
    <w:rsid w:val="006B678F"/>
    <w:rsid w:val="006B683F"/>
    <w:rsid w:val="006B6A4C"/>
    <w:rsid w:val="006B6B12"/>
    <w:rsid w:val="006B6D20"/>
    <w:rsid w:val="006B6FF5"/>
    <w:rsid w:val="006B701E"/>
    <w:rsid w:val="006B712A"/>
    <w:rsid w:val="006B71AB"/>
    <w:rsid w:val="006B71F9"/>
    <w:rsid w:val="006B7366"/>
    <w:rsid w:val="006B75F8"/>
    <w:rsid w:val="006B768C"/>
    <w:rsid w:val="006B7C21"/>
    <w:rsid w:val="006B7C69"/>
    <w:rsid w:val="006B7E07"/>
    <w:rsid w:val="006B7EE9"/>
    <w:rsid w:val="006BEFD8"/>
    <w:rsid w:val="006C02E7"/>
    <w:rsid w:val="006C0C90"/>
    <w:rsid w:val="006C10C3"/>
    <w:rsid w:val="006C11DE"/>
    <w:rsid w:val="006C1331"/>
    <w:rsid w:val="006C16CD"/>
    <w:rsid w:val="006C174F"/>
    <w:rsid w:val="006C1768"/>
    <w:rsid w:val="006C19DD"/>
    <w:rsid w:val="006C1C5F"/>
    <w:rsid w:val="006C1DBF"/>
    <w:rsid w:val="006C20EB"/>
    <w:rsid w:val="006C217B"/>
    <w:rsid w:val="006C2182"/>
    <w:rsid w:val="006C21C7"/>
    <w:rsid w:val="006C22EC"/>
    <w:rsid w:val="006C2430"/>
    <w:rsid w:val="006C25F9"/>
    <w:rsid w:val="006C281C"/>
    <w:rsid w:val="006C28E1"/>
    <w:rsid w:val="006C2C1E"/>
    <w:rsid w:val="006C2DE2"/>
    <w:rsid w:val="006C2F44"/>
    <w:rsid w:val="006C3078"/>
    <w:rsid w:val="006C315C"/>
    <w:rsid w:val="006C3194"/>
    <w:rsid w:val="006C322F"/>
    <w:rsid w:val="006C340A"/>
    <w:rsid w:val="006C3465"/>
    <w:rsid w:val="006C3534"/>
    <w:rsid w:val="006C38C3"/>
    <w:rsid w:val="006C3972"/>
    <w:rsid w:val="006C3AFD"/>
    <w:rsid w:val="006C3C31"/>
    <w:rsid w:val="006C3CD2"/>
    <w:rsid w:val="006C3DDE"/>
    <w:rsid w:val="006C3DF4"/>
    <w:rsid w:val="006C3DFB"/>
    <w:rsid w:val="006C3DFC"/>
    <w:rsid w:val="006C42A2"/>
    <w:rsid w:val="006C4647"/>
    <w:rsid w:val="006C47D6"/>
    <w:rsid w:val="006C4911"/>
    <w:rsid w:val="006C4AD5"/>
    <w:rsid w:val="006C4BFB"/>
    <w:rsid w:val="006C4D1B"/>
    <w:rsid w:val="006C5077"/>
    <w:rsid w:val="006C5281"/>
    <w:rsid w:val="006C541D"/>
    <w:rsid w:val="006C5509"/>
    <w:rsid w:val="006C56F4"/>
    <w:rsid w:val="006C58A9"/>
    <w:rsid w:val="006C58F8"/>
    <w:rsid w:val="006C5EE6"/>
    <w:rsid w:val="006C5F5A"/>
    <w:rsid w:val="006C5FAC"/>
    <w:rsid w:val="006C617B"/>
    <w:rsid w:val="006C6339"/>
    <w:rsid w:val="006C6392"/>
    <w:rsid w:val="006C6621"/>
    <w:rsid w:val="006C6942"/>
    <w:rsid w:val="006C6975"/>
    <w:rsid w:val="006C6A93"/>
    <w:rsid w:val="006C6D97"/>
    <w:rsid w:val="006C6FE7"/>
    <w:rsid w:val="006C7203"/>
    <w:rsid w:val="006C7296"/>
    <w:rsid w:val="006C73FE"/>
    <w:rsid w:val="006C7403"/>
    <w:rsid w:val="006C74E6"/>
    <w:rsid w:val="006C7C1E"/>
    <w:rsid w:val="006C7ED1"/>
    <w:rsid w:val="006C7FEC"/>
    <w:rsid w:val="006D0052"/>
    <w:rsid w:val="006D0597"/>
    <w:rsid w:val="006D0A28"/>
    <w:rsid w:val="006D0BA9"/>
    <w:rsid w:val="006D0BEC"/>
    <w:rsid w:val="006D0D24"/>
    <w:rsid w:val="006D0E26"/>
    <w:rsid w:val="006D0E60"/>
    <w:rsid w:val="006D0F6D"/>
    <w:rsid w:val="006D0F78"/>
    <w:rsid w:val="006D1192"/>
    <w:rsid w:val="006D11FF"/>
    <w:rsid w:val="006D1466"/>
    <w:rsid w:val="006D154F"/>
    <w:rsid w:val="006D186A"/>
    <w:rsid w:val="006D19E6"/>
    <w:rsid w:val="006D23A6"/>
    <w:rsid w:val="006D26B9"/>
    <w:rsid w:val="006D28CB"/>
    <w:rsid w:val="006D293C"/>
    <w:rsid w:val="006D296E"/>
    <w:rsid w:val="006D2A73"/>
    <w:rsid w:val="006D2B90"/>
    <w:rsid w:val="006D2B97"/>
    <w:rsid w:val="006D2BF9"/>
    <w:rsid w:val="006D2C5D"/>
    <w:rsid w:val="006D2CD8"/>
    <w:rsid w:val="006D2E78"/>
    <w:rsid w:val="006D30A0"/>
    <w:rsid w:val="006D32DC"/>
    <w:rsid w:val="006D34C3"/>
    <w:rsid w:val="006D3931"/>
    <w:rsid w:val="006D39A5"/>
    <w:rsid w:val="006D39D3"/>
    <w:rsid w:val="006D3B8E"/>
    <w:rsid w:val="006D3FF8"/>
    <w:rsid w:val="006D42A5"/>
    <w:rsid w:val="006D47B0"/>
    <w:rsid w:val="006D4B78"/>
    <w:rsid w:val="006D4BF6"/>
    <w:rsid w:val="006D4DBA"/>
    <w:rsid w:val="006D5547"/>
    <w:rsid w:val="006D56CA"/>
    <w:rsid w:val="006D58DE"/>
    <w:rsid w:val="006D5A41"/>
    <w:rsid w:val="006D5ED5"/>
    <w:rsid w:val="006D6231"/>
    <w:rsid w:val="006D6354"/>
    <w:rsid w:val="006D63E2"/>
    <w:rsid w:val="006D64A5"/>
    <w:rsid w:val="006D6577"/>
    <w:rsid w:val="006D691C"/>
    <w:rsid w:val="006D69EA"/>
    <w:rsid w:val="006D6BB0"/>
    <w:rsid w:val="006D6DD3"/>
    <w:rsid w:val="006D6E49"/>
    <w:rsid w:val="006D6FD8"/>
    <w:rsid w:val="006D7042"/>
    <w:rsid w:val="006D73FA"/>
    <w:rsid w:val="006D7843"/>
    <w:rsid w:val="006D7B52"/>
    <w:rsid w:val="006D7D1F"/>
    <w:rsid w:val="006E0016"/>
    <w:rsid w:val="006E013E"/>
    <w:rsid w:val="006E0416"/>
    <w:rsid w:val="006E0632"/>
    <w:rsid w:val="006E08CC"/>
    <w:rsid w:val="006E092F"/>
    <w:rsid w:val="006E0D0B"/>
    <w:rsid w:val="006E0E49"/>
    <w:rsid w:val="006E0EC2"/>
    <w:rsid w:val="006E0FAB"/>
    <w:rsid w:val="006E1140"/>
    <w:rsid w:val="006E1199"/>
    <w:rsid w:val="006E163F"/>
    <w:rsid w:val="006E1970"/>
    <w:rsid w:val="006E1B15"/>
    <w:rsid w:val="006E24F8"/>
    <w:rsid w:val="006E26A3"/>
    <w:rsid w:val="006E275C"/>
    <w:rsid w:val="006E282B"/>
    <w:rsid w:val="006E2867"/>
    <w:rsid w:val="006E2951"/>
    <w:rsid w:val="006E2CBC"/>
    <w:rsid w:val="006E2D27"/>
    <w:rsid w:val="006E2F40"/>
    <w:rsid w:val="006E2FB0"/>
    <w:rsid w:val="006E3A76"/>
    <w:rsid w:val="006E3C62"/>
    <w:rsid w:val="006E4396"/>
    <w:rsid w:val="006E4683"/>
    <w:rsid w:val="006E49F6"/>
    <w:rsid w:val="006E4A9C"/>
    <w:rsid w:val="006E4D9C"/>
    <w:rsid w:val="006E5130"/>
    <w:rsid w:val="006E54D0"/>
    <w:rsid w:val="006E55A1"/>
    <w:rsid w:val="006E55A9"/>
    <w:rsid w:val="006E573D"/>
    <w:rsid w:val="006E597E"/>
    <w:rsid w:val="006E5AAF"/>
    <w:rsid w:val="006E5C06"/>
    <w:rsid w:val="006E5E28"/>
    <w:rsid w:val="006E5F5E"/>
    <w:rsid w:val="006E6041"/>
    <w:rsid w:val="006E60CC"/>
    <w:rsid w:val="006E62F8"/>
    <w:rsid w:val="006E6898"/>
    <w:rsid w:val="006E68F1"/>
    <w:rsid w:val="006E690D"/>
    <w:rsid w:val="006E6982"/>
    <w:rsid w:val="006E6B4D"/>
    <w:rsid w:val="006E6E5C"/>
    <w:rsid w:val="006E6E5D"/>
    <w:rsid w:val="006E6F98"/>
    <w:rsid w:val="006E734A"/>
    <w:rsid w:val="006E7393"/>
    <w:rsid w:val="006E74C7"/>
    <w:rsid w:val="006E7676"/>
    <w:rsid w:val="006E7692"/>
    <w:rsid w:val="006E787B"/>
    <w:rsid w:val="006E792B"/>
    <w:rsid w:val="006E7DDF"/>
    <w:rsid w:val="006F04EF"/>
    <w:rsid w:val="006F07E3"/>
    <w:rsid w:val="006F0814"/>
    <w:rsid w:val="006F0A1D"/>
    <w:rsid w:val="006F0E97"/>
    <w:rsid w:val="006F0EA5"/>
    <w:rsid w:val="006F0F05"/>
    <w:rsid w:val="006F10C6"/>
    <w:rsid w:val="006F14A8"/>
    <w:rsid w:val="006F1B89"/>
    <w:rsid w:val="006F1BA4"/>
    <w:rsid w:val="006F1C13"/>
    <w:rsid w:val="006F1DDD"/>
    <w:rsid w:val="006F2218"/>
    <w:rsid w:val="006F2261"/>
    <w:rsid w:val="006F22A2"/>
    <w:rsid w:val="006F2312"/>
    <w:rsid w:val="006F29A1"/>
    <w:rsid w:val="006F2A62"/>
    <w:rsid w:val="006F2D9B"/>
    <w:rsid w:val="006F3393"/>
    <w:rsid w:val="006F3415"/>
    <w:rsid w:val="006F3934"/>
    <w:rsid w:val="006F396D"/>
    <w:rsid w:val="006F3BCF"/>
    <w:rsid w:val="006F3E33"/>
    <w:rsid w:val="006F406E"/>
    <w:rsid w:val="006F4151"/>
    <w:rsid w:val="006F4270"/>
    <w:rsid w:val="006F43EC"/>
    <w:rsid w:val="006F47AE"/>
    <w:rsid w:val="006F47DA"/>
    <w:rsid w:val="006F4813"/>
    <w:rsid w:val="006F4E33"/>
    <w:rsid w:val="006F4EBA"/>
    <w:rsid w:val="006F4F94"/>
    <w:rsid w:val="006F552F"/>
    <w:rsid w:val="006F55E6"/>
    <w:rsid w:val="006F56FF"/>
    <w:rsid w:val="006F5806"/>
    <w:rsid w:val="006F586E"/>
    <w:rsid w:val="006F5902"/>
    <w:rsid w:val="006F5A02"/>
    <w:rsid w:val="006F5E9F"/>
    <w:rsid w:val="006F5EE3"/>
    <w:rsid w:val="006F5F88"/>
    <w:rsid w:val="006F63C3"/>
    <w:rsid w:val="006F668C"/>
    <w:rsid w:val="006F6842"/>
    <w:rsid w:val="006F69D7"/>
    <w:rsid w:val="006F6A57"/>
    <w:rsid w:val="006F6BDC"/>
    <w:rsid w:val="006F6C7D"/>
    <w:rsid w:val="006F6E21"/>
    <w:rsid w:val="006F7268"/>
    <w:rsid w:val="006F76C5"/>
    <w:rsid w:val="006F79FF"/>
    <w:rsid w:val="006F7D85"/>
    <w:rsid w:val="00700493"/>
    <w:rsid w:val="007004AE"/>
    <w:rsid w:val="007006B2"/>
    <w:rsid w:val="00700A11"/>
    <w:rsid w:val="00700AC7"/>
    <w:rsid w:val="00700B59"/>
    <w:rsid w:val="00700C68"/>
    <w:rsid w:val="00700DA2"/>
    <w:rsid w:val="00700F82"/>
    <w:rsid w:val="007010C3"/>
    <w:rsid w:val="007011BD"/>
    <w:rsid w:val="007013A8"/>
    <w:rsid w:val="00701471"/>
    <w:rsid w:val="007016EC"/>
    <w:rsid w:val="0070171E"/>
    <w:rsid w:val="007018A9"/>
    <w:rsid w:val="00701B7C"/>
    <w:rsid w:val="00701D12"/>
    <w:rsid w:val="00701E2A"/>
    <w:rsid w:val="007022FC"/>
    <w:rsid w:val="00702466"/>
    <w:rsid w:val="00702495"/>
    <w:rsid w:val="0070252D"/>
    <w:rsid w:val="00702627"/>
    <w:rsid w:val="007026A5"/>
    <w:rsid w:val="0070277D"/>
    <w:rsid w:val="00702B27"/>
    <w:rsid w:val="00702CC4"/>
    <w:rsid w:val="00702F13"/>
    <w:rsid w:val="00702F94"/>
    <w:rsid w:val="007033CF"/>
    <w:rsid w:val="007033D4"/>
    <w:rsid w:val="007037B0"/>
    <w:rsid w:val="00703850"/>
    <w:rsid w:val="00703A8B"/>
    <w:rsid w:val="00703B20"/>
    <w:rsid w:val="00703C6E"/>
    <w:rsid w:val="00703EBB"/>
    <w:rsid w:val="0070428E"/>
    <w:rsid w:val="007044CD"/>
    <w:rsid w:val="007045C4"/>
    <w:rsid w:val="00704725"/>
    <w:rsid w:val="00704780"/>
    <w:rsid w:val="007047CF"/>
    <w:rsid w:val="007047DD"/>
    <w:rsid w:val="0070485F"/>
    <w:rsid w:val="00704918"/>
    <w:rsid w:val="00704A0C"/>
    <w:rsid w:val="00704ABB"/>
    <w:rsid w:val="00704B2E"/>
    <w:rsid w:val="007053BC"/>
    <w:rsid w:val="00705431"/>
    <w:rsid w:val="00705891"/>
    <w:rsid w:val="0070594C"/>
    <w:rsid w:val="007059C7"/>
    <w:rsid w:val="00706033"/>
    <w:rsid w:val="007063EB"/>
    <w:rsid w:val="00706410"/>
    <w:rsid w:val="00706704"/>
    <w:rsid w:val="007067FF"/>
    <w:rsid w:val="00706858"/>
    <w:rsid w:val="007068C5"/>
    <w:rsid w:val="007069B0"/>
    <w:rsid w:val="007069D7"/>
    <w:rsid w:val="00706A5C"/>
    <w:rsid w:val="00707021"/>
    <w:rsid w:val="007073D5"/>
    <w:rsid w:val="007074C7"/>
    <w:rsid w:val="007075A7"/>
    <w:rsid w:val="00707787"/>
    <w:rsid w:val="00707DD8"/>
    <w:rsid w:val="0071005D"/>
    <w:rsid w:val="007100B1"/>
    <w:rsid w:val="007104E4"/>
    <w:rsid w:val="007108EC"/>
    <w:rsid w:val="00710940"/>
    <w:rsid w:val="00710C04"/>
    <w:rsid w:val="00710CC4"/>
    <w:rsid w:val="00710E22"/>
    <w:rsid w:val="00711061"/>
    <w:rsid w:val="007111C9"/>
    <w:rsid w:val="007111D4"/>
    <w:rsid w:val="007116C9"/>
    <w:rsid w:val="00711AAC"/>
    <w:rsid w:val="00711E7B"/>
    <w:rsid w:val="00711E88"/>
    <w:rsid w:val="00711EA8"/>
    <w:rsid w:val="00711F1A"/>
    <w:rsid w:val="00712126"/>
    <w:rsid w:val="007121EF"/>
    <w:rsid w:val="007122AA"/>
    <w:rsid w:val="00712517"/>
    <w:rsid w:val="00712617"/>
    <w:rsid w:val="007127F4"/>
    <w:rsid w:val="00712B45"/>
    <w:rsid w:val="00712BE9"/>
    <w:rsid w:val="00712EDC"/>
    <w:rsid w:val="00712F41"/>
    <w:rsid w:val="0071326C"/>
    <w:rsid w:val="007132E9"/>
    <w:rsid w:val="00713577"/>
    <w:rsid w:val="00713831"/>
    <w:rsid w:val="00713C13"/>
    <w:rsid w:val="00713CB9"/>
    <w:rsid w:val="00713F91"/>
    <w:rsid w:val="00713F95"/>
    <w:rsid w:val="0071448B"/>
    <w:rsid w:val="007144B5"/>
    <w:rsid w:val="007145A6"/>
    <w:rsid w:val="00714672"/>
    <w:rsid w:val="0071495C"/>
    <w:rsid w:val="00714D39"/>
    <w:rsid w:val="007150F1"/>
    <w:rsid w:val="007151B0"/>
    <w:rsid w:val="00715295"/>
    <w:rsid w:val="00715360"/>
    <w:rsid w:val="00715397"/>
    <w:rsid w:val="007154C9"/>
    <w:rsid w:val="00715503"/>
    <w:rsid w:val="0071550C"/>
    <w:rsid w:val="00715A23"/>
    <w:rsid w:val="00715D75"/>
    <w:rsid w:val="007165A1"/>
    <w:rsid w:val="007168CC"/>
    <w:rsid w:val="00716977"/>
    <w:rsid w:val="00716AAA"/>
    <w:rsid w:val="00716B0F"/>
    <w:rsid w:val="00716CE4"/>
    <w:rsid w:val="00716D04"/>
    <w:rsid w:val="007171A9"/>
    <w:rsid w:val="0071721D"/>
    <w:rsid w:val="0071728B"/>
    <w:rsid w:val="0071766F"/>
    <w:rsid w:val="00717676"/>
    <w:rsid w:val="00717690"/>
    <w:rsid w:val="00717BB4"/>
    <w:rsid w:val="00717C9A"/>
    <w:rsid w:val="00717CA0"/>
    <w:rsid w:val="00717E42"/>
    <w:rsid w:val="00717E95"/>
    <w:rsid w:val="0072021E"/>
    <w:rsid w:val="0072027B"/>
    <w:rsid w:val="007205B3"/>
    <w:rsid w:val="0072068E"/>
    <w:rsid w:val="00720721"/>
    <w:rsid w:val="00720793"/>
    <w:rsid w:val="00720D64"/>
    <w:rsid w:val="00721104"/>
    <w:rsid w:val="00721129"/>
    <w:rsid w:val="0072122E"/>
    <w:rsid w:val="007214D1"/>
    <w:rsid w:val="00721568"/>
    <w:rsid w:val="00721764"/>
    <w:rsid w:val="007218E2"/>
    <w:rsid w:val="00721A0E"/>
    <w:rsid w:val="00721BE9"/>
    <w:rsid w:val="00721C2C"/>
    <w:rsid w:val="00721F23"/>
    <w:rsid w:val="00722806"/>
    <w:rsid w:val="007228E5"/>
    <w:rsid w:val="00722A57"/>
    <w:rsid w:val="00722C46"/>
    <w:rsid w:val="00722F82"/>
    <w:rsid w:val="00722FB9"/>
    <w:rsid w:val="00723322"/>
    <w:rsid w:val="00723461"/>
    <w:rsid w:val="0072361E"/>
    <w:rsid w:val="0072378A"/>
    <w:rsid w:val="00723841"/>
    <w:rsid w:val="00723B8F"/>
    <w:rsid w:val="00723C27"/>
    <w:rsid w:val="00723C4A"/>
    <w:rsid w:val="00723D21"/>
    <w:rsid w:val="0072437C"/>
    <w:rsid w:val="007243BB"/>
    <w:rsid w:val="00724406"/>
    <w:rsid w:val="0072440A"/>
    <w:rsid w:val="00724698"/>
    <w:rsid w:val="0072474E"/>
    <w:rsid w:val="0072492C"/>
    <w:rsid w:val="00724ED0"/>
    <w:rsid w:val="00724F5F"/>
    <w:rsid w:val="00725317"/>
    <w:rsid w:val="007254DB"/>
    <w:rsid w:val="007254FC"/>
    <w:rsid w:val="007255C9"/>
    <w:rsid w:val="00725721"/>
    <w:rsid w:val="00725DE5"/>
    <w:rsid w:val="00725F5E"/>
    <w:rsid w:val="0072617B"/>
    <w:rsid w:val="00726528"/>
    <w:rsid w:val="00726A32"/>
    <w:rsid w:val="00726B58"/>
    <w:rsid w:val="00726DB3"/>
    <w:rsid w:val="00726F22"/>
    <w:rsid w:val="00727192"/>
    <w:rsid w:val="00727250"/>
    <w:rsid w:val="007274E4"/>
    <w:rsid w:val="00727986"/>
    <w:rsid w:val="007279F6"/>
    <w:rsid w:val="00727B7B"/>
    <w:rsid w:val="007301BB"/>
    <w:rsid w:val="007305C7"/>
    <w:rsid w:val="007306D1"/>
    <w:rsid w:val="00730742"/>
    <w:rsid w:val="007308AD"/>
    <w:rsid w:val="00730BA5"/>
    <w:rsid w:val="00730E21"/>
    <w:rsid w:val="00730EAB"/>
    <w:rsid w:val="00730EE5"/>
    <w:rsid w:val="00730F3D"/>
    <w:rsid w:val="00730FA8"/>
    <w:rsid w:val="00731111"/>
    <w:rsid w:val="00731118"/>
    <w:rsid w:val="007312F2"/>
    <w:rsid w:val="007313D9"/>
    <w:rsid w:val="0073142A"/>
    <w:rsid w:val="0073142E"/>
    <w:rsid w:val="0073163D"/>
    <w:rsid w:val="0073187D"/>
    <w:rsid w:val="00731915"/>
    <w:rsid w:val="0073195C"/>
    <w:rsid w:val="007319AC"/>
    <w:rsid w:val="00731A37"/>
    <w:rsid w:val="00731AC9"/>
    <w:rsid w:val="00731B48"/>
    <w:rsid w:val="00731BBA"/>
    <w:rsid w:val="00731DB7"/>
    <w:rsid w:val="00731DE3"/>
    <w:rsid w:val="0073218A"/>
    <w:rsid w:val="0073226C"/>
    <w:rsid w:val="007323C6"/>
    <w:rsid w:val="007328AE"/>
    <w:rsid w:val="00732A41"/>
    <w:rsid w:val="00732BDA"/>
    <w:rsid w:val="00732CC9"/>
    <w:rsid w:val="00732FEC"/>
    <w:rsid w:val="00733073"/>
    <w:rsid w:val="007330E4"/>
    <w:rsid w:val="00733558"/>
    <w:rsid w:val="00733569"/>
    <w:rsid w:val="007337C6"/>
    <w:rsid w:val="00733935"/>
    <w:rsid w:val="00733BD0"/>
    <w:rsid w:val="00733CB0"/>
    <w:rsid w:val="0073438F"/>
    <w:rsid w:val="007345A8"/>
    <w:rsid w:val="00734676"/>
    <w:rsid w:val="00734714"/>
    <w:rsid w:val="00734C02"/>
    <w:rsid w:val="00734E67"/>
    <w:rsid w:val="00734F9D"/>
    <w:rsid w:val="0073507F"/>
    <w:rsid w:val="00735227"/>
    <w:rsid w:val="0073534B"/>
    <w:rsid w:val="00735377"/>
    <w:rsid w:val="007354D1"/>
    <w:rsid w:val="007354DB"/>
    <w:rsid w:val="0073555B"/>
    <w:rsid w:val="00735E8E"/>
    <w:rsid w:val="00735F08"/>
    <w:rsid w:val="00735F59"/>
    <w:rsid w:val="00736104"/>
    <w:rsid w:val="00736199"/>
    <w:rsid w:val="007362B5"/>
    <w:rsid w:val="00736386"/>
    <w:rsid w:val="007369BD"/>
    <w:rsid w:val="00736AB1"/>
    <w:rsid w:val="00736BBA"/>
    <w:rsid w:val="00736DB8"/>
    <w:rsid w:val="00736DD2"/>
    <w:rsid w:val="00736E2E"/>
    <w:rsid w:val="00736FDB"/>
    <w:rsid w:val="0073722C"/>
    <w:rsid w:val="00737918"/>
    <w:rsid w:val="00737B4E"/>
    <w:rsid w:val="00737D23"/>
    <w:rsid w:val="00737DDF"/>
    <w:rsid w:val="00737ED6"/>
    <w:rsid w:val="00740211"/>
    <w:rsid w:val="0074021A"/>
    <w:rsid w:val="00740229"/>
    <w:rsid w:val="00740232"/>
    <w:rsid w:val="00740434"/>
    <w:rsid w:val="00740438"/>
    <w:rsid w:val="007404E1"/>
    <w:rsid w:val="00740716"/>
    <w:rsid w:val="007409E3"/>
    <w:rsid w:val="00740B20"/>
    <w:rsid w:val="00740B75"/>
    <w:rsid w:val="00740C50"/>
    <w:rsid w:val="00740C8F"/>
    <w:rsid w:val="00740E55"/>
    <w:rsid w:val="00740FE4"/>
    <w:rsid w:val="007411AA"/>
    <w:rsid w:val="007411CD"/>
    <w:rsid w:val="00741228"/>
    <w:rsid w:val="0074139A"/>
    <w:rsid w:val="007413E7"/>
    <w:rsid w:val="007414B8"/>
    <w:rsid w:val="00741523"/>
    <w:rsid w:val="00741538"/>
    <w:rsid w:val="007416C7"/>
    <w:rsid w:val="00741814"/>
    <w:rsid w:val="00741830"/>
    <w:rsid w:val="00741A1C"/>
    <w:rsid w:val="00741B26"/>
    <w:rsid w:val="00741E95"/>
    <w:rsid w:val="0074253C"/>
    <w:rsid w:val="00742776"/>
    <w:rsid w:val="00742B0C"/>
    <w:rsid w:val="00742E2F"/>
    <w:rsid w:val="00742E6D"/>
    <w:rsid w:val="00742FC2"/>
    <w:rsid w:val="00743053"/>
    <w:rsid w:val="007431C4"/>
    <w:rsid w:val="00743248"/>
    <w:rsid w:val="00743386"/>
    <w:rsid w:val="007434E8"/>
    <w:rsid w:val="00743533"/>
    <w:rsid w:val="007435C2"/>
    <w:rsid w:val="007435E7"/>
    <w:rsid w:val="007436A9"/>
    <w:rsid w:val="0074378C"/>
    <w:rsid w:val="00743BE1"/>
    <w:rsid w:val="00743CA8"/>
    <w:rsid w:val="00743DCB"/>
    <w:rsid w:val="00743E12"/>
    <w:rsid w:val="00743E82"/>
    <w:rsid w:val="00744013"/>
    <w:rsid w:val="00744036"/>
    <w:rsid w:val="0074485B"/>
    <w:rsid w:val="00744A02"/>
    <w:rsid w:val="00744A1B"/>
    <w:rsid w:val="00744AFD"/>
    <w:rsid w:val="00744BA4"/>
    <w:rsid w:val="00744CD4"/>
    <w:rsid w:val="00744F15"/>
    <w:rsid w:val="007450D1"/>
    <w:rsid w:val="0074510C"/>
    <w:rsid w:val="007451A0"/>
    <w:rsid w:val="00745484"/>
    <w:rsid w:val="0074561D"/>
    <w:rsid w:val="00745621"/>
    <w:rsid w:val="00745697"/>
    <w:rsid w:val="00745815"/>
    <w:rsid w:val="0074590C"/>
    <w:rsid w:val="00745BD2"/>
    <w:rsid w:val="00745C01"/>
    <w:rsid w:val="00745E00"/>
    <w:rsid w:val="00745E6C"/>
    <w:rsid w:val="00746098"/>
    <w:rsid w:val="007460F8"/>
    <w:rsid w:val="00746A05"/>
    <w:rsid w:val="00746D12"/>
    <w:rsid w:val="00746F4E"/>
    <w:rsid w:val="007472DE"/>
    <w:rsid w:val="00747371"/>
    <w:rsid w:val="00747416"/>
    <w:rsid w:val="007475BA"/>
    <w:rsid w:val="00750436"/>
    <w:rsid w:val="00750591"/>
    <w:rsid w:val="007506DF"/>
    <w:rsid w:val="00750724"/>
    <w:rsid w:val="007507B8"/>
    <w:rsid w:val="00750C86"/>
    <w:rsid w:val="00751389"/>
    <w:rsid w:val="00751486"/>
    <w:rsid w:val="00751588"/>
    <w:rsid w:val="00751653"/>
    <w:rsid w:val="007517BC"/>
    <w:rsid w:val="007518DF"/>
    <w:rsid w:val="00751B54"/>
    <w:rsid w:val="00751E37"/>
    <w:rsid w:val="00752024"/>
    <w:rsid w:val="0075202D"/>
    <w:rsid w:val="007523F1"/>
    <w:rsid w:val="0075257E"/>
    <w:rsid w:val="00752844"/>
    <w:rsid w:val="00752A6E"/>
    <w:rsid w:val="00752AE3"/>
    <w:rsid w:val="00752C3D"/>
    <w:rsid w:val="007530B7"/>
    <w:rsid w:val="00753152"/>
    <w:rsid w:val="0075322B"/>
    <w:rsid w:val="00753377"/>
    <w:rsid w:val="00753FFC"/>
    <w:rsid w:val="007542F8"/>
    <w:rsid w:val="00754357"/>
    <w:rsid w:val="007543E9"/>
    <w:rsid w:val="00754588"/>
    <w:rsid w:val="00754821"/>
    <w:rsid w:val="00754AF3"/>
    <w:rsid w:val="00754DEF"/>
    <w:rsid w:val="0075515B"/>
    <w:rsid w:val="007552C6"/>
    <w:rsid w:val="007553BD"/>
    <w:rsid w:val="0075544A"/>
    <w:rsid w:val="00755768"/>
    <w:rsid w:val="007558DC"/>
    <w:rsid w:val="007559F9"/>
    <w:rsid w:val="00755C53"/>
    <w:rsid w:val="00755F6B"/>
    <w:rsid w:val="00756162"/>
    <w:rsid w:val="00756194"/>
    <w:rsid w:val="00756477"/>
    <w:rsid w:val="00756813"/>
    <w:rsid w:val="00756814"/>
    <w:rsid w:val="007569D8"/>
    <w:rsid w:val="00756D68"/>
    <w:rsid w:val="00756F8B"/>
    <w:rsid w:val="0075705C"/>
    <w:rsid w:val="007570E9"/>
    <w:rsid w:val="0075728B"/>
    <w:rsid w:val="007572EB"/>
    <w:rsid w:val="0075741D"/>
    <w:rsid w:val="0075742C"/>
    <w:rsid w:val="00757525"/>
    <w:rsid w:val="00757544"/>
    <w:rsid w:val="00757902"/>
    <w:rsid w:val="00757C05"/>
    <w:rsid w:val="007600F2"/>
    <w:rsid w:val="00760251"/>
    <w:rsid w:val="0076091F"/>
    <w:rsid w:val="00760B85"/>
    <w:rsid w:val="00760B9E"/>
    <w:rsid w:val="00760D50"/>
    <w:rsid w:val="007610EC"/>
    <w:rsid w:val="00761387"/>
    <w:rsid w:val="00761485"/>
    <w:rsid w:val="00761512"/>
    <w:rsid w:val="00761AB3"/>
    <w:rsid w:val="00761B62"/>
    <w:rsid w:val="00761BAF"/>
    <w:rsid w:val="00761C3B"/>
    <w:rsid w:val="00761F0B"/>
    <w:rsid w:val="007620D0"/>
    <w:rsid w:val="0076219A"/>
    <w:rsid w:val="007624DD"/>
    <w:rsid w:val="00762683"/>
    <w:rsid w:val="007626FB"/>
    <w:rsid w:val="00762818"/>
    <w:rsid w:val="0076298E"/>
    <w:rsid w:val="00762E36"/>
    <w:rsid w:val="00762F21"/>
    <w:rsid w:val="0076305C"/>
    <w:rsid w:val="007636DC"/>
    <w:rsid w:val="00763741"/>
    <w:rsid w:val="0076396C"/>
    <w:rsid w:val="007639F0"/>
    <w:rsid w:val="00763A71"/>
    <w:rsid w:val="00763A88"/>
    <w:rsid w:val="00763BF1"/>
    <w:rsid w:val="00763C84"/>
    <w:rsid w:val="00763D16"/>
    <w:rsid w:val="00763E27"/>
    <w:rsid w:val="00764042"/>
    <w:rsid w:val="0076406F"/>
    <w:rsid w:val="007643C7"/>
    <w:rsid w:val="00764523"/>
    <w:rsid w:val="00764A8B"/>
    <w:rsid w:val="00764C98"/>
    <w:rsid w:val="00764CAE"/>
    <w:rsid w:val="00764CDA"/>
    <w:rsid w:val="00764E2E"/>
    <w:rsid w:val="007650D6"/>
    <w:rsid w:val="00765877"/>
    <w:rsid w:val="00765C10"/>
    <w:rsid w:val="00765C9A"/>
    <w:rsid w:val="00765ED6"/>
    <w:rsid w:val="00765EED"/>
    <w:rsid w:val="00766186"/>
    <w:rsid w:val="00766263"/>
    <w:rsid w:val="007663F2"/>
    <w:rsid w:val="0076667E"/>
    <w:rsid w:val="0076674F"/>
    <w:rsid w:val="00766966"/>
    <w:rsid w:val="00766B39"/>
    <w:rsid w:val="00766BE5"/>
    <w:rsid w:val="00767273"/>
    <w:rsid w:val="007673F1"/>
    <w:rsid w:val="0076788D"/>
    <w:rsid w:val="00767AD2"/>
    <w:rsid w:val="00767DBF"/>
    <w:rsid w:val="00767E13"/>
    <w:rsid w:val="00767E40"/>
    <w:rsid w:val="00767E69"/>
    <w:rsid w:val="00767F75"/>
    <w:rsid w:val="00767FCD"/>
    <w:rsid w:val="00770014"/>
    <w:rsid w:val="0077035C"/>
    <w:rsid w:val="00770368"/>
    <w:rsid w:val="007705A9"/>
    <w:rsid w:val="0077075F"/>
    <w:rsid w:val="007707A0"/>
    <w:rsid w:val="00771122"/>
    <w:rsid w:val="00771147"/>
    <w:rsid w:val="00771535"/>
    <w:rsid w:val="007719F7"/>
    <w:rsid w:val="0077230F"/>
    <w:rsid w:val="007726A5"/>
    <w:rsid w:val="00772965"/>
    <w:rsid w:val="007729BB"/>
    <w:rsid w:val="00772A28"/>
    <w:rsid w:val="00772BE0"/>
    <w:rsid w:val="00772E20"/>
    <w:rsid w:val="00772F81"/>
    <w:rsid w:val="00772F88"/>
    <w:rsid w:val="00773027"/>
    <w:rsid w:val="007732D1"/>
    <w:rsid w:val="007733BB"/>
    <w:rsid w:val="007734B8"/>
    <w:rsid w:val="007734CC"/>
    <w:rsid w:val="00773A77"/>
    <w:rsid w:val="00773B30"/>
    <w:rsid w:val="00773E58"/>
    <w:rsid w:val="00773E8E"/>
    <w:rsid w:val="00773F86"/>
    <w:rsid w:val="00774191"/>
    <w:rsid w:val="00774368"/>
    <w:rsid w:val="007743C9"/>
    <w:rsid w:val="007745D4"/>
    <w:rsid w:val="0077475F"/>
    <w:rsid w:val="007747CB"/>
    <w:rsid w:val="00774902"/>
    <w:rsid w:val="00774978"/>
    <w:rsid w:val="00774B07"/>
    <w:rsid w:val="00774C7A"/>
    <w:rsid w:val="00774D90"/>
    <w:rsid w:val="00774E3C"/>
    <w:rsid w:val="00774F13"/>
    <w:rsid w:val="00774F53"/>
    <w:rsid w:val="007751B8"/>
    <w:rsid w:val="007759FC"/>
    <w:rsid w:val="00775A47"/>
    <w:rsid w:val="00775ADD"/>
    <w:rsid w:val="00775B38"/>
    <w:rsid w:val="00775CBF"/>
    <w:rsid w:val="00775F1C"/>
    <w:rsid w:val="00775FB9"/>
    <w:rsid w:val="0077623C"/>
    <w:rsid w:val="00776387"/>
    <w:rsid w:val="0077652B"/>
    <w:rsid w:val="00776A43"/>
    <w:rsid w:val="00776B04"/>
    <w:rsid w:val="00776BDD"/>
    <w:rsid w:val="00776F7E"/>
    <w:rsid w:val="00777056"/>
    <w:rsid w:val="007770E1"/>
    <w:rsid w:val="00777336"/>
    <w:rsid w:val="00777A0D"/>
    <w:rsid w:val="00777AB7"/>
    <w:rsid w:val="00777D5F"/>
    <w:rsid w:val="00780093"/>
    <w:rsid w:val="00780198"/>
    <w:rsid w:val="0078029F"/>
    <w:rsid w:val="00780317"/>
    <w:rsid w:val="0078049D"/>
    <w:rsid w:val="00780743"/>
    <w:rsid w:val="00780D2B"/>
    <w:rsid w:val="00780E4F"/>
    <w:rsid w:val="00780E5A"/>
    <w:rsid w:val="00781050"/>
    <w:rsid w:val="00781352"/>
    <w:rsid w:val="0078151E"/>
    <w:rsid w:val="007816E3"/>
    <w:rsid w:val="00781810"/>
    <w:rsid w:val="00781A30"/>
    <w:rsid w:val="00781A35"/>
    <w:rsid w:val="00781BD0"/>
    <w:rsid w:val="00781CB2"/>
    <w:rsid w:val="00781D31"/>
    <w:rsid w:val="00781D7C"/>
    <w:rsid w:val="00781ED4"/>
    <w:rsid w:val="00781F39"/>
    <w:rsid w:val="00782415"/>
    <w:rsid w:val="00782485"/>
    <w:rsid w:val="007825D9"/>
    <w:rsid w:val="00782816"/>
    <w:rsid w:val="00782A28"/>
    <w:rsid w:val="00782D35"/>
    <w:rsid w:val="007830F6"/>
    <w:rsid w:val="0078345C"/>
    <w:rsid w:val="00783483"/>
    <w:rsid w:val="0078375C"/>
    <w:rsid w:val="0078397F"/>
    <w:rsid w:val="00783E8B"/>
    <w:rsid w:val="00783F07"/>
    <w:rsid w:val="0078427D"/>
    <w:rsid w:val="00784686"/>
    <w:rsid w:val="007846E3"/>
    <w:rsid w:val="007847DB"/>
    <w:rsid w:val="0078493C"/>
    <w:rsid w:val="00784AF2"/>
    <w:rsid w:val="00784D0D"/>
    <w:rsid w:val="00784E6D"/>
    <w:rsid w:val="007850C9"/>
    <w:rsid w:val="007852FF"/>
    <w:rsid w:val="0078550B"/>
    <w:rsid w:val="00785528"/>
    <w:rsid w:val="00785537"/>
    <w:rsid w:val="007858A7"/>
    <w:rsid w:val="007858AD"/>
    <w:rsid w:val="00785972"/>
    <w:rsid w:val="00785B9F"/>
    <w:rsid w:val="00785E63"/>
    <w:rsid w:val="00785ECB"/>
    <w:rsid w:val="007861F8"/>
    <w:rsid w:val="007865B3"/>
    <w:rsid w:val="00786608"/>
    <w:rsid w:val="00786690"/>
    <w:rsid w:val="007866BC"/>
    <w:rsid w:val="0078683A"/>
    <w:rsid w:val="00786B54"/>
    <w:rsid w:val="00787006"/>
    <w:rsid w:val="007873D5"/>
    <w:rsid w:val="0078799B"/>
    <w:rsid w:val="00787E43"/>
    <w:rsid w:val="00787EDE"/>
    <w:rsid w:val="0078E99F"/>
    <w:rsid w:val="0079000F"/>
    <w:rsid w:val="007905C5"/>
    <w:rsid w:val="0079072B"/>
    <w:rsid w:val="0079074A"/>
    <w:rsid w:val="00790A50"/>
    <w:rsid w:val="00790C61"/>
    <w:rsid w:val="00790CFA"/>
    <w:rsid w:val="00790E9C"/>
    <w:rsid w:val="007910CD"/>
    <w:rsid w:val="007911B9"/>
    <w:rsid w:val="0079159A"/>
    <w:rsid w:val="007915B5"/>
    <w:rsid w:val="007917A3"/>
    <w:rsid w:val="00791A31"/>
    <w:rsid w:val="00791E15"/>
    <w:rsid w:val="00791F97"/>
    <w:rsid w:val="00792132"/>
    <w:rsid w:val="0079225B"/>
    <w:rsid w:val="00792321"/>
    <w:rsid w:val="00792A8F"/>
    <w:rsid w:val="00792BFE"/>
    <w:rsid w:val="00792D80"/>
    <w:rsid w:val="00793154"/>
    <w:rsid w:val="0079338E"/>
    <w:rsid w:val="007933FA"/>
    <w:rsid w:val="00793426"/>
    <w:rsid w:val="00793914"/>
    <w:rsid w:val="00793B0B"/>
    <w:rsid w:val="00793B66"/>
    <w:rsid w:val="00793B93"/>
    <w:rsid w:val="00793CAD"/>
    <w:rsid w:val="00794023"/>
    <w:rsid w:val="00794438"/>
    <w:rsid w:val="00794641"/>
    <w:rsid w:val="0079495A"/>
    <w:rsid w:val="00794A78"/>
    <w:rsid w:val="0079510B"/>
    <w:rsid w:val="007952F3"/>
    <w:rsid w:val="00795331"/>
    <w:rsid w:val="00795385"/>
    <w:rsid w:val="007953E6"/>
    <w:rsid w:val="00795631"/>
    <w:rsid w:val="007956D8"/>
    <w:rsid w:val="00795C51"/>
    <w:rsid w:val="00795D39"/>
    <w:rsid w:val="00795DE2"/>
    <w:rsid w:val="00795F97"/>
    <w:rsid w:val="00795FF2"/>
    <w:rsid w:val="00796086"/>
    <w:rsid w:val="00796092"/>
    <w:rsid w:val="0079646E"/>
    <w:rsid w:val="0079668A"/>
    <w:rsid w:val="00796AB3"/>
    <w:rsid w:val="00796BFA"/>
    <w:rsid w:val="00796E8A"/>
    <w:rsid w:val="00796FA7"/>
    <w:rsid w:val="007970EC"/>
    <w:rsid w:val="00797242"/>
    <w:rsid w:val="007972CE"/>
    <w:rsid w:val="00797312"/>
    <w:rsid w:val="007973E4"/>
    <w:rsid w:val="007975F7"/>
    <w:rsid w:val="007A02EB"/>
    <w:rsid w:val="007A02EC"/>
    <w:rsid w:val="007A041A"/>
    <w:rsid w:val="007A04C5"/>
    <w:rsid w:val="007A0532"/>
    <w:rsid w:val="007A06FC"/>
    <w:rsid w:val="007A0719"/>
    <w:rsid w:val="007A083D"/>
    <w:rsid w:val="007A096B"/>
    <w:rsid w:val="007A0B0C"/>
    <w:rsid w:val="007A0F8B"/>
    <w:rsid w:val="007A0F9A"/>
    <w:rsid w:val="007A11AD"/>
    <w:rsid w:val="007A11E0"/>
    <w:rsid w:val="007A1422"/>
    <w:rsid w:val="007A1C49"/>
    <w:rsid w:val="007A1CAF"/>
    <w:rsid w:val="007A1F3A"/>
    <w:rsid w:val="007A2104"/>
    <w:rsid w:val="007A24F5"/>
    <w:rsid w:val="007A271F"/>
    <w:rsid w:val="007A298C"/>
    <w:rsid w:val="007A2CD0"/>
    <w:rsid w:val="007A2EF8"/>
    <w:rsid w:val="007A3448"/>
    <w:rsid w:val="007A3731"/>
    <w:rsid w:val="007A397B"/>
    <w:rsid w:val="007A39EE"/>
    <w:rsid w:val="007A3B14"/>
    <w:rsid w:val="007A3BDD"/>
    <w:rsid w:val="007A3C92"/>
    <w:rsid w:val="007A3D9B"/>
    <w:rsid w:val="007A3DB8"/>
    <w:rsid w:val="007A3E07"/>
    <w:rsid w:val="007A3FE4"/>
    <w:rsid w:val="007A4053"/>
    <w:rsid w:val="007A41C3"/>
    <w:rsid w:val="007A438D"/>
    <w:rsid w:val="007A43AE"/>
    <w:rsid w:val="007A4675"/>
    <w:rsid w:val="007A47A5"/>
    <w:rsid w:val="007A4864"/>
    <w:rsid w:val="007A4939"/>
    <w:rsid w:val="007A495B"/>
    <w:rsid w:val="007A4B0D"/>
    <w:rsid w:val="007A4DD7"/>
    <w:rsid w:val="007A4EB9"/>
    <w:rsid w:val="007A507B"/>
    <w:rsid w:val="007A5505"/>
    <w:rsid w:val="007A5636"/>
    <w:rsid w:val="007A573E"/>
    <w:rsid w:val="007A57C0"/>
    <w:rsid w:val="007A583B"/>
    <w:rsid w:val="007A5892"/>
    <w:rsid w:val="007A592B"/>
    <w:rsid w:val="007A5936"/>
    <w:rsid w:val="007A59A9"/>
    <w:rsid w:val="007A5A1B"/>
    <w:rsid w:val="007A5A3B"/>
    <w:rsid w:val="007A5A63"/>
    <w:rsid w:val="007A5AE0"/>
    <w:rsid w:val="007A5DB1"/>
    <w:rsid w:val="007A5E6A"/>
    <w:rsid w:val="007A6015"/>
    <w:rsid w:val="007A6135"/>
    <w:rsid w:val="007A635C"/>
    <w:rsid w:val="007A6820"/>
    <w:rsid w:val="007A6953"/>
    <w:rsid w:val="007A6AC6"/>
    <w:rsid w:val="007A6C5E"/>
    <w:rsid w:val="007A6D32"/>
    <w:rsid w:val="007A6EE1"/>
    <w:rsid w:val="007A7095"/>
    <w:rsid w:val="007A7251"/>
    <w:rsid w:val="007A76BF"/>
    <w:rsid w:val="007A776B"/>
    <w:rsid w:val="007A7784"/>
    <w:rsid w:val="007A7837"/>
    <w:rsid w:val="007A786E"/>
    <w:rsid w:val="007A795B"/>
    <w:rsid w:val="007A796F"/>
    <w:rsid w:val="007A7B26"/>
    <w:rsid w:val="007A7F42"/>
    <w:rsid w:val="007B0197"/>
    <w:rsid w:val="007B01E3"/>
    <w:rsid w:val="007B0287"/>
    <w:rsid w:val="007B05CC"/>
    <w:rsid w:val="007B07A8"/>
    <w:rsid w:val="007B07B3"/>
    <w:rsid w:val="007B0823"/>
    <w:rsid w:val="007B0A5C"/>
    <w:rsid w:val="007B1394"/>
    <w:rsid w:val="007B1481"/>
    <w:rsid w:val="007B154D"/>
    <w:rsid w:val="007B16CA"/>
    <w:rsid w:val="007B17A4"/>
    <w:rsid w:val="007B1864"/>
    <w:rsid w:val="007B1A12"/>
    <w:rsid w:val="007B1B68"/>
    <w:rsid w:val="007B1D1D"/>
    <w:rsid w:val="007B1E18"/>
    <w:rsid w:val="007B1E80"/>
    <w:rsid w:val="007B1E92"/>
    <w:rsid w:val="007B21EE"/>
    <w:rsid w:val="007B23D3"/>
    <w:rsid w:val="007B23F8"/>
    <w:rsid w:val="007B24EF"/>
    <w:rsid w:val="007B268D"/>
    <w:rsid w:val="007B2723"/>
    <w:rsid w:val="007B284E"/>
    <w:rsid w:val="007B2BAC"/>
    <w:rsid w:val="007B2C27"/>
    <w:rsid w:val="007B2EC0"/>
    <w:rsid w:val="007B30B9"/>
    <w:rsid w:val="007B3174"/>
    <w:rsid w:val="007B3195"/>
    <w:rsid w:val="007B36A4"/>
    <w:rsid w:val="007B38AC"/>
    <w:rsid w:val="007B3B22"/>
    <w:rsid w:val="007B3B78"/>
    <w:rsid w:val="007B3BDF"/>
    <w:rsid w:val="007B3EFE"/>
    <w:rsid w:val="007B3F5D"/>
    <w:rsid w:val="007B3FBD"/>
    <w:rsid w:val="007B4375"/>
    <w:rsid w:val="007B4800"/>
    <w:rsid w:val="007B482D"/>
    <w:rsid w:val="007B4894"/>
    <w:rsid w:val="007B4903"/>
    <w:rsid w:val="007B493C"/>
    <w:rsid w:val="007B4A29"/>
    <w:rsid w:val="007B4A47"/>
    <w:rsid w:val="007B527E"/>
    <w:rsid w:val="007B528E"/>
    <w:rsid w:val="007B5405"/>
    <w:rsid w:val="007B54D9"/>
    <w:rsid w:val="007B5569"/>
    <w:rsid w:val="007B5673"/>
    <w:rsid w:val="007B5682"/>
    <w:rsid w:val="007B5A63"/>
    <w:rsid w:val="007B5E24"/>
    <w:rsid w:val="007B5F6D"/>
    <w:rsid w:val="007B62D5"/>
    <w:rsid w:val="007B6555"/>
    <w:rsid w:val="007B696E"/>
    <w:rsid w:val="007B6A27"/>
    <w:rsid w:val="007B6B66"/>
    <w:rsid w:val="007B6C23"/>
    <w:rsid w:val="007B6FF3"/>
    <w:rsid w:val="007B72AF"/>
    <w:rsid w:val="007B7789"/>
    <w:rsid w:val="007B795A"/>
    <w:rsid w:val="007B7D18"/>
    <w:rsid w:val="007C0013"/>
    <w:rsid w:val="007C0112"/>
    <w:rsid w:val="007C013C"/>
    <w:rsid w:val="007C0550"/>
    <w:rsid w:val="007C0709"/>
    <w:rsid w:val="007C0C01"/>
    <w:rsid w:val="007C0F5B"/>
    <w:rsid w:val="007C150E"/>
    <w:rsid w:val="007C1697"/>
    <w:rsid w:val="007C16B1"/>
    <w:rsid w:val="007C19E1"/>
    <w:rsid w:val="007C1A53"/>
    <w:rsid w:val="007C1AD1"/>
    <w:rsid w:val="007C1CFF"/>
    <w:rsid w:val="007C1D5C"/>
    <w:rsid w:val="007C1EAE"/>
    <w:rsid w:val="007C1FE7"/>
    <w:rsid w:val="007C2264"/>
    <w:rsid w:val="007C2327"/>
    <w:rsid w:val="007C23F6"/>
    <w:rsid w:val="007C24FE"/>
    <w:rsid w:val="007C2658"/>
    <w:rsid w:val="007C2A34"/>
    <w:rsid w:val="007C2B1F"/>
    <w:rsid w:val="007C2B8D"/>
    <w:rsid w:val="007C2C05"/>
    <w:rsid w:val="007C2E9E"/>
    <w:rsid w:val="007C2F2E"/>
    <w:rsid w:val="007C2FA2"/>
    <w:rsid w:val="007C3262"/>
    <w:rsid w:val="007C3331"/>
    <w:rsid w:val="007C339F"/>
    <w:rsid w:val="007C3658"/>
    <w:rsid w:val="007C4051"/>
    <w:rsid w:val="007C408F"/>
    <w:rsid w:val="007C41A3"/>
    <w:rsid w:val="007C4EC2"/>
    <w:rsid w:val="007C50B5"/>
    <w:rsid w:val="007C52E0"/>
    <w:rsid w:val="007C5730"/>
    <w:rsid w:val="007C57AC"/>
    <w:rsid w:val="007C582F"/>
    <w:rsid w:val="007C5A53"/>
    <w:rsid w:val="007C5B09"/>
    <w:rsid w:val="007C5BA8"/>
    <w:rsid w:val="007C5EFD"/>
    <w:rsid w:val="007C5F8A"/>
    <w:rsid w:val="007C607D"/>
    <w:rsid w:val="007C617D"/>
    <w:rsid w:val="007C61E7"/>
    <w:rsid w:val="007C668A"/>
    <w:rsid w:val="007C66F3"/>
    <w:rsid w:val="007C69AC"/>
    <w:rsid w:val="007C6CF0"/>
    <w:rsid w:val="007C6E3D"/>
    <w:rsid w:val="007C6FFC"/>
    <w:rsid w:val="007C719C"/>
    <w:rsid w:val="007C7263"/>
    <w:rsid w:val="007C72AB"/>
    <w:rsid w:val="007C77AB"/>
    <w:rsid w:val="007C7885"/>
    <w:rsid w:val="007C7A2B"/>
    <w:rsid w:val="007C7BF6"/>
    <w:rsid w:val="007C7C3F"/>
    <w:rsid w:val="007C7C40"/>
    <w:rsid w:val="007C7DEC"/>
    <w:rsid w:val="007D0504"/>
    <w:rsid w:val="007D08CF"/>
    <w:rsid w:val="007D0E47"/>
    <w:rsid w:val="007D1430"/>
    <w:rsid w:val="007D1527"/>
    <w:rsid w:val="007D1554"/>
    <w:rsid w:val="007D1581"/>
    <w:rsid w:val="007D1682"/>
    <w:rsid w:val="007D18B7"/>
    <w:rsid w:val="007D19ED"/>
    <w:rsid w:val="007D1C8A"/>
    <w:rsid w:val="007D1D42"/>
    <w:rsid w:val="007D1E0E"/>
    <w:rsid w:val="007D1F06"/>
    <w:rsid w:val="007D22CC"/>
    <w:rsid w:val="007D2353"/>
    <w:rsid w:val="007D26D7"/>
    <w:rsid w:val="007D2883"/>
    <w:rsid w:val="007D295C"/>
    <w:rsid w:val="007D29DC"/>
    <w:rsid w:val="007D2E31"/>
    <w:rsid w:val="007D2F51"/>
    <w:rsid w:val="007D3196"/>
    <w:rsid w:val="007D32A5"/>
    <w:rsid w:val="007D3553"/>
    <w:rsid w:val="007D375D"/>
    <w:rsid w:val="007D38CE"/>
    <w:rsid w:val="007D3945"/>
    <w:rsid w:val="007D3AB7"/>
    <w:rsid w:val="007D3BBB"/>
    <w:rsid w:val="007D3EC4"/>
    <w:rsid w:val="007D40B5"/>
    <w:rsid w:val="007D4204"/>
    <w:rsid w:val="007D4340"/>
    <w:rsid w:val="007D4373"/>
    <w:rsid w:val="007D43BA"/>
    <w:rsid w:val="007D4847"/>
    <w:rsid w:val="007D4944"/>
    <w:rsid w:val="007D4D75"/>
    <w:rsid w:val="007D4E24"/>
    <w:rsid w:val="007D5140"/>
    <w:rsid w:val="007D5157"/>
    <w:rsid w:val="007D56F0"/>
    <w:rsid w:val="007D5C20"/>
    <w:rsid w:val="007D5F98"/>
    <w:rsid w:val="007D611A"/>
    <w:rsid w:val="007D62B2"/>
    <w:rsid w:val="007D6516"/>
    <w:rsid w:val="007D660E"/>
    <w:rsid w:val="007D66EF"/>
    <w:rsid w:val="007D67EF"/>
    <w:rsid w:val="007D6B01"/>
    <w:rsid w:val="007D6B7B"/>
    <w:rsid w:val="007D6C54"/>
    <w:rsid w:val="007D6E8F"/>
    <w:rsid w:val="007D6ED7"/>
    <w:rsid w:val="007D7000"/>
    <w:rsid w:val="007D75CD"/>
    <w:rsid w:val="007D75F7"/>
    <w:rsid w:val="007D782F"/>
    <w:rsid w:val="007D784F"/>
    <w:rsid w:val="007D79B9"/>
    <w:rsid w:val="007D7CA8"/>
    <w:rsid w:val="007D7DE6"/>
    <w:rsid w:val="007DF58F"/>
    <w:rsid w:val="007E000C"/>
    <w:rsid w:val="007E00BC"/>
    <w:rsid w:val="007E030E"/>
    <w:rsid w:val="007E0639"/>
    <w:rsid w:val="007E08D5"/>
    <w:rsid w:val="007E0948"/>
    <w:rsid w:val="007E0B3F"/>
    <w:rsid w:val="007E0C46"/>
    <w:rsid w:val="007E0DE3"/>
    <w:rsid w:val="007E10E2"/>
    <w:rsid w:val="007E146A"/>
    <w:rsid w:val="007E14A5"/>
    <w:rsid w:val="007E1712"/>
    <w:rsid w:val="007E1830"/>
    <w:rsid w:val="007E1852"/>
    <w:rsid w:val="007E1B00"/>
    <w:rsid w:val="007E1BD8"/>
    <w:rsid w:val="007E2171"/>
    <w:rsid w:val="007E2307"/>
    <w:rsid w:val="007E2386"/>
    <w:rsid w:val="007E2588"/>
    <w:rsid w:val="007E2647"/>
    <w:rsid w:val="007E2778"/>
    <w:rsid w:val="007E299E"/>
    <w:rsid w:val="007E2B57"/>
    <w:rsid w:val="007E2F54"/>
    <w:rsid w:val="007E3424"/>
    <w:rsid w:val="007E3684"/>
    <w:rsid w:val="007E37A9"/>
    <w:rsid w:val="007E3955"/>
    <w:rsid w:val="007E3D7E"/>
    <w:rsid w:val="007E3FDE"/>
    <w:rsid w:val="007E4B0E"/>
    <w:rsid w:val="007E4BBE"/>
    <w:rsid w:val="007E4E0C"/>
    <w:rsid w:val="007E4F35"/>
    <w:rsid w:val="007E5300"/>
    <w:rsid w:val="007E5405"/>
    <w:rsid w:val="007E553B"/>
    <w:rsid w:val="007E5742"/>
    <w:rsid w:val="007E59C3"/>
    <w:rsid w:val="007E5A94"/>
    <w:rsid w:val="007E5D02"/>
    <w:rsid w:val="007E5D80"/>
    <w:rsid w:val="007E621E"/>
    <w:rsid w:val="007E6258"/>
    <w:rsid w:val="007E6436"/>
    <w:rsid w:val="007E64EA"/>
    <w:rsid w:val="007E65C4"/>
    <w:rsid w:val="007E65E4"/>
    <w:rsid w:val="007E65FC"/>
    <w:rsid w:val="007E67F0"/>
    <w:rsid w:val="007E6C90"/>
    <w:rsid w:val="007E7340"/>
    <w:rsid w:val="007E73DD"/>
    <w:rsid w:val="007E75F7"/>
    <w:rsid w:val="007E788C"/>
    <w:rsid w:val="007E78E5"/>
    <w:rsid w:val="007E7910"/>
    <w:rsid w:val="007E7A68"/>
    <w:rsid w:val="007E7B8E"/>
    <w:rsid w:val="007E7D07"/>
    <w:rsid w:val="007E7EF3"/>
    <w:rsid w:val="007F0165"/>
    <w:rsid w:val="007F0240"/>
    <w:rsid w:val="007F04D5"/>
    <w:rsid w:val="007F0720"/>
    <w:rsid w:val="007F079E"/>
    <w:rsid w:val="007F07C0"/>
    <w:rsid w:val="007F093A"/>
    <w:rsid w:val="007F0B7A"/>
    <w:rsid w:val="007F0C16"/>
    <w:rsid w:val="007F0CB6"/>
    <w:rsid w:val="007F0DA3"/>
    <w:rsid w:val="007F0E61"/>
    <w:rsid w:val="007F0FEB"/>
    <w:rsid w:val="007F1011"/>
    <w:rsid w:val="007F1280"/>
    <w:rsid w:val="007F1794"/>
    <w:rsid w:val="007F19FF"/>
    <w:rsid w:val="007F1CDD"/>
    <w:rsid w:val="007F1E6D"/>
    <w:rsid w:val="007F2189"/>
    <w:rsid w:val="007F22FE"/>
    <w:rsid w:val="007F2342"/>
    <w:rsid w:val="007F2364"/>
    <w:rsid w:val="007F251E"/>
    <w:rsid w:val="007F2786"/>
    <w:rsid w:val="007F2874"/>
    <w:rsid w:val="007F2A02"/>
    <w:rsid w:val="007F2CDD"/>
    <w:rsid w:val="007F2D29"/>
    <w:rsid w:val="007F2D5E"/>
    <w:rsid w:val="007F2FBB"/>
    <w:rsid w:val="007F3653"/>
    <w:rsid w:val="007F369C"/>
    <w:rsid w:val="007F36B5"/>
    <w:rsid w:val="007F372E"/>
    <w:rsid w:val="007F3801"/>
    <w:rsid w:val="007F3914"/>
    <w:rsid w:val="007F3A19"/>
    <w:rsid w:val="007F3AB3"/>
    <w:rsid w:val="007F3AF1"/>
    <w:rsid w:val="007F3C7B"/>
    <w:rsid w:val="007F3F68"/>
    <w:rsid w:val="007F4042"/>
    <w:rsid w:val="007F4395"/>
    <w:rsid w:val="007F449F"/>
    <w:rsid w:val="007F4653"/>
    <w:rsid w:val="007F4790"/>
    <w:rsid w:val="007F47B4"/>
    <w:rsid w:val="007F4C12"/>
    <w:rsid w:val="007F4C4B"/>
    <w:rsid w:val="007F4C67"/>
    <w:rsid w:val="007F4D19"/>
    <w:rsid w:val="007F4E15"/>
    <w:rsid w:val="007F4E27"/>
    <w:rsid w:val="007F5042"/>
    <w:rsid w:val="007F536C"/>
    <w:rsid w:val="007F5596"/>
    <w:rsid w:val="007F55D2"/>
    <w:rsid w:val="007F562C"/>
    <w:rsid w:val="007F5889"/>
    <w:rsid w:val="007F5B8D"/>
    <w:rsid w:val="007F5BFF"/>
    <w:rsid w:val="007F5D35"/>
    <w:rsid w:val="007F60A2"/>
    <w:rsid w:val="007F61D3"/>
    <w:rsid w:val="007F62AD"/>
    <w:rsid w:val="007F6465"/>
    <w:rsid w:val="007F67D5"/>
    <w:rsid w:val="007F6807"/>
    <w:rsid w:val="007F69EA"/>
    <w:rsid w:val="007F6EF8"/>
    <w:rsid w:val="007F7186"/>
    <w:rsid w:val="007F7339"/>
    <w:rsid w:val="007F7391"/>
    <w:rsid w:val="007F7450"/>
    <w:rsid w:val="007F752F"/>
    <w:rsid w:val="007F756E"/>
    <w:rsid w:val="007F75D3"/>
    <w:rsid w:val="007F76DE"/>
    <w:rsid w:val="007F7901"/>
    <w:rsid w:val="007F7A18"/>
    <w:rsid w:val="007F7C9D"/>
    <w:rsid w:val="008003B6"/>
    <w:rsid w:val="008004F1"/>
    <w:rsid w:val="0080088C"/>
    <w:rsid w:val="00800E11"/>
    <w:rsid w:val="0080120F"/>
    <w:rsid w:val="0080135D"/>
    <w:rsid w:val="0080160C"/>
    <w:rsid w:val="00801C0B"/>
    <w:rsid w:val="00801CC8"/>
    <w:rsid w:val="00801E2E"/>
    <w:rsid w:val="00802283"/>
    <w:rsid w:val="0080257B"/>
    <w:rsid w:val="008026DB"/>
    <w:rsid w:val="00802720"/>
    <w:rsid w:val="008027C6"/>
    <w:rsid w:val="008028DD"/>
    <w:rsid w:val="00802A78"/>
    <w:rsid w:val="00802AC9"/>
    <w:rsid w:val="00802B5B"/>
    <w:rsid w:val="00802B75"/>
    <w:rsid w:val="00802B99"/>
    <w:rsid w:val="00802BF8"/>
    <w:rsid w:val="00802FEA"/>
    <w:rsid w:val="008031EE"/>
    <w:rsid w:val="008032E9"/>
    <w:rsid w:val="0080345E"/>
    <w:rsid w:val="0080348B"/>
    <w:rsid w:val="0080358F"/>
    <w:rsid w:val="008035B9"/>
    <w:rsid w:val="008035ED"/>
    <w:rsid w:val="00803660"/>
    <w:rsid w:val="00803985"/>
    <w:rsid w:val="00803DAE"/>
    <w:rsid w:val="00803EAF"/>
    <w:rsid w:val="00804276"/>
    <w:rsid w:val="008043F8"/>
    <w:rsid w:val="00804508"/>
    <w:rsid w:val="008048AC"/>
    <w:rsid w:val="00804CAD"/>
    <w:rsid w:val="0080526E"/>
    <w:rsid w:val="00805442"/>
    <w:rsid w:val="00805500"/>
    <w:rsid w:val="008057F8"/>
    <w:rsid w:val="00805922"/>
    <w:rsid w:val="00805E47"/>
    <w:rsid w:val="0080602E"/>
    <w:rsid w:val="008061FF"/>
    <w:rsid w:val="008063AF"/>
    <w:rsid w:val="0080642C"/>
    <w:rsid w:val="00806444"/>
    <w:rsid w:val="0080685F"/>
    <w:rsid w:val="00806A7A"/>
    <w:rsid w:val="00806C23"/>
    <w:rsid w:val="00806E5A"/>
    <w:rsid w:val="008071B1"/>
    <w:rsid w:val="008075C1"/>
    <w:rsid w:val="0080775B"/>
    <w:rsid w:val="00807796"/>
    <w:rsid w:val="008078AD"/>
    <w:rsid w:val="00807B27"/>
    <w:rsid w:val="00807BBE"/>
    <w:rsid w:val="00807D65"/>
    <w:rsid w:val="00810339"/>
    <w:rsid w:val="008105DA"/>
    <w:rsid w:val="0081062D"/>
    <w:rsid w:val="00810665"/>
    <w:rsid w:val="008106A6"/>
    <w:rsid w:val="00810768"/>
    <w:rsid w:val="00810954"/>
    <w:rsid w:val="00810B9F"/>
    <w:rsid w:val="00810CA7"/>
    <w:rsid w:val="00810FD3"/>
    <w:rsid w:val="0081113E"/>
    <w:rsid w:val="00811307"/>
    <w:rsid w:val="00811369"/>
    <w:rsid w:val="0081143D"/>
    <w:rsid w:val="008115F0"/>
    <w:rsid w:val="00811645"/>
    <w:rsid w:val="00811BCA"/>
    <w:rsid w:val="00811E3E"/>
    <w:rsid w:val="00811E6D"/>
    <w:rsid w:val="0081208F"/>
    <w:rsid w:val="00812101"/>
    <w:rsid w:val="0081233F"/>
    <w:rsid w:val="0081236C"/>
    <w:rsid w:val="00812888"/>
    <w:rsid w:val="00812959"/>
    <w:rsid w:val="00812EE9"/>
    <w:rsid w:val="00812F18"/>
    <w:rsid w:val="00812F98"/>
    <w:rsid w:val="00813071"/>
    <w:rsid w:val="00813217"/>
    <w:rsid w:val="00813454"/>
    <w:rsid w:val="008134AC"/>
    <w:rsid w:val="008134F0"/>
    <w:rsid w:val="00813502"/>
    <w:rsid w:val="0081354F"/>
    <w:rsid w:val="00813577"/>
    <w:rsid w:val="008138A1"/>
    <w:rsid w:val="00813B51"/>
    <w:rsid w:val="00813C11"/>
    <w:rsid w:val="00813F4C"/>
    <w:rsid w:val="00814021"/>
    <w:rsid w:val="0081406F"/>
    <w:rsid w:val="00814074"/>
    <w:rsid w:val="008141EC"/>
    <w:rsid w:val="00814255"/>
    <w:rsid w:val="008144E1"/>
    <w:rsid w:val="008146A2"/>
    <w:rsid w:val="00814850"/>
    <w:rsid w:val="0081493B"/>
    <w:rsid w:val="00814CDD"/>
    <w:rsid w:val="00814DC7"/>
    <w:rsid w:val="0081500E"/>
    <w:rsid w:val="00815122"/>
    <w:rsid w:val="00815CA7"/>
    <w:rsid w:val="00815DA5"/>
    <w:rsid w:val="00816667"/>
    <w:rsid w:val="008166B6"/>
    <w:rsid w:val="008166DB"/>
    <w:rsid w:val="00816D68"/>
    <w:rsid w:val="00816DDD"/>
    <w:rsid w:val="00816E26"/>
    <w:rsid w:val="00816F12"/>
    <w:rsid w:val="00816F91"/>
    <w:rsid w:val="00817001"/>
    <w:rsid w:val="0081772F"/>
    <w:rsid w:val="008179D3"/>
    <w:rsid w:val="00817A5F"/>
    <w:rsid w:val="00817DF1"/>
    <w:rsid w:val="00817E05"/>
    <w:rsid w:val="00817E78"/>
    <w:rsid w:val="00817EAF"/>
    <w:rsid w:val="00817F0E"/>
    <w:rsid w:val="008200DA"/>
    <w:rsid w:val="00820343"/>
    <w:rsid w:val="008203F2"/>
    <w:rsid w:val="00820700"/>
    <w:rsid w:val="008207AB"/>
    <w:rsid w:val="00820818"/>
    <w:rsid w:val="00820AD7"/>
    <w:rsid w:val="00820B5B"/>
    <w:rsid w:val="00820CBB"/>
    <w:rsid w:val="00820E3A"/>
    <w:rsid w:val="00820F61"/>
    <w:rsid w:val="0082105E"/>
    <w:rsid w:val="00821096"/>
    <w:rsid w:val="00821148"/>
    <w:rsid w:val="00821151"/>
    <w:rsid w:val="008211DC"/>
    <w:rsid w:val="00821772"/>
    <w:rsid w:val="008217E8"/>
    <w:rsid w:val="00821943"/>
    <w:rsid w:val="008219C8"/>
    <w:rsid w:val="008221D2"/>
    <w:rsid w:val="00822347"/>
    <w:rsid w:val="00822414"/>
    <w:rsid w:val="0082258F"/>
    <w:rsid w:val="0082277B"/>
    <w:rsid w:val="00822A4B"/>
    <w:rsid w:val="00822A9C"/>
    <w:rsid w:val="00822B2A"/>
    <w:rsid w:val="00822F23"/>
    <w:rsid w:val="008230BF"/>
    <w:rsid w:val="008231F7"/>
    <w:rsid w:val="00823204"/>
    <w:rsid w:val="00823747"/>
    <w:rsid w:val="008237D3"/>
    <w:rsid w:val="00823A8C"/>
    <w:rsid w:val="00823AD2"/>
    <w:rsid w:val="00823CE7"/>
    <w:rsid w:val="00823EE5"/>
    <w:rsid w:val="00823FD8"/>
    <w:rsid w:val="00824025"/>
    <w:rsid w:val="0082402A"/>
    <w:rsid w:val="008242E8"/>
    <w:rsid w:val="008245EE"/>
    <w:rsid w:val="00824841"/>
    <w:rsid w:val="008248BE"/>
    <w:rsid w:val="00824A4B"/>
    <w:rsid w:val="00824C0B"/>
    <w:rsid w:val="00824C58"/>
    <w:rsid w:val="00824D00"/>
    <w:rsid w:val="00824D66"/>
    <w:rsid w:val="00825096"/>
    <w:rsid w:val="008252CB"/>
    <w:rsid w:val="008254C4"/>
    <w:rsid w:val="008254D9"/>
    <w:rsid w:val="00825B09"/>
    <w:rsid w:val="00825BC2"/>
    <w:rsid w:val="00825FF0"/>
    <w:rsid w:val="00826194"/>
    <w:rsid w:val="00826233"/>
    <w:rsid w:val="008262BA"/>
    <w:rsid w:val="0082637E"/>
    <w:rsid w:val="008263F7"/>
    <w:rsid w:val="00826489"/>
    <w:rsid w:val="00826587"/>
    <w:rsid w:val="00826BFB"/>
    <w:rsid w:val="00826DD0"/>
    <w:rsid w:val="00826E65"/>
    <w:rsid w:val="00827026"/>
    <w:rsid w:val="00827642"/>
    <w:rsid w:val="008277D3"/>
    <w:rsid w:val="008277D4"/>
    <w:rsid w:val="00827CA2"/>
    <w:rsid w:val="00827DA5"/>
    <w:rsid w:val="00827E50"/>
    <w:rsid w:val="00827F4E"/>
    <w:rsid w:val="00827FB9"/>
    <w:rsid w:val="008300C9"/>
    <w:rsid w:val="00830235"/>
    <w:rsid w:val="008302D0"/>
    <w:rsid w:val="008309BB"/>
    <w:rsid w:val="008309FC"/>
    <w:rsid w:val="00830D7B"/>
    <w:rsid w:val="00831441"/>
    <w:rsid w:val="008314B3"/>
    <w:rsid w:val="008316A6"/>
    <w:rsid w:val="0083199A"/>
    <w:rsid w:val="00831A29"/>
    <w:rsid w:val="00831B57"/>
    <w:rsid w:val="00831B7B"/>
    <w:rsid w:val="00831C50"/>
    <w:rsid w:val="00831CE7"/>
    <w:rsid w:val="00831DA6"/>
    <w:rsid w:val="00831E1D"/>
    <w:rsid w:val="0083265C"/>
    <w:rsid w:val="00832773"/>
    <w:rsid w:val="00832879"/>
    <w:rsid w:val="008328ED"/>
    <w:rsid w:val="008329FB"/>
    <w:rsid w:val="00832BDF"/>
    <w:rsid w:val="00832C23"/>
    <w:rsid w:val="00832CDD"/>
    <w:rsid w:val="008333F3"/>
    <w:rsid w:val="00833507"/>
    <w:rsid w:val="0083365C"/>
    <w:rsid w:val="00833BB0"/>
    <w:rsid w:val="00833C44"/>
    <w:rsid w:val="00833CB1"/>
    <w:rsid w:val="00833CCC"/>
    <w:rsid w:val="0083405C"/>
    <w:rsid w:val="00834509"/>
    <w:rsid w:val="008347A2"/>
    <w:rsid w:val="008348BB"/>
    <w:rsid w:val="008348F8"/>
    <w:rsid w:val="00834C23"/>
    <w:rsid w:val="00834D23"/>
    <w:rsid w:val="00834D39"/>
    <w:rsid w:val="0083518B"/>
    <w:rsid w:val="008351D2"/>
    <w:rsid w:val="0083528F"/>
    <w:rsid w:val="00835436"/>
    <w:rsid w:val="008354DA"/>
    <w:rsid w:val="0083551B"/>
    <w:rsid w:val="0083560B"/>
    <w:rsid w:val="008356D1"/>
    <w:rsid w:val="0083592C"/>
    <w:rsid w:val="00835BCF"/>
    <w:rsid w:val="00835F22"/>
    <w:rsid w:val="00835F33"/>
    <w:rsid w:val="00835F7B"/>
    <w:rsid w:val="008361A9"/>
    <w:rsid w:val="008361E0"/>
    <w:rsid w:val="00836439"/>
    <w:rsid w:val="0083645B"/>
    <w:rsid w:val="00836670"/>
    <w:rsid w:val="0083667D"/>
    <w:rsid w:val="008366C8"/>
    <w:rsid w:val="00836B1B"/>
    <w:rsid w:val="00836CE1"/>
    <w:rsid w:val="00836E0D"/>
    <w:rsid w:val="00836F20"/>
    <w:rsid w:val="0083708F"/>
    <w:rsid w:val="008370F1"/>
    <w:rsid w:val="008371CA"/>
    <w:rsid w:val="0083742C"/>
    <w:rsid w:val="008378A3"/>
    <w:rsid w:val="0083791F"/>
    <w:rsid w:val="008379F8"/>
    <w:rsid w:val="0084021E"/>
    <w:rsid w:val="00840410"/>
    <w:rsid w:val="008407EA"/>
    <w:rsid w:val="00840BAC"/>
    <w:rsid w:val="00840CC0"/>
    <w:rsid w:val="00840DD5"/>
    <w:rsid w:val="00840EF5"/>
    <w:rsid w:val="0084106E"/>
    <w:rsid w:val="0084154E"/>
    <w:rsid w:val="00841571"/>
    <w:rsid w:val="008417D0"/>
    <w:rsid w:val="008418D1"/>
    <w:rsid w:val="00841A47"/>
    <w:rsid w:val="00841A79"/>
    <w:rsid w:val="00841BF6"/>
    <w:rsid w:val="00841C48"/>
    <w:rsid w:val="00841E93"/>
    <w:rsid w:val="00842014"/>
    <w:rsid w:val="00842131"/>
    <w:rsid w:val="0084229B"/>
    <w:rsid w:val="0084239E"/>
    <w:rsid w:val="00842431"/>
    <w:rsid w:val="008424AF"/>
    <w:rsid w:val="0084257D"/>
    <w:rsid w:val="008425EC"/>
    <w:rsid w:val="00842933"/>
    <w:rsid w:val="00842A3D"/>
    <w:rsid w:val="00842A5F"/>
    <w:rsid w:val="00842AD0"/>
    <w:rsid w:val="00842BBD"/>
    <w:rsid w:val="00842BD7"/>
    <w:rsid w:val="00842EAB"/>
    <w:rsid w:val="00842ECE"/>
    <w:rsid w:val="00843063"/>
    <w:rsid w:val="0084337F"/>
    <w:rsid w:val="0084347B"/>
    <w:rsid w:val="0084365B"/>
    <w:rsid w:val="00843935"/>
    <w:rsid w:val="008439FD"/>
    <w:rsid w:val="00843ABC"/>
    <w:rsid w:val="0084424D"/>
    <w:rsid w:val="00844644"/>
    <w:rsid w:val="008446C1"/>
    <w:rsid w:val="008449A8"/>
    <w:rsid w:val="00844B8C"/>
    <w:rsid w:val="0084501A"/>
    <w:rsid w:val="00845256"/>
    <w:rsid w:val="0084549C"/>
    <w:rsid w:val="00845897"/>
    <w:rsid w:val="008458EA"/>
    <w:rsid w:val="00845A5E"/>
    <w:rsid w:val="00845AD8"/>
    <w:rsid w:val="00845CC8"/>
    <w:rsid w:val="00845DBD"/>
    <w:rsid w:val="0084612A"/>
    <w:rsid w:val="00846282"/>
    <w:rsid w:val="0084649F"/>
    <w:rsid w:val="00846C6D"/>
    <w:rsid w:val="00846F64"/>
    <w:rsid w:val="00846FA4"/>
    <w:rsid w:val="00846FC7"/>
    <w:rsid w:val="008470E8"/>
    <w:rsid w:val="00847242"/>
    <w:rsid w:val="008472D4"/>
    <w:rsid w:val="0084740A"/>
    <w:rsid w:val="0084782F"/>
    <w:rsid w:val="0084795A"/>
    <w:rsid w:val="008479AC"/>
    <w:rsid w:val="00847D3F"/>
    <w:rsid w:val="00847D77"/>
    <w:rsid w:val="00847E38"/>
    <w:rsid w:val="00847EF7"/>
    <w:rsid w:val="0085053E"/>
    <w:rsid w:val="008508CB"/>
    <w:rsid w:val="00850C53"/>
    <w:rsid w:val="00850D49"/>
    <w:rsid w:val="00850D71"/>
    <w:rsid w:val="00851159"/>
    <w:rsid w:val="008513D2"/>
    <w:rsid w:val="00851419"/>
    <w:rsid w:val="008514B1"/>
    <w:rsid w:val="0085174E"/>
    <w:rsid w:val="00851754"/>
    <w:rsid w:val="0085186B"/>
    <w:rsid w:val="0085188A"/>
    <w:rsid w:val="008518DF"/>
    <w:rsid w:val="00851A3D"/>
    <w:rsid w:val="00851AB4"/>
    <w:rsid w:val="00851C8F"/>
    <w:rsid w:val="00852096"/>
    <w:rsid w:val="008525CD"/>
    <w:rsid w:val="00852C6E"/>
    <w:rsid w:val="00852EFA"/>
    <w:rsid w:val="00853482"/>
    <w:rsid w:val="008535F0"/>
    <w:rsid w:val="008537AB"/>
    <w:rsid w:val="0085381B"/>
    <w:rsid w:val="00853992"/>
    <w:rsid w:val="00853A7B"/>
    <w:rsid w:val="00853D97"/>
    <w:rsid w:val="00853DFC"/>
    <w:rsid w:val="00853F36"/>
    <w:rsid w:val="00853FC1"/>
    <w:rsid w:val="008540B5"/>
    <w:rsid w:val="008541C2"/>
    <w:rsid w:val="008547CE"/>
    <w:rsid w:val="00854F50"/>
    <w:rsid w:val="0085523E"/>
    <w:rsid w:val="00855417"/>
    <w:rsid w:val="00855501"/>
    <w:rsid w:val="008557B5"/>
    <w:rsid w:val="00855998"/>
    <w:rsid w:val="00855A85"/>
    <w:rsid w:val="00855B13"/>
    <w:rsid w:val="00855C25"/>
    <w:rsid w:val="00855CF7"/>
    <w:rsid w:val="00855DE5"/>
    <w:rsid w:val="00855E1F"/>
    <w:rsid w:val="0085604F"/>
    <w:rsid w:val="008561D0"/>
    <w:rsid w:val="008563B8"/>
    <w:rsid w:val="008563D1"/>
    <w:rsid w:val="00856523"/>
    <w:rsid w:val="00856537"/>
    <w:rsid w:val="008567AD"/>
    <w:rsid w:val="00856BA1"/>
    <w:rsid w:val="00856CF7"/>
    <w:rsid w:val="00856D86"/>
    <w:rsid w:val="00856EBD"/>
    <w:rsid w:val="00856ED4"/>
    <w:rsid w:val="008570D4"/>
    <w:rsid w:val="008572BE"/>
    <w:rsid w:val="00857F3E"/>
    <w:rsid w:val="008601BF"/>
    <w:rsid w:val="008603DD"/>
    <w:rsid w:val="00860479"/>
    <w:rsid w:val="008605CD"/>
    <w:rsid w:val="00860667"/>
    <w:rsid w:val="00860703"/>
    <w:rsid w:val="00860728"/>
    <w:rsid w:val="00860D4A"/>
    <w:rsid w:val="008610D5"/>
    <w:rsid w:val="00861372"/>
    <w:rsid w:val="008613F6"/>
    <w:rsid w:val="008618C7"/>
    <w:rsid w:val="008619BF"/>
    <w:rsid w:val="00861AD1"/>
    <w:rsid w:val="00861BE3"/>
    <w:rsid w:val="00861C12"/>
    <w:rsid w:val="00861C7D"/>
    <w:rsid w:val="00861CFA"/>
    <w:rsid w:val="00861D37"/>
    <w:rsid w:val="00861DA7"/>
    <w:rsid w:val="00861ED1"/>
    <w:rsid w:val="00862146"/>
    <w:rsid w:val="008625D7"/>
    <w:rsid w:val="008628C3"/>
    <w:rsid w:val="00862AF4"/>
    <w:rsid w:val="00862EAE"/>
    <w:rsid w:val="00862F13"/>
    <w:rsid w:val="00862F55"/>
    <w:rsid w:val="00863090"/>
    <w:rsid w:val="008630EB"/>
    <w:rsid w:val="008630FF"/>
    <w:rsid w:val="0086346D"/>
    <w:rsid w:val="00863544"/>
    <w:rsid w:val="0086368D"/>
    <w:rsid w:val="008636BC"/>
    <w:rsid w:val="0086373D"/>
    <w:rsid w:val="008638C3"/>
    <w:rsid w:val="00863A1A"/>
    <w:rsid w:val="00863AFC"/>
    <w:rsid w:val="00863C3A"/>
    <w:rsid w:val="00863D22"/>
    <w:rsid w:val="00864183"/>
    <w:rsid w:val="0086426B"/>
    <w:rsid w:val="0086427E"/>
    <w:rsid w:val="00864305"/>
    <w:rsid w:val="00864776"/>
    <w:rsid w:val="00864780"/>
    <w:rsid w:val="00864884"/>
    <w:rsid w:val="008649AC"/>
    <w:rsid w:val="008649F4"/>
    <w:rsid w:val="00864BD3"/>
    <w:rsid w:val="00864C18"/>
    <w:rsid w:val="00864FF3"/>
    <w:rsid w:val="00865182"/>
    <w:rsid w:val="008654AC"/>
    <w:rsid w:val="00865657"/>
    <w:rsid w:val="008656AD"/>
    <w:rsid w:val="008656DB"/>
    <w:rsid w:val="00865784"/>
    <w:rsid w:val="00865C68"/>
    <w:rsid w:val="00865D9B"/>
    <w:rsid w:val="00865E13"/>
    <w:rsid w:val="00866049"/>
    <w:rsid w:val="0086624D"/>
    <w:rsid w:val="00866272"/>
    <w:rsid w:val="00866293"/>
    <w:rsid w:val="008662BD"/>
    <w:rsid w:val="008665DD"/>
    <w:rsid w:val="00866600"/>
    <w:rsid w:val="008667D5"/>
    <w:rsid w:val="00866ACB"/>
    <w:rsid w:val="00866AEE"/>
    <w:rsid w:val="00866B8F"/>
    <w:rsid w:val="00866C1F"/>
    <w:rsid w:val="00866CBE"/>
    <w:rsid w:val="00867C55"/>
    <w:rsid w:val="00867CC8"/>
    <w:rsid w:val="00867D83"/>
    <w:rsid w:val="00867FB6"/>
    <w:rsid w:val="0087031C"/>
    <w:rsid w:val="008706D5"/>
    <w:rsid w:val="008709CC"/>
    <w:rsid w:val="00870C5C"/>
    <w:rsid w:val="008712C3"/>
    <w:rsid w:val="0087173F"/>
    <w:rsid w:val="0087190C"/>
    <w:rsid w:val="00871E26"/>
    <w:rsid w:val="00871F00"/>
    <w:rsid w:val="00871FA5"/>
    <w:rsid w:val="00871FF9"/>
    <w:rsid w:val="008722B9"/>
    <w:rsid w:val="0087262C"/>
    <w:rsid w:val="00872681"/>
    <w:rsid w:val="008726E7"/>
    <w:rsid w:val="00872840"/>
    <w:rsid w:val="00872885"/>
    <w:rsid w:val="00872BEE"/>
    <w:rsid w:val="00872C27"/>
    <w:rsid w:val="00872CAF"/>
    <w:rsid w:val="00872DB6"/>
    <w:rsid w:val="00872EB5"/>
    <w:rsid w:val="00872ECA"/>
    <w:rsid w:val="00873099"/>
    <w:rsid w:val="008730B8"/>
    <w:rsid w:val="00873228"/>
    <w:rsid w:val="00873AC8"/>
    <w:rsid w:val="00873BB5"/>
    <w:rsid w:val="00873FB2"/>
    <w:rsid w:val="00874104"/>
    <w:rsid w:val="008742B9"/>
    <w:rsid w:val="0087433C"/>
    <w:rsid w:val="008744B0"/>
    <w:rsid w:val="00874757"/>
    <w:rsid w:val="0087480E"/>
    <w:rsid w:val="00874A92"/>
    <w:rsid w:val="00874B59"/>
    <w:rsid w:val="00874C21"/>
    <w:rsid w:val="00874C3C"/>
    <w:rsid w:val="00874CC1"/>
    <w:rsid w:val="00874D46"/>
    <w:rsid w:val="00874DD4"/>
    <w:rsid w:val="00874EBF"/>
    <w:rsid w:val="00874F84"/>
    <w:rsid w:val="0087531B"/>
    <w:rsid w:val="00875398"/>
    <w:rsid w:val="00875727"/>
    <w:rsid w:val="00875841"/>
    <w:rsid w:val="00875A9E"/>
    <w:rsid w:val="00875C19"/>
    <w:rsid w:val="00875D00"/>
    <w:rsid w:val="00876028"/>
    <w:rsid w:val="00876074"/>
    <w:rsid w:val="00876141"/>
    <w:rsid w:val="008762C3"/>
    <w:rsid w:val="00876333"/>
    <w:rsid w:val="008763E9"/>
    <w:rsid w:val="00876A94"/>
    <w:rsid w:val="00876AAA"/>
    <w:rsid w:val="00876AF7"/>
    <w:rsid w:val="00876B17"/>
    <w:rsid w:val="00876B86"/>
    <w:rsid w:val="00876C33"/>
    <w:rsid w:val="00876E2D"/>
    <w:rsid w:val="00876F5A"/>
    <w:rsid w:val="00877053"/>
    <w:rsid w:val="00877148"/>
    <w:rsid w:val="00877316"/>
    <w:rsid w:val="0087793D"/>
    <w:rsid w:val="00877C1F"/>
    <w:rsid w:val="00877C79"/>
    <w:rsid w:val="00877D02"/>
    <w:rsid w:val="00877FA6"/>
    <w:rsid w:val="00880079"/>
    <w:rsid w:val="00880140"/>
    <w:rsid w:val="0088032D"/>
    <w:rsid w:val="00880849"/>
    <w:rsid w:val="00880BC3"/>
    <w:rsid w:val="00880DF2"/>
    <w:rsid w:val="00880DF4"/>
    <w:rsid w:val="00880E10"/>
    <w:rsid w:val="00880E65"/>
    <w:rsid w:val="00880E89"/>
    <w:rsid w:val="00880EA1"/>
    <w:rsid w:val="00880F44"/>
    <w:rsid w:val="00881379"/>
    <w:rsid w:val="008813D7"/>
    <w:rsid w:val="00881420"/>
    <w:rsid w:val="00881938"/>
    <w:rsid w:val="00881944"/>
    <w:rsid w:val="0088194E"/>
    <w:rsid w:val="008819F5"/>
    <w:rsid w:val="00881C9B"/>
    <w:rsid w:val="008820B7"/>
    <w:rsid w:val="008821E0"/>
    <w:rsid w:val="008825BB"/>
    <w:rsid w:val="008826C0"/>
    <w:rsid w:val="00882921"/>
    <w:rsid w:val="00882955"/>
    <w:rsid w:val="00882E7C"/>
    <w:rsid w:val="00882F10"/>
    <w:rsid w:val="008832FD"/>
    <w:rsid w:val="00883358"/>
    <w:rsid w:val="008835BA"/>
    <w:rsid w:val="008837EB"/>
    <w:rsid w:val="008839EA"/>
    <w:rsid w:val="00883C24"/>
    <w:rsid w:val="00883CCF"/>
    <w:rsid w:val="00883E32"/>
    <w:rsid w:val="0088445B"/>
    <w:rsid w:val="008844E2"/>
    <w:rsid w:val="008853DD"/>
    <w:rsid w:val="00885D7C"/>
    <w:rsid w:val="0088603F"/>
    <w:rsid w:val="008860AA"/>
    <w:rsid w:val="00886273"/>
    <w:rsid w:val="008862CF"/>
    <w:rsid w:val="00886376"/>
    <w:rsid w:val="008863BA"/>
    <w:rsid w:val="00886537"/>
    <w:rsid w:val="008865E7"/>
    <w:rsid w:val="00886C8B"/>
    <w:rsid w:val="00886D09"/>
    <w:rsid w:val="00886DE7"/>
    <w:rsid w:val="00886EC9"/>
    <w:rsid w:val="0088724C"/>
    <w:rsid w:val="008874AD"/>
    <w:rsid w:val="008877F0"/>
    <w:rsid w:val="00887971"/>
    <w:rsid w:val="00887B28"/>
    <w:rsid w:val="00887E1F"/>
    <w:rsid w:val="008900A9"/>
    <w:rsid w:val="008903FE"/>
    <w:rsid w:val="00890496"/>
    <w:rsid w:val="008905F8"/>
    <w:rsid w:val="0089069A"/>
    <w:rsid w:val="0089074C"/>
    <w:rsid w:val="00890B37"/>
    <w:rsid w:val="00890D9B"/>
    <w:rsid w:val="00890DC5"/>
    <w:rsid w:val="00890E68"/>
    <w:rsid w:val="008911D8"/>
    <w:rsid w:val="008913B2"/>
    <w:rsid w:val="008914DC"/>
    <w:rsid w:val="00891893"/>
    <w:rsid w:val="00891B78"/>
    <w:rsid w:val="00891FAE"/>
    <w:rsid w:val="008924A0"/>
    <w:rsid w:val="00892542"/>
    <w:rsid w:val="008925C2"/>
    <w:rsid w:val="008926F9"/>
    <w:rsid w:val="008930B3"/>
    <w:rsid w:val="008932E7"/>
    <w:rsid w:val="0089333E"/>
    <w:rsid w:val="00893635"/>
    <w:rsid w:val="00893A2A"/>
    <w:rsid w:val="00893A6B"/>
    <w:rsid w:val="00893BC7"/>
    <w:rsid w:val="00894391"/>
    <w:rsid w:val="00894426"/>
    <w:rsid w:val="00894573"/>
    <w:rsid w:val="00894689"/>
    <w:rsid w:val="00894838"/>
    <w:rsid w:val="00894A1B"/>
    <w:rsid w:val="00894B5C"/>
    <w:rsid w:val="00894F43"/>
    <w:rsid w:val="00894FC9"/>
    <w:rsid w:val="0089503E"/>
    <w:rsid w:val="00895120"/>
    <w:rsid w:val="008952A4"/>
    <w:rsid w:val="00895328"/>
    <w:rsid w:val="00895582"/>
    <w:rsid w:val="0089599C"/>
    <w:rsid w:val="00895A5E"/>
    <w:rsid w:val="00895C25"/>
    <w:rsid w:val="00895C47"/>
    <w:rsid w:val="00895C83"/>
    <w:rsid w:val="00895D53"/>
    <w:rsid w:val="00895DCE"/>
    <w:rsid w:val="00895FDA"/>
    <w:rsid w:val="00896273"/>
    <w:rsid w:val="008963DC"/>
    <w:rsid w:val="0089673A"/>
    <w:rsid w:val="00896984"/>
    <w:rsid w:val="00896C0B"/>
    <w:rsid w:val="00896E42"/>
    <w:rsid w:val="00896E60"/>
    <w:rsid w:val="0089720D"/>
    <w:rsid w:val="0089723A"/>
    <w:rsid w:val="00897371"/>
    <w:rsid w:val="00897617"/>
    <w:rsid w:val="00897742"/>
    <w:rsid w:val="0089774F"/>
    <w:rsid w:val="00897A34"/>
    <w:rsid w:val="00897A4E"/>
    <w:rsid w:val="00897B31"/>
    <w:rsid w:val="00897DEA"/>
    <w:rsid w:val="008A004A"/>
    <w:rsid w:val="008A0054"/>
    <w:rsid w:val="008A009D"/>
    <w:rsid w:val="008A0154"/>
    <w:rsid w:val="008A01CE"/>
    <w:rsid w:val="008A0395"/>
    <w:rsid w:val="008A05E6"/>
    <w:rsid w:val="008A06DE"/>
    <w:rsid w:val="008A0743"/>
    <w:rsid w:val="008A0AD4"/>
    <w:rsid w:val="008A0B8A"/>
    <w:rsid w:val="008A0CA9"/>
    <w:rsid w:val="008A1378"/>
    <w:rsid w:val="008A17A7"/>
    <w:rsid w:val="008A1A79"/>
    <w:rsid w:val="008A1D1F"/>
    <w:rsid w:val="008A1DD8"/>
    <w:rsid w:val="008A21A6"/>
    <w:rsid w:val="008A2289"/>
    <w:rsid w:val="008A2292"/>
    <w:rsid w:val="008A2293"/>
    <w:rsid w:val="008A22ED"/>
    <w:rsid w:val="008A23B3"/>
    <w:rsid w:val="008A273A"/>
    <w:rsid w:val="008A2903"/>
    <w:rsid w:val="008A2F8A"/>
    <w:rsid w:val="008A32B3"/>
    <w:rsid w:val="008A3339"/>
    <w:rsid w:val="008A36EA"/>
    <w:rsid w:val="008A371D"/>
    <w:rsid w:val="008A3919"/>
    <w:rsid w:val="008A3B04"/>
    <w:rsid w:val="008A3B88"/>
    <w:rsid w:val="008A3D38"/>
    <w:rsid w:val="008A3D74"/>
    <w:rsid w:val="008A416F"/>
    <w:rsid w:val="008A41D2"/>
    <w:rsid w:val="008A4325"/>
    <w:rsid w:val="008A45D0"/>
    <w:rsid w:val="008A48A1"/>
    <w:rsid w:val="008A48FF"/>
    <w:rsid w:val="008A4B1E"/>
    <w:rsid w:val="008A516B"/>
    <w:rsid w:val="008A5829"/>
    <w:rsid w:val="008A58D3"/>
    <w:rsid w:val="008A5B8C"/>
    <w:rsid w:val="008A5BD8"/>
    <w:rsid w:val="008A5D51"/>
    <w:rsid w:val="008A5E15"/>
    <w:rsid w:val="008A6799"/>
    <w:rsid w:val="008A6A39"/>
    <w:rsid w:val="008A6BA8"/>
    <w:rsid w:val="008A7149"/>
    <w:rsid w:val="008A733B"/>
    <w:rsid w:val="008A7535"/>
    <w:rsid w:val="008A753F"/>
    <w:rsid w:val="008A76E2"/>
    <w:rsid w:val="008A784C"/>
    <w:rsid w:val="008A7B99"/>
    <w:rsid w:val="008A7C3C"/>
    <w:rsid w:val="008A8799"/>
    <w:rsid w:val="008B02C1"/>
    <w:rsid w:val="008B0312"/>
    <w:rsid w:val="008B0331"/>
    <w:rsid w:val="008B04E4"/>
    <w:rsid w:val="008B088F"/>
    <w:rsid w:val="008B0B44"/>
    <w:rsid w:val="008B0B9F"/>
    <w:rsid w:val="008B0E49"/>
    <w:rsid w:val="008B0F34"/>
    <w:rsid w:val="008B0FB0"/>
    <w:rsid w:val="008B100A"/>
    <w:rsid w:val="008B14B8"/>
    <w:rsid w:val="008B1533"/>
    <w:rsid w:val="008B1C07"/>
    <w:rsid w:val="008B203C"/>
    <w:rsid w:val="008B2186"/>
    <w:rsid w:val="008B21E3"/>
    <w:rsid w:val="008B2361"/>
    <w:rsid w:val="008B2659"/>
    <w:rsid w:val="008B2770"/>
    <w:rsid w:val="008B27B7"/>
    <w:rsid w:val="008B28B4"/>
    <w:rsid w:val="008B2925"/>
    <w:rsid w:val="008B2D32"/>
    <w:rsid w:val="008B3104"/>
    <w:rsid w:val="008B3131"/>
    <w:rsid w:val="008B35C9"/>
    <w:rsid w:val="008B37FB"/>
    <w:rsid w:val="008B388E"/>
    <w:rsid w:val="008B3991"/>
    <w:rsid w:val="008B3CA9"/>
    <w:rsid w:val="008B3FA8"/>
    <w:rsid w:val="008B4053"/>
    <w:rsid w:val="008B41B5"/>
    <w:rsid w:val="008B4299"/>
    <w:rsid w:val="008B429F"/>
    <w:rsid w:val="008B448A"/>
    <w:rsid w:val="008B4612"/>
    <w:rsid w:val="008B46CD"/>
    <w:rsid w:val="008B471A"/>
    <w:rsid w:val="008B471B"/>
    <w:rsid w:val="008B47D8"/>
    <w:rsid w:val="008B4832"/>
    <w:rsid w:val="008B4C15"/>
    <w:rsid w:val="008B54E6"/>
    <w:rsid w:val="008B5588"/>
    <w:rsid w:val="008B5E86"/>
    <w:rsid w:val="008B5F91"/>
    <w:rsid w:val="008B60BB"/>
    <w:rsid w:val="008B6363"/>
    <w:rsid w:val="008B64F3"/>
    <w:rsid w:val="008B6660"/>
    <w:rsid w:val="008B66FC"/>
    <w:rsid w:val="008B68F9"/>
    <w:rsid w:val="008B6B99"/>
    <w:rsid w:val="008B6E23"/>
    <w:rsid w:val="008B6ECD"/>
    <w:rsid w:val="008B6F5F"/>
    <w:rsid w:val="008B6F79"/>
    <w:rsid w:val="008B71C2"/>
    <w:rsid w:val="008B7267"/>
    <w:rsid w:val="008B7A2C"/>
    <w:rsid w:val="008B7AD0"/>
    <w:rsid w:val="008C01BF"/>
    <w:rsid w:val="008C02C4"/>
    <w:rsid w:val="008C0425"/>
    <w:rsid w:val="008C0544"/>
    <w:rsid w:val="008C07AF"/>
    <w:rsid w:val="008C0995"/>
    <w:rsid w:val="008C0A73"/>
    <w:rsid w:val="008C0CED"/>
    <w:rsid w:val="008C0D52"/>
    <w:rsid w:val="008C0DAD"/>
    <w:rsid w:val="008C114C"/>
    <w:rsid w:val="008C1229"/>
    <w:rsid w:val="008C1850"/>
    <w:rsid w:val="008C1B95"/>
    <w:rsid w:val="008C1C8D"/>
    <w:rsid w:val="008C1EA1"/>
    <w:rsid w:val="008C201D"/>
    <w:rsid w:val="008C2090"/>
    <w:rsid w:val="008C2106"/>
    <w:rsid w:val="008C231A"/>
    <w:rsid w:val="008C26C8"/>
    <w:rsid w:val="008C2A8D"/>
    <w:rsid w:val="008C2B85"/>
    <w:rsid w:val="008C2F9C"/>
    <w:rsid w:val="008C2FCD"/>
    <w:rsid w:val="008C317A"/>
    <w:rsid w:val="008C34D5"/>
    <w:rsid w:val="008C3666"/>
    <w:rsid w:val="008C3F24"/>
    <w:rsid w:val="008C42BA"/>
    <w:rsid w:val="008C42C3"/>
    <w:rsid w:val="008C4370"/>
    <w:rsid w:val="008C44E7"/>
    <w:rsid w:val="008C45A7"/>
    <w:rsid w:val="008C4786"/>
    <w:rsid w:val="008C47DF"/>
    <w:rsid w:val="008C48DE"/>
    <w:rsid w:val="008C4906"/>
    <w:rsid w:val="008C4A69"/>
    <w:rsid w:val="008C52E0"/>
    <w:rsid w:val="008C52EA"/>
    <w:rsid w:val="008C53C3"/>
    <w:rsid w:val="008C5457"/>
    <w:rsid w:val="008C55F2"/>
    <w:rsid w:val="008C629D"/>
    <w:rsid w:val="008C62E4"/>
    <w:rsid w:val="008C6325"/>
    <w:rsid w:val="008C63BA"/>
    <w:rsid w:val="008C662F"/>
    <w:rsid w:val="008C66A8"/>
    <w:rsid w:val="008C693B"/>
    <w:rsid w:val="008C71D9"/>
    <w:rsid w:val="008C71FE"/>
    <w:rsid w:val="008C73B8"/>
    <w:rsid w:val="008C76F1"/>
    <w:rsid w:val="008C7731"/>
    <w:rsid w:val="008C7777"/>
    <w:rsid w:val="008C7E04"/>
    <w:rsid w:val="008C7EFE"/>
    <w:rsid w:val="008D0062"/>
    <w:rsid w:val="008D034A"/>
    <w:rsid w:val="008D05DF"/>
    <w:rsid w:val="008D0615"/>
    <w:rsid w:val="008D06E2"/>
    <w:rsid w:val="008D08C1"/>
    <w:rsid w:val="008D0B04"/>
    <w:rsid w:val="008D0DAA"/>
    <w:rsid w:val="008D0E9A"/>
    <w:rsid w:val="008D11F4"/>
    <w:rsid w:val="008D1266"/>
    <w:rsid w:val="008D1328"/>
    <w:rsid w:val="008D13CE"/>
    <w:rsid w:val="008D13F8"/>
    <w:rsid w:val="008D14B1"/>
    <w:rsid w:val="008D1575"/>
    <w:rsid w:val="008D1688"/>
    <w:rsid w:val="008D17CD"/>
    <w:rsid w:val="008D1BDB"/>
    <w:rsid w:val="008D1CA0"/>
    <w:rsid w:val="008D1CA9"/>
    <w:rsid w:val="008D2099"/>
    <w:rsid w:val="008D21FE"/>
    <w:rsid w:val="008D23C7"/>
    <w:rsid w:val="008D252D"/>
    <w:rsid w:val="008D2955"/>
    <w:rsid w:val="008D2C54"/>
    <w:rsid w:val="008D2D50"/>
    <w:rsid w:val="008D2EC6"/>
    <w:rsid w:val="008D328C"/>
    <w:rsid w:val="008D3336"/>
    <w:rsid w:val="008D34A5"/>
    <w:rsid w:val="008D34C1"/>
    <w:rsid w:val="008D3750"/>
    <w:rsid w:val="008D394D"/>
    <w:rsid w:val="008D3B00"/>
    <w:rsid w:val="008D3D90"/>
    <w:rsid w:val="008D3E92"/>
    <w:rsid w:val="008D3FB0"/>
    <w:rsid w:val="008D3FF7"/>
    <w:rsid w:val="008D411F"/>
    <w:rsid w:val="008D4179"/>
    <w:rsid w:val="008D428F"/>
    <w:rsid w:val="008D4801"/>
    <w:rsid w:val="008D4836"/>
    <w:rsid w:val="008D4A23"/>
    <w:rsid w:val="008D4C76"/>
    <w:rsid w:val="008D5098"/>
    <w:rsid w:val="008D5197"/>
    <w:rsid w:val="008D53B3"/>
    <w:rsid w:val="008D5796"/>
    <w:rsid w:val="008D57EC"/>
    <w:rsid w:val="008D5A8B"/>
    <w:rsid w:val="008D5B5E"/>
    <w:rsid w:val="008D600C"/>
    <w:rsid w:val="008D605D"/>
    <w:rsid w:val="008D6096"/>
    <w:rsid w:val="008D6103"/>
    <w:rsid w:val="008D6139"/>
    <w:rsid w:val="008D6177"/>
    <w:rsid w:val="008D622A"/>
    <w:rsid w:val="008D6234"/>
    <w:rsid w:val="008D6368"/>
    <w:rsid w:val="008D6698"/>
    <w:rsid w:val="008D677E"/>
    <w:rsid w:val="008D6A39"/>
    <w:rsid w:val="008D6ACC"/>
    <w:rsid w:val="008D6D6F"/>
    <w:rsid w:val="008D6F23"/>
    <w:rsid w:val="008D716E"/>
    <w:rsid w:val="008D7292"/>
    <w:rsid w:val="008D745C"/>
    <w:rsid w:val="008D752B"/>
    <w:rsid w:val="008D768F"/>
    <w:rsid w:val="008D7882"/>
    <w:rsid w:val="008D7903"/>
    <w:rsid w:val="008D7916"/>
    <w:rsid w:val="008D7A5B"/>
    <w:rsid w:val="008D7BE7"/>
    <w:rsid w:val="008D7C1B"/>
    <w:rsid w:val="008D7CEF"/>
    <w:rsid w:val="008D7D6D"/>
    <w:rsid w:val="008E009E"/>
    <w:rsid w:val="008E0318"/>
    <w:rsid w:val="008E036A"/>
    <w:rsid w:val="008E03C4"/>
    <w:rsid w:val="008E068E"/>
    <w:rsid w:val="008E08B8"/>
    <w:rsid w:val="008E1015"/>
    <w:rsid w:val="008E116D"/>
    <w:rsid w:val="008E128E"/>
    <w:rsid w:val="008E12F1"/>
    <w:rsid w:val="008E135D"/>
    <w:rsid w:val="008E17B8"/>
    <w:rsid w:val="008E1CAC"/>
    <w:rsid w:val="008E1CAD"/>
    <w:rsid w:val="008E1DD9"/>
    <w:rsid w:val="008E203F"/>
    <w:rsid w:val="008E2360"/>
    <w:rsid w:val="008E2375"/>
    <w:rsid w:val="008E2943"/>
    <w:rsid w:val="008E29A8"/>
    <w:rsid w:val="008E2A30"/>
    <w:rsid w:val="008E2AF3"/>
    <w:rsid w:val="008E2BF6"/>
    <w:rsid w:val="008E2E1D"/>
    <w:rsid w:val="008E2FFA"/>
    <w:rsid w:val="008E3104"/>
    <w:rsid w:val="008E3111"/>
    <w:rsid w:val="008E32B3"/>
    <w:rsid w:val="008E3387"/>
    <w:rsid w:val="008E33F0"/>
    <w:rsid w:val="008E3824"/>
    <w:rsid w:val="008E41A1"/>
    <w:rsid w:val="008E4218"/>
    <w:rsid w:val="008E42C8"/>
    <w:rsid w:val="008E4400"/>
    <w:rsid w:val="008E454E"/>
    <w:rsid w:val="008E4A7A"/>
    <w:rsid w:val="008E4BF1"/>
    <w:rsid w:val="008E4CC4"/>
    <w:rsid w:val="008E4F4D"/>
    <w:rsid w:val="008E5028"/>
    <w:rsid w:val="008E51B4"/>
    <w:rsid w:val="008E5476"/>
    <w:rsid w:val="008E5494"/>
    <w:rsid w:val="008E58D0"/>
    <w:rsid w:val="008E5B6F"/>
    <w:rsid w:val="008E5C9A"/>
    <w:rsid w:val="008E6100"/>
    <w:rsid w:val="008E63B3"/>
    <w:rsid w:val="008E65CD"/>
    <w:rsid w:val="008E6608"/>
    <w:rsid w:val="008E6994"/>
    <w:rsid w:val="008E6B05"/>
    <w:rsid w:val="008E6D19"/>
    <w:rsid w:val="008E6DC4"/>
    <w:rsid w:val="008E6EF7"/>
    <w:rsid w:val="008E7017"/>
    <w:rsid w:val="008E74F3"/>
    <w:rsid w:val="008E7536"/>
    <w:rsid w:val="008E7DEB"/>
    <w:rsid w:val="008F0179"/>
    <w:rsid w:val="008F079F"/>
    <w:rsid w:val="008F0846"/>
    <w:rsid w:val="008F0891"/>
    <w:rsid w:val="008F0B4D"/>
    <w:rsid w:val="008F0BCB"/>
    <w:rsid w:val="008F0C4F"/>
    <w:rsid w:val="008F11B8"/>
    <w:rsid w:val="008F12DB"/>
    <w:rsid w:val="008F13E4"/>
    <w:rsid w:val="008F1550"/>
    <w:rsid w:val="008F1872"/>
    <w:rsid w:val="008F19B6"/>
    <w:rsid w:val="008F1B00"/>
    <w:rsid w:val="008F1B0F"/>
    <w:rsid w:val="008F1BFB"/>
    <w:rsid w:val="008F1D5E"/>
    <w:rsid w:val="008F213B"/>
    <w:rsid w:val="008F214D"/>
    <w:rsid w:val="008F215A"/>
    <w:rsid w:val="008F22FA"/>
    <w:rsid w:val="008F2340"/>
    <w:rsid w:val="008F2399"/>
    <w:rsid w:val="008F259B"/>
    <w:rsid w:val="008F25E3"/>
    <w:rsid w:val="008F281B"/>
    <w:rsid w:val="008F2EA7"/>
    <w:rsid w:val="008F30B0"/>
    <w:rsid w:val="008F3601"/>
    <w:rsid w:val="008F3896"/>
    <w:rsid w:val="008F39A0"/>
    <w:rsid w:val="008F3BA8"/>
    <w:rsid w:val="008F414C"/>
    <w:rsid w:val="008F469E"/>
    <w:rsid w:val="008F47B3"/>
    <w:rsid w:val="008F484B"/>
    <w:rsid w:val="008F4D8F"/>
    <w:rsid w:val="008F4FAE"/>
    <w:rsid w:val="008F515B"/>
    <w:rsid w:val="008F53F0"/>
    <w:rsid w:val="008F5447"/>
    <w:rsid w:val="008F5945"/>
    <w:rsid w:val="008F59CB"/>
    <w:rsid w:val="008F5C2B"/>
    <w:rsid w:val="008F5C3C"/>
    <w:rsid w:val="008F5C47"/>
    <w:rsid w:val="008F5CFA"/>
    <w:rsid w:val="008F63FB"/>
    <w:rsid w:val="008F657A"/>
    <w:rsid w:val="008F65DE"/>
    <w:rsid w:val="008F661F"/>
    <w:rsid w:val="008F67AB"/>
    <w:rsid w:val="008F67F2"/>
    <w:rsid w:val="008F6B91"/>
    <w:rsid w:val="008F6C45"/>
    <w:rsid w:val="008F6D03"/>
    <w:rsid w:val="008F6DE6"/>
    <w:rsid w:val="008F6E90"/>
    <w:rsid w:val="008F71F7"/>
    <w:rsid w:val="008F74FB"/>
    <w:rsid w:val="008F75CC"/>
    <w:rsid w:val="008F7844"/>
    <w:rsid w:val="008F7CFF"/>
    <w:rsid w:val="008F7DEE"/>
    <w:rsid w:val="008F7DFE"/>
    <w:rsid w:val="008F7F25"/>
    <w:rsid w:val="008F7FD0"/>
    <w:rsid w:val="00900039"/>
    <w:rsid w:val="009000F7"/>
    <w:rsid w:val="00900101"/>
    <w:rsid w:val="00900207"/>
    <w:rsid w:val="00900404"/>
    <w:rsid w:val="009004C6"/>
    <w:rsid w:val="009007A1"/>
    <w:rsid w:val="009007A5"/>
    <w:rsid w:val="00900A89"/>
    <w:rsid w:val="00900E31"/>
    <w:rsid w:val="00900FBC"/>
    <w:rsid w:val="009010F7"/>
    <w:rsid w:val="00901351"/>
    <w:rsid w:val="00901469"/>
    <w:rsid w:val="0090153F"/>
    <w:rsid w:val="0090195F"/>
    <w:rsid w:val="00901B5B"/>
    <w:rsid w:val="00901EB0"/>
    <w:rsid w:val="00901F52"/>
    <w:rsid w:val="00901F56"/>
    <w:rsid w:val="00902148"/>
    <w:rsid w:val="00902280"/>
    <w:rsid w:val="0090230F"/>
    <w:rsid w:val="00902483"/>
    <w:rsid w:val="00902BE8"/>
    <w:rsid w:val="00902EDA"/>
    <w:rsid w:val="00903129"/>
    <w:rsid w:val="00903165"/>
    <w:rsid w:val="00903244"/>
    <w:rsid w:val="00903330"/>
    <w:rsid w:val="00903BC9"/>
    <w:rsid w:val="00903D01"/>
    <w:rsid w:val="00903D09"/>
    <w:rsid w:val="00903D8F"/>
    <w:rsid w:val="00903F08"/>
    <w:rsid w:val="009040F1"/>
    <w:rsid w:val="00904366"/>
    <w:rsid w:val="009044A5"/>
    <w:rsid w:val="00904A07"/>
    <w:rsid w:val="00904BE7"/>
    <w:rsid w:val="00904DE9"/>
    <w:rsid w:val="009050FC"/>
    <w:rsid w:val="009054CC"/>
    <w:rsid w:val="0090563C"/>
    <w:rsid w:val="00905D68"/>
    <w:rsid w:val="00905D9A"/>
    <w:rsid w:val="009068C2"/>
    <w:rsid w:val="00906A95"/>
    <w:rsid w:val="00906BE4"/>
    <w:rsid w:val="00906D1E"/>
    <w:rsid w:val="00907430"/>
    <w:rsid w:val="009076AF"/>
    <w:rsid w:val="009076B1"/>
    <w:rsid w:val="0090778E"/>
    <w:rsid w:val="00907919"/>
    <w:rsid w:val="0090793B"/>
    <w:rsid w:val="00907A66"/>
    <w:rsid w:val="00907AED"/>
    <w:rsid w:val="00907C78"/>
    <w:rsid w:val="00907CFD"/>
    <w:rsid w:val="00907E2B"/>
    <w:rsid w:val="009102B4"/>
    <w:rsid w:val="00910947"/>
    <w:rsid w:val="00910973"/>
    <w:rsid w:val="009109A8"/>
    <w:rsid w:val="00910BF6"/>
    <w:rsid w:val="00910C78"/>
    <w:rsid w:val="0091103C"/>
    <w:rsid w:val="0091109F"/>
    <w:rsid w:val="00911195"/>
    <w:rsid w:val="0091148C"/>
    <w:rsid w:val="009116F4"/>
    <w:rsid w:val="00911721"/>
    <w:rsid w:val="0091177B"/>
    <w:rsid w:val="00911963"/>
    <w:rsid w:val="00911B8A"/>
    <w:rsid w:val="009121A2"/>
    <w:rsid w:val="00912348"/>
    <w:rsid w:val="0091248A"/>
    <w:rsid w:val="0091248E"/>
    <w:rsid w:val="009129CB"/>
    <w:rsid w:val="00912A61"/>
    <w:rsid w:val="00912C1E"/>
    <w:rsid w:val="00912F4E"/>
    <w:rsid w:val="0091327F"/>
    <w:rsid w:val="00913946"/>
    <w:rsid w:val="00913981"/>
    <w:rsid w:val="00913A06"/>
    <w:rsid w:val="00913A79"/>
    <w:rsid w:val="00914702"/>
    <w:rsid w:val="00914A44"/>
    <w:rsid w:val="00914CD6"/>
    <w:rsid w:val="00914D19"/>
    <w:rsid w:val="00914D74"/>
    <w:rsid w:val="00914E5C"/>
    <w:rsid w:val="00914F3A"/>
    <w:rsid w:val="009152E3"/>
    <w:rsid w:val="0091564D"/>
    <w:rsid w:val="009156A5"/>
    <w:rsid w:val="009157C0"/>
    <w:rsid w:val="00915C31"/>
    <w:rsid w:val="00915C35"/>
    <w:rsid w:val="00915C96"/>
    <w:rsid w:val="00915E10"/>
    <w:rsid w:val="009162FE"/>
    <w:rsid w:val="00916388"/>
    <w:rsid w:val="00916633"/>
    <w:rsid w:val="009166B4"/>
    <w:rsid w:val="009166F5"/>
    <w:rsid w:val="00916777"/>
    <w:rsid w:val="0091679B"/>
    <w:rsid w:val="009167EE"/>
    <w:rsid w:val="00916FC3"/>
    <w:rsid w:val="00917157"/>
    <w:rsid w:val="0091718E"/>
    <w:rsid w:val="009173C1"/>
    <w:rsid w:val="00917563"/>
    <w:rsid w:val="009175FB"/>
    <w:rsid w:val="009177EE"/>
    <w:rsid w:val="009178AE"/>
    <w:rsid w:val="00917A7E"/>
    <w:rsid w:val="00917C32"/>
    <w:rsid w:val="00917EDA"/>
    <w:rsid w:val="009200C4"/>
    <w:rsid w:val="0092033C"/>
    <w:rsid w:val="0092083C"/>
    <w:rsid w:val="00920BC0"/>
    <w:rsid w:val="00920E23"/>
    <w:rsid w:val="00920E31"/>
    <w:rsid w:val="00921020"/>
    <w:rsid w:val="009211BC"/>
    <w:rsid w:val="0092175E"/>
    <w:rsid w:val="00921954"/>
    <w:rsid w:val="00922071"/>
    <w:rsid w:val="0092224B"/>
    <w:rsid w:val="00922489"/>
    <w:rsid w:val="00922546"/>
    <w:rsid w:val="009225EE"/>
    <w:rsid w:val="00922657"/>
    <w:rsid w:val="00922C05"/>
    <w:rsid w:val="00922D85"/>
    <w:rsid w:val="00922DFE"/>
    <w:rsid w:val="00922E45"/>
    <w:rsid w:val="00922F94"/>
    <w:rsid w:val="00923051"/>
    <w:rsid w:val="00923070"/>
    <w:rsid w:val="009237D4"/>
    <w:rsid w:val="0092388A"/>
    <w:rsid w:val="00923A0D"/>
    <w:rsid w:val="00923C6E"/>
    <w:rsid w:val="00923CA1"/>
    <w:rsid w:val="00923D02"/>
    <w:rsid w:val="00923D06"/>
    <w:rsid w:val="00923D58"/>
    <w:rsid w:val="00923E04"/>
    <w:rsid w:val="00923F0D"/>
    <w:rsid w:val="009241AE"/>
    <w:rsid w:val="00924210"/>
    <w:rsid w:val="0092442A"/>
    <w:rsid w:val="009244B7"/>
    <w:rsid w:val="00924A74"/>
    <w:rsid w:val="00924D7E"/>
    <w:rsid w:val="00924F5D"/>
    <w:rsid w:val="00924FD4"/>
    <w:rsid w:val="00924FDA"/>
    <w:rsid w:val="009251EA"/>
    <w:rsid w:val="00925636"/>
    <w:rsid w:val="0092578E"/>
    <w:rsid w:val="009257EC"/>
    <w:rsid w:val="00925993"/>
    <w:rsid w:val="00925A5D"/>
    <w:rsid w:val="00925D81"/>
    <w:rsid w:val="00926159"/>
    <w:rsid w:val="009261DF"/>
    <w:rsid w:val="0092656E"/>
    <w:rsid w:val="009266D5"/>
    <w:rsid w:val="00926AE5"/>
    <w:rsid w:val="00926B2D"/>
    <w:rsid w:val="00926B94"/>
    <w:rsid w:val="009271C1"/>
    <w:rsid w:val="009272CD"/>
    <w:rsid w:val="009274CE"/>
    <w:rsid w:val="00927B57"/>
    <w:rsid w:val="00927EBE"/>
    <w:rsid w:val="009302E2"/>
    <w:rsid w:val="0093031D"/>
    <w:rsid w:val="0093038C"/>
    <w:rsid w:val="009303AD"/>
    <w:rsid w:val="0093048A"/>
    <w:rsid w:val="0093065D"/>
    <w:rsid w:val="0093082F"/>
    <w:rsid w:val="00930AA4"/>
    <w:rsid w:val="00930AA8"/>
    <w:rsid w:val="00930F4F"/>
    <w:rsid w:val="009310CC"/>
    <w:rsid w:val="00931337"/>
    <w:rsid w:val="00931663"/>
    <w:rsid w:val="00931D8E"/>
    <w:rsid w:val="00931F87"/>
    <w:rsid w:val="0093207A"/>
    <w:rsid w:val="009321AD"/>
    <w:rsid w:val="00932330"/>
    <w:rsid w:val="0093248C"/>
    <w:rsid w:val="00932786"/>
    <w:rsid w:val="00932947"/>
    <w:rsid w:val="00932B3A"/>
    <w:rsid w:val="00932D79"/>
    <w:rsid w:val="00932FF8"/>
    <w:rsid w:val="0093335E"/>
    <w:rsid w:val="00933478"/>
    <w:rsid w:val="009334D6"/>
    <w:rsid w:val="0093350D"/>
    <w:rsid w:val="00933843"/>
    <w:rsid w:val="00933A78"/>
    <w:rsid w:val="00933ACC"/>
    <w:rsid w:val="00933AE9"/>
    <w:rsid w:val="00933D74"/>
    <w:rsid w:val="00933DA2"/>
    <w:rsid w:val="00933E4C"/>
    <w:rsid w:val="00933FC6"/>
    <w:rsid w:val="00934053"/>
    <w:rsid w:val="0093430C"/>
    <w:rsid w:val="00934384"/>
    <w:rsid w:val="009347F6"/>
    <w:rsid w:val="00934912"/>
    <w:rsid w:val="00934A4E"/>
    <w:rsid w:val="00934AC4"/>
    <w:rsid w:val="0093506B"/>
    <w:rsid w:val="009352E4"/>
    <w:rsid w:val="00935579"/>
    <w:rsid w:val="0093575A"/>
    <w:rsid w:val="00935776"/>
    <w:rsid w:val="009359E4"/>
    <w:rsid w:val="009359E9"/>
    <w:rsid w:val="00935C1D"/>
    <w:rsid w:val="00935DD8"/>
    <w:rsid w:val="00935DDC"/>
    <w:rsid w:val="00935DE4"/>
    <w:rsid w:val="00935E96"/>
    <w:rsid w:val="0093604E"/>
    <w:rsid w:val="0093618B"/>
    <w:rsid w:val="009363B9"/>
    <w:rsid w:val="009364FE"/>
    <w:rsid w:val="009365AB"/>
    <w:rsid w:val="009365BC"/>
    <w:rsid w:val="009367B1"/>
    <w:rsid w:val="00936970"/>
    <w:rsid w:val="00936B72"/>
    <w:rsid w:val="00936C8B"/>
    <w:rsid w:val="00936E3D"/>
    <w:rsid w:val="00936F81"/>
    <w:rsid w:val="009370ED"/>
    <w:rsid w:val="00937476"/>
    <w:rsid w:val="009374B7"/>
    <w:rsid w:val="00937534"/>
    <w:rsid w:val="0093799B"/>
    <w:rsid w:val="00937BA9"/>
    <w:rsid w:val="00937E4F"/>
    <w:rsid w:val="00937FC0"/>
    <w:rsid w:val="00940110"/>
    <w:rsid w:val="009402A0"/>
    <w:rsid w:val="009403B9"/>
    <w:rsid w:val="0094052C"/>
    <w:rsid w:val="009407EF"/>
    <w:rsid w:val="009408C2"/>
    <w:rsid w:val="009409AD"/>
    <w:rsid w:val="009409B8"/>
    <w:rsid w:val="00940A3A"/>
    <w:rsid w:val="00940ADA"/>
    <w:rsid w:val="00940B22"/>
    <w:rsid w:val="00940D90"/>
    <w:rsid w:val="00941265"/>
    <w:rsid w:val="009418D0"/>
    <w:rsid w:val="009418F7"/>
    <w:rsid w:val="00941976"/>
    <w:rsid w:val="00941C7E"/>
    <w:rsid w:val="00941D1A"/>
    <w:rsid w:val="00941D6A"/>
    <w:rsid w:val="00941F3C"/>
    <w:rsid w:val="00941FCB"/>
    <w:rsid w:val="0094227D"/>
    <w:rsid w:val="00942405"/>
    <w:rsid w:val="0094258E"/>
    <w:rsid w:val="00942874"/>
    <w:rsid w:val="00942AD2"/>
    <w:rsid w:val="00942ADB"/>
    <w:rsid w:val="00942ADE"/>
    <w:rsid w:val="00942CCF"/>
    <w:rsid w:val="00942D82"/>
    <w:rsid w:val="0094300E"/>
    <w:rsid w:val="009433F0"/>
    <w:rsid w:val="009434D2"/>
    <w:rsid w:val="00943586"/>
    <w:rsid w:val="00943779"/>
    <w:rsid w:val="00943A6A"/>
    <w:rsid w:val="00943BBC"/>
    <w:rsid w:val="00943DA6"/>
    <w:rsid w:val="00943DF2"/>
    <w:rsid w:val="0094404A"/>
    <w:rsid w:val="00944174"/>
    <w:rsid w:val="009442A2"/>
    <w:rsid w:val="009444D2"/>
    <w:rsid w:val="00944564"/>
    <w:rsid w:val="009446B5"/>
    <w:rsid w:val="009447B4"/>
    <w:rsid w:val="009447F6"/>
    <w:rsid w:val="00944C4E"/>
    <w:rsid w:val="00944C9D"/>
    <w:rsid w:val="00944D00"/>
    <w:rsid w:val="00944DED"/>
    <w:rsid w:val="00944E1E"/>
    <w:rsid w:val="009452DA"/>
    <w:rsid w:val="00945301"/>
    <w:rsid w:val="009455B0"/>
    <w:rsid w:val="00945600"/>
    <w:rsid w:val="00945B53"/>
    <w:rsid w:val="00945C14"/>
    <w:rsid w:val="00945E9C"/>
    <w:rsid w:val="00945EC7"/>
    <w:rsid w:val="00945F0A"/>
    <w:rsid w:val="009460A8"/>
    <w:rsid w:val="0094637A"/>
    <w:rsid w:val="00946479"/>
    <w:rsid w:val="009464D4"/>
    <w:rsid w:val="00946842"/>
    <w:rsid w:val="00946979"/>
    <w:rsid w:val="009469E9"/>
    <w:rsid w:val="00946BC6"/>
    <w:rsid w:val="00946E2E"/>
    <w:rsid w:val="00946F1D"/>
    <w:rsid w:val="00947021"/>
    <w:rsid w:val="009470ED"/>
    <w:rsid w:val="00947527"/>
    <w:rsid w:val="00947573"/>
    <w:rsid w:val="00947AA8"/>
    <w:rsid w:val="00947BC1"/>
    <w:rsid w:val="00947BD3"/>
    <w:rsid w:val="00947CAE"/>
    <w:rsid w:val="009500B2"/>
    <w:rsid w:val="009500C2"/>
    <w:rsid w:val="00950340"/>
    <w:rsid w:val="0095072F"/>
    <w:rsid w:val="0095094B"/>
    <w:rsid w:val="0095094D"/>
    <w:rsid w:val="00950BE0"/>
    <w:rsid w:val="00950D1F"/>
    <w:rsid w:val="009511FF"/>
    <w:rsid w:val="0095147F"/>
    <w:rsid w:val="0095168B"/>
    <w:rsid w:val="009516C1"/>
    <w:rsid w:val="009516C9"/>
    <w:rsid w:val="00951A24"/>
    <w:rsid w:val="00951AA7"/>
    <w:rsid w:val="00951B7F"/>
    <w:rsid w:val="00951BA9"/>
    <w:rsid w:val="00951BD3"/>
    <w:rsid w:val="00951D10"/>
    <w:rsid w:val="00951F13"/>
    <w:rsid w:val="0095223F"/>
    <w:rsid w:val="009524EA"/>
    <w:rsid w:val="00952631"/>
    <w:rsid w:val="009527A8"/>
    <w:rsid w:val="00952895"/>
    <w:rsid w:val="00952AAA"/>
    <w:rsid w:val="00953185"/>
    <w:rsid w:val="00953206"/>
    <w:rsid w:val="0095327F"/>
    <w:rsid w:val="009533B5"/>
    <w:rsid w:val="009533FB"/>
    <w:rsid w:val="009533FF"/>
    <w:rsid w:val="009535AC"/>
    <w:rsid w:val="00953873"/>
    <w:rsid w:val="00953ADE"/>
    <w:rsid w:val="00953C89"/>
    <w:rsid w:val="00953CBA"/>
    <w:rsid w:val="00953E3E"/>
    <w:rsid w:val="0095402E"/>
    <w:rsid w:val="0095408A"/>
    <w:rsid w:val="009544CB"/>
    <w:rsid w:val="009545A6"/>
    <w:rsid w:val="00954623"/>
    <w:rsid w:val="00954744"/>
    <w:rsid w:val="009548AB"/>
    <w:rsid w:val="00954E45"/>
    <w:rsid w:val="00954F32"/>
    <w:rsid w:val="00954F3B"/>
    <w:rsid w:val="00954FB8"/>
    <w:rsid w:val="009551FF"/>
    <w:rsid w:val="0095574D"/>
    <w:rsid w:val="00955851"/>
    <w:rsid w:val="009558CE"/>
    <w:rsid w:val="0095598C"/>
    <w:rsid w:val="00955A54"/>
    <w:rsid w:val="00955ABD"/>
    <w:rsid w:val="00955C42"/>
    <w:rsid w:val="00955E48"/>
    <w:rsid w:val="0095606F"/>
    <w:rsid w:val="00956149"/>
    <w:rsid w:val="00956371"/>
    <w:rsid w:val="009563DF"/>
    <w:rsid w:val="00956438"/>
    <w:rsid w:val="00956544"/>
    <w:rsid w:val="009566C3"/>
    <w:rsid w:val="0095684C"/>
    <w:rsid w:val="009569D7"/>
    <w:rsid w:val="00956C63"/>
    <w:rsid w:val="00956E08"/>
    <w:rsid w:val="00956E09"/>
    <w:rsid w:val="00956E49"/>
    <w:rsid w:val="00956EC3"/>
    <w:rsid w:val="009572A6"/>
    <w:rsid w:val="0095742E"/>
    <w:rsid w:val="0095758B"/>
    <w:rsid w:val="0096001F"/>
    <w:rsid w:val="009602AB"/>
    <w:rsid w:val="009604DD"/>
    <w:rsid w:val="009608F7"/>
    <w:rsid w:val="00960BAB"/>
    <w:rsid w:val="00960BB1"/>
    <w:rsid w:val="00960E65"/>
    <w:rsid w:val="00960F8C"/>
    <w:rsid w:val="00960F95"/>
    <w:rsid w:val="009610CF"/>
    <w:rsid w:val="00961139"/>
    <w:rsid w:val="009611BB"/>
    <w:rsid w:val="0096141F"/>
    <w:rsid w:val="009615BD"/>
    <w:rsid w:val="00961769"/>
    <w:rsid w:val="00961A89"/>
    <w:rsid w:val="00961BE2"/>
    <w:rsid w:val="00961C1D"/>
    <w:rsid w:val="00961C39"/>
    <w:rsid w:val="00961E4C"/>
    <w:rsid w:val="00961ED8"/>
    <w:rsid w:val="00962077"/>
    <w:rsid w:val="009621D4"/>
    <w:rsid w:val="009623A7"/>
    <w:rsid w:val="009625EE"/>
    <w:rsid w:val="00962E5D"/>
    <w:rsid w:val="0096307F"/>
    <w:rsid w:val="0096312D"/>
    <w:rsid w:val="0096320A"/>
    <w:rsid w:val="00963335"/>
    <w:rsid w:val="0096363A"/>
    <w:rsid w:val="00963655"/>
    <w:rsid w:val="00963667"/>
    <w:rsid w:val="009639F0"/>
    <w:rsid w:val="00963AC6"/>
    <w:rsid w:val="00963B14"/>
    <w:rsid w:val="00963BDC"/>
    <w:rsid w:val="00963C71"/>
    <w:rsid w:val="00963F34"/>
    <w:rsid w:val="00964035"/>
    <w:rsid w:val="0096430B"/>
    <w:rsid w:val="00964512"/>
    <w:rsid w:val="00964612"/>
    <w:rsid w:val="009648DF"/>
    <w:rsid w:val="00964937"/>
    <w:rsid w:val="00964948"/>
    <w:rsid w:val="00964BC2"/>
    <w:rsid w:val="00964D72"/>
    <w:rsid w:val="00964E75"/>
    <w:rsid w:val="00964F40"/>
    <w:rsid w:val="00964FE2"/>
    <w:rsid w:val="009652C8"/>
    <w:rsid w:val="0096534E"/>
    <w:rsid w:val="009653CA"/>
    <w:rsid w:val="009653DC"/>
    <w:rsid w:val="009656C6"/>
    <w:rsid w:val="0096579B"/>
    <w:rsid w:val="00965A0B"/>
    <w:rsid w:val="00965AB4"/>
    <w:rsid w:val="0096654D"/>
    <w:rsid w:val="00966967"/>
    <w:rsid w:val="009669E2"/>
    <w:rsid w:val="00966B07"/>
    <w:rsid w:val="00966B91"/>
    <w:rsid w:val="00967245"/>
    <w:rsid w:val="009676D0"/>
    <w:rsid w:val="00967B62"/>
    <w:rsid w:val="00967BE8"/>
    <w:rsid w:val="00967C45"/>
    <w:rsid w:val="00967C62"/>
    <w:rsid w:val="00967C67"/>
    <w:rsid w:val="00967F0B"/>
    <w:rsid w:val="00970311"/>
    <w:rsid w:val="009703ED"/>
    <w:rsid w:val="009704A0"/>
    <w:rsid w:val="0097061B"/>
    <w:rsid w:val="00970904"/>
    <w:rsid w:val="0097091E"/>
    <w:rsid w:val="0097097E"/>
    <w:rsid w:val="00970B2C"/>
    <w:rsid w:val="00970B7D"/>
    <w:rsid w:val="00970BD8"/>
    <w:rsid w:val="00970CAF"/>
    <w:rsid w:val="00970E68"/>
    <w:rsid w:val="00971008"/>
    <w:rsid w:val="009711F8"/>
    <w:rsid w:val="009712AA"/>
    <w:rsid w:val="009716B0"/>
    <w:rsid w:val="009717C5"/>
    <w:rsid w:val="009717F9"/>
    <w:rsid w:val="00971817"/>
    <w:rsid w:val="00971CCB"/>
    <w:rsid w:val="00971CEF"/>
    <w:rsid w:val="00972006"/>
    <w:rsid w:val="0097201C"/>
    <w:rsid w:val="009724FD"/>
    <w:rsid w:val="00972630"/>
    <w:rsid w:val="00972743"/>
    <w:rsid w:val="00972B0E"/>
    <w:rsid w:val="00972C83"/>
    <w:rsid w:val="00972F8C"/>
    <w:rsid w:val="00973098"/>
    <w:rsid w:val="009730B6"/>
    <w:rsid w:val="0097334B"/>
    <w:rsid w:val="0097342C"/>
    <w:rsid w:val="009734CF"/>
    <w:rsid w:val="009734DB"/>
    <w:rsid w:val="0097358B"/>
    <w:rsid w:val="009735D3"/>
    <w:rsid w:val="009736F1"/>
    <w:rsid w:val="00973796"/>
    <w:rsid w:val="00973829"/>
    <w:rsid w:val="00973AA3"/>
    <w:rsid w:val="00973BC8"/>
    <w:rsid w:val="00973E40"/>
    <w:rsid w:val="00973E4B"/>
    <w:rsid w:val="00973F83"/>
    <w:rsid w:val="00973F97"/>
    <w:rsid w:val="00974134"/>
    <w:rsid w:val="00974250"/>
    <w:rsid w:val="009745E0"/>
    <w:rsid w:val="00974852"/>
    <w:rsid w:val="00974965"/>
    <w:rsid w:val="009749AA"/>
    <w:rsid w:val="009749C1"/>
    <w:rsid w:val="00974CBC"/>
    <w:rsid w:val="00974E03"/>
    <w:rsid w:val="00974E4A"/>
    <w:rsid w:val="00974F9D"/>
    <w:rsid w:val="0097547B"/>
    <w:rsid w:val="009755AA"/>
    <w:rsid w:val="00975699"/>
    <w:rsid w:val="00975A5E"/>
    <w:rsid w:val="00975C19"/>
    <w:rsid w:val="00975C37"/>
    <w:rsid w:val="00975E6C"/>
    <w:rsid w:val="00975E8D"/>
    <w:rsid w:val="0097603A"/>
    <w:rsid w:val="00976151"/>
    <w:rsid w:val="009761D1"/>
    <w:rsid w:val="009763D5"/>
    <w:rsid w:val="009764EE"/>
    <w:rsid w:val="00976629"/>
    <w:rsid w:val="00976676"/>
    <w:rsid w:val="00976695"/>
    <w:rsid w:val="009769F9"/>
    <w:rsid w:val="00976B65"/>
    <w:rsid w:val="00976BF3"/>
    <w:rsid w:val="00977157"/>
    <w:rsid w:val="0097718A"/>
    <w:rsid w:val="009772BF"/>
    <w:rsid w:val="009773C3"/>
    <w:rsid w:val="00977461"/>
    <w:rsid w:val="009775A6"/>
    <w:rsid w:val="009775D4"/>
    <w:rsid w:val="009776B3"/>
    <w:rsid w:val="00977A0E"/>
    <w:rsid w:val="00977A9D"/>
    <w:rsid w:val="00977C0D"/>
    <w:rsid w:val="00977C23"/>
    <w:rsid w:val="00977CFB"/>
    <w:rsid w:val="00977DA4"/>
    <w:rsid w:val="00980052"/>
    <w:rsid w:val="009802CB"/>
    <w:rsid w:val="00980471"/>
    <w:rsid w:val="009805D3"/>
    <w:rsid w:val="00980645"/>
    <w:rsid w:val="0098068A"/>
    <w:rsid w:val="0098069A"/>
    <w:rsid w:val="00980886"/>
    <w:rsid w:val="00980A3F"/>
    <w:rsid w:val="00980B97"/>
    <w:rsid w:val="00980C26"/>
    <w:rsid w:val="00980CD4"/>
    <w:rsid w:val="00980D86"/>
    <w:rsid w:val="00980E4F"/>
    <w:rsid w:val="00981130"/>
    <w:rsid w:val="009811CC"/>
    <w:rsid w:val="0098131E"/>
    <w:rsid w:val="009814E5"/>
    <w:rsid w:val="009814EF"/>
    <w:rsid w:val="0098158A"/>
    <w:rsid w:val="00981A10"/>
    <w:rsid w:val="00981AE2"/>
    <w:rsid w:val="00981B64"/>
    <w:rsid w:val="00981D31"/>
    <w:rsid w:val="00981D84"/>
    <w:rsid w:val="0098238B"/>
    <w:rsid w:val="009827EB"/>
    <w:rsid w:val="0098288C"/>
    <w:rsid w:val="009829B2"/>
    <w:rsid w:val="009830C9"/>
    <w:rsid w:val="00983139"/>
    <w:rsid w:val="00983255"/>
    <w:rsid w:val="00983424"/>
    <w:rsid w:val="00983478"/>
    <w:rsid w:val="00984137"/>
    <w:rsid w:val="00984175"/>
    <w:rsid w:val="00984948"/>
    <w:rsid w:val="00984B4A"/>
    <w:rsid w:val="00984D3D"/>
    <w:rsid w:val="00984DFE"/>
    <w:rsid w:val="00984F79"/>
    <w:rsid w:val="009850AA"/>
    <w:rsid w:val="009850FF"/>
    <w:rsid w:val="009853D4"/>
    <w:rsid w:val="00985A1A"/>
    <w:rsid w:val="00985B64"/>
    <w:rsid w:val="00985BAE"/>
    <w:rsid w:val="00985E0B"/>
    <w:rsid w:val="00985F34"/>
    <w:rsid w:val="00986004"/>
    <w:rsid w:val="00986314"/>
    <w:rsid w:val="00986367"/>
    <w:rsid w:val="009863DD"/>
    <w:rsid w:val="009866CA"/>
    <w:rsid w:val="00986A65"/>
    <w:rsid w:val="00986AC9"/>
    <w:rsid w:val="00986B0C"/>
    <w:rsid w:val="00986B68"/>
    <w:rsid w:val="00986C55"/>
    <w:rsid w:val="009871E9"/>
    <w:rsid w:val="009872B1"/>
    <w:rsid w:val="009873F8"/>
    <w:rsid w:val="009876B0"/>
    <w:rsid w:val="0098786F"/>
    <w:rsid w:val="00987AE1"/>
    <w:rsid w:val="00987BC8"/>
    <w:rsid w:val="00987C5A"/>
    <w:rsid w:val="00987DBD"/>
    <w:rsid w:val="00987DC4"/>
    <w:rsid w:val="00987F5A"/>
    <w:rsid w:val="009900A8"/>
    <w:rsid w:val="009902EB"/>
    <w:rsid w:val="00990456"/>
    <w:rsid w:val="009904A9"/>
    <w:rsid w:val="00990507"/>
    <w:rsid w:val="0099059C"/>
    <w:rsid w:val="00990A72"/>
    <w:rsid w:val="00990B4F"/>
    <w:rsid w:val="00990C08"/>
    <w:rsid w:val="00990E80"/>
    <w:rsid w:val="0099101F"/>
    <w:rsid w:val="00991051"/>
    <w:rsid w:val="009910BC"/>
    <w:rsid w:val="00991283"/>
    <w:rsid w:val="0099141C"/>
    <w:rsid w:val="00991730"/>
    <w:rsid w:val="009918E7"/>
    <w:rsid w:val="00992024"/>
    <w:rsid w:val="0099205E"/>
    <w:rsid w:val="009923D6"/>
    <w:rsid w:val="0099245A"/>
    <w:rsid w:val="009924C2"/>
    <w:rsid w:val="00992565"/>
    <w:rsid w:val="00992678"/>
    <w:rsid w:val="00992690"/>
    <w:rsid w:val="009926B1"/>
    <w:rsid w:val="009928B1"/>
    <w:rsid w:val="009928D6"/>
    <w:rsid w:val="0099296D"/>
    <w:rsid w:val="00992B26"/>
    <w:rsid w:val="00993374"/>
    <w:rsid w:val="0099348E"/>
    <w:rsid w:val="00993578"/>
    <w:rsid w:val="00993C34"/>
    <w:rsid w:val="00993D4F"/>
    <w:rsid w:val="00993D9B"/>
    <w:rsid w:val="009942B1"/>
    <w:rsid w:val="00994358"/>
    <w:rsid w:val="009943F8"/>
    <w:rsid w:val="00994475"/>
    <w:rsid w:val="00994516"/>
    <w:rsid w:val="00994608"/>
    <w:rsid w:val="00994620"/>
    <w:rsid w:val="00994640"/>
    <w:rsid w:val="00994643"/>
    <w:rsid w:val="0099467F"/>
    <w:rsid w:val="009946CD"/>
    <w:rsid w:val="00994C30"/>
    <w:rsid w:val="00994D54"/>
    <w:rsid w:val="00994EED"/>
    <w:rsid w:val="00994F6B"/>
    <w:rsid w:val="00994FF2"/>
    <w:rsid w:val="0099543E"/>
    <w:rsid w:val="00995494"/>
    <w:rsid w:val="0099568D"/>
    <w:rsid w:val="009957FF"/>
    <w:rsid w:val="00995AF6"/>
    <w:rsid w:val="00995BE2"/>
    <w:rsid w:val="00995C8D"/>
    <w:rsid w:val="00995FFB"/>
    <w:rsid w:val="009962E9"/>
    <w:rsid w:val="0099637B"/>
    <w:rsid w:val="0099639D"/>
    <w:rsid w:val="00996480"/>
    <w:rsid w:val="0099649A"/>
    <w:rsid w:val="009967EB"/>
    <w:rsid w:val="009968F4"/>
    <w:rsid w:val="0099696B"/>
    <w:rsid w:val="00996AD7"/>
    <w:rsid w:val="00996C06"/>
    <w:rsid w:val="00996EC3"/>
    <w:rsid w:val="00996F81"/>
    <w:rsid w:val="00997183"/>
    <w:rsid w:val="0099740D"/>
    <w:rsid w:val="00997414"/>
    <w:rsid w:val="00997980"/>
    <w:rsid w:val="00997BBA"/>
    <w:rsid w:val="00997BDD"/>
    <w:rsid w:val="00997F5B"/>
    <w:rsid w:val="009A0056"/>
    <w:rsid w:val="009A0240"/>
    <w:rsid w:val="009A0362"/>
    <w:rsid w:val="009A0475"/>
    <w:rsid w:val="009A090D"/>
    <w:rsid w:val="009A0B74"/>
    <w:rsid w:val="009A0CE8"/>
    <w:rsid w:val="009A0E1A"/>
    <w:rsid w:val="009A0F1A"/>
    <w:rsid w:val="009A122D"/>
    <w:rsid w:val="009A133B"/>
    <w:rsid w:val="009A161B"/>
    <w:rsid w:val="009A1822"/>
    <w:rsid w:val="009A18F6"/>
    <w:rsid w:val="009A1911"/>
    <w:rsid w:val="009A1AC5"/>
    <w:rsid w:val="009A1CCA"/>
    <w:rsid w:val="009A1F75"/>
    <w:rsid w:val="009A210D"/>
    <w:rsid w:val="009A2181"/>
    <w:rsid w:val="009A2198"/>
    <w:rsid w:val="009A230B"/>
    <w:rsid w:val="009A23A0"/>
    <w:rsid w:val="009A268A"/>
    <w:rsid w:val="009A2804"/>
    <w:rsid w:val="009A287B"/>
    <w:rsid w:val="009A290F"/>
    <w:rsid w:val="009A298C"/>
    <w:rsid w:val="009A29E8"/>
    <w:rsid w:val="009A2A01"/>
    <w:rsid w:val="009A2BB1"/>
    <w:rsid w:val="009A3104"/>
    <w:rsid w:val="009A317D"/>
    <w:rsid w:val="009A349F"/>
    <w:rsid w:val="009A369F"/>
    <w:rsid w:val="009A3708"/>
    <w:rsid w:val="009A3AD9"/>
    <w:rsid w:val="009A3D1B"/>
    <w:rsid w:val="009A3F2C"/>
    <w:rsid w:val="009A3F56"/>
    <w:rsid w:val="009A3FF5"/>
    <w:rsid w:val="009A40E1"/>
    <w:rsid w:val="009A4178"/>
    <w:rsid w:val="009A4294"/>
    <w:rsid w:val="009A46B8"/>
    <w:rsid w:val="009A4835"/>
    <w:rsid w:val="009A4991"/>
    <w:rsid w:val="009A4ED4"/>
    <w:rsid w:val="009A5795"/>
    <w:rsid w:val="009A58FD"/>
    <w:rsid w:val="009A5BF0"/>
    <w:rsid w:val="009A5D20"/>
    <w:rsid w:val="009A6263"/>
    <w:rsid w:val="009A64AA"/>
    <w:rsid w:val="009A67C6"/>
    <w:rsid w:val="009A68FC"/>
    <w:rsid w:val="009A692D"/>
    <w:rsid w:val="009A69ED"/>
    <w:rsid w:val="009A69EF"/>
    <w:rsid w:val="009A6BF5"/>
    <w:rsid w:val="009A6CCC"/>
    <w:rsid w:val="009A7407"/>
    <w:rsid w:val="009A7CF1"/>
    <w:rsid w:val="009A7F59"/>
    <w:rsid w:val="009A7F81"/>
    <w:rsid w:val="009B017B"/>
    <w:rsid w:val="009B0226"/>
    <w:rsid w:val="009B09B0"/>
    <w:rsid w:val="009B0CCC"/>
    <w:rsid w:val="009B146A"/>
    <w:rsid w:val="009B185A"/>
    <w:rsid w:val="009B1A66"/>
    <w:rsid w:val="009B1CC3"/>
    <w:rsid w:val="009B1E26"/>
    <w:rsid w:val="009B209D"/>
    <w:rsid w:val="009B2148"/>
    <w:rsid w:val="009B2338"/>
    <w:rsid w:val="009B2395"/>
    <w:rsid w:val="009B250C"/>
    <w:rsid w:val="009B256A"/>
    <w:rsid w:val="009B2627"/>
    <w:rsid w:val="009B263C"/>
    <w:rsid w:val="009B2ADC"/>
    <w:rsid w:val="009B2C66"/>
    <w:rsid w:val="009B2FD5"/>
    <w:rsid w:val="009B309B"/>
    <w:rsid w:val="009B3119"/>
    <w:rsid w:val="009B318F"/>
    <w:rsid w:val="009B3690"/>
    <w:rsid w:val="009B37DC"/>
    <w:rsid w:val="009B38A5"/>
    <w:rsid w:val="009B3963"/>
    <w:rsid w:val="009B3DBC"/>
    <w:rsid w:val="009B3DC6"/>
    <w:rsid w:val="009B3E4D"/>
    <w:rsid w:val="009B4037"/>
    <w:rsid w:val="009B40F5"/>
    <w:rsid w:val="009B41A7"/>
    <w:rsid w:val="009B4667"/>
    <w:rsid w:val="009B4867"/>
    <w:rsid w:val="009B4960"/>
    <w:rsid w:val="009B4ADF"/>
    <w:rsid w:val="009B4BBF"/>
    <w:rsid w:val="009B4E84"/>
    <w:rsid w:val="009B4FBC"/>
    <w:rsid w:val="009B502D"/>
    <w:rsid w:val="009B5035"/>
    <w:rsid w:val="009B518F"/>
    <w:rsid w:val="009B5548"/>
    <w:rsid w:val="009B55AF"/>
    <w:rsid w:val="009B561E"/>
    <w:rsid w:val="009B56E4"/>
    <w:rsid w:val="009B56EC"/>
    <w:rsid w:val="009B5887"/>
    <w:rsid w:val="009B5CBF"/>
    <w:rsid w:val="009B5D3E"/>
    <w:rsid w:val="009B5DE2"/>
    <w:rsid w:val="009B5EFB"/>
    <w:rsid w:val="009B5FEF"/>
    <w:rsid w:val="009B6353"/>
    <w:rsid w:val="009B63E6"/>
    <w:rsid w:val="009B64E7"/>
    <w:rsid w:val="009B650D"/>
    <w:rsid w:val="009B65C1"/>
    <w:rsid w:val="009B69BB"/>
    <w:rsid w:val="009B7171"/>
    <w:rsid w:val="009B7181"/>
    <w:rsid w:val="009B719D"/>
    <w:rsid w:val="009B730C"/>
    <w:rsid w:val="009B7378"/>
    <w:rsid w:val="009B7796"/>
    <w:rsid w:val="009B7917"/>
    <w:rsid w:val="009B7B4E"/>
    <w:rsid w:val="009B7D2C"/>
    <w:rsid w:val="009B7E32"/>
    <w:rsid w:val="009B7F6C"/>
    <w:rsid w:val="009C0075"/>
    <w:rsid w:val="009C034E"/>
    <w:rsid w:val="009C04CF"/>
    <w:rsid w:val="009C0695"/>
    <w:rsid w:val="009C09BE"/>
    <w:rsid w:val="009C115A"/>
    <w:rsid w:val="009C11F3"/>
    <w:rsid w:val="009C13CA"/>
    <w:rsid w:val="009C13F2"/>
    <w:rsid w:val="009C1705"/>
    <w:rsid w:val="009C1747"/>
    <w:rsid w:val="009C181B"/>
    <w:rsid w:val="009C19B6"/>
    <w:rsid w:val="009C1DA2"/>
    <w:rsid w:val="009C1E9D"/>
    <w:rsid w:val="009C2206"/>
    <w:rsid w:val="009C24BC"/>
    <w:rsid w:val="009C272F"/>
    <w:rsid w:val="009C2976"/>
    <w:rsid w:val="009C2E6D"/>
    <w:rsid w:val="009C2E6E"/>
    <w:rsid w:val="009C2F18"/>
    <w:rsid w:val="009C2F93"/>
    <w:rsid w:val="009C315E"/>
    <w:rsid w:val="009C346A"/>
    <w:rsid w:val="009C36C0"/>
    <w:rsid w:val="009C3884"/>
    <w:rsid w:val="009C3939"/>
    <w:rsid w:val="009C3B0D"/>
    <w:rsid w:val="009C4006"/>
    <w:rsid w:val="009C401E"/>
    <w:rsid w:val="009C4275"/>
    <w:rsid w:val="009C4569"/>
    <w:rsid w:val="009C4638"/>
    <w:rsid w:val="009C4728"/>
    <w:rsid w:val="009C4827"/>
    <w:rsid w:val="009C4989"/>
    <w:rsid w:val="009C4A1A"/>
    <w:rsid w:val="009C4CCB"/>
    <w:rsid w:val="009C5207"/>
    <w:rsid w:val="009C5209"/>
    <w:rsid w:val="009C549E"/>
    <w:rsid w:val="009C54AC"/>
    <w:rsid w:val="009C563B"/>
    <w:rsid w:val="009C5802"/>
    <w:rsid w:val="009C581F"/>
    <w:rsid w:val="009C58FB"/>
    <w:rsid w:val="009C591C"/>
    <w:rsid w:val="009C5938"/>
    <w:rsid w:val="009C5A6A"/>
    <w:rsid w:val="009C5CE5"/>
    <w:rsid w:val="009C5D0C"/>
    <w:rsid w:val="009C5DE7"/>
    <w:rsid w:val="009C603D"/>
    <w:rsid w:val="009C6051"/>
    <w:rsid w:val="009C63F4"/>
    <w:rsid w:val="009C68AB"/>
    <w:rsid w:val="009C693D"/>
    <w:rsid w:val="009C6A42"/>
    <w:rsid w:val="009C6B75"/>
    <w:rsid w:val="009C722E"/>
    <w:rsid w:val="009C746E"/>
    <w:rsid w:val="009C749C"/>
    <w:rsid w:val="009C7536"/>
    <w:rsid w:val="009C7670"/>
    <w:rsid w:val="009C76B3"/>
    <w:rsid w:val="009C77E9"/>
    <w:rsid w:val="009C7D12"/>
    <w:rsid w:val="009C7E05"/>
    <w:rsid w:val="009C7FE8"/>
    <w:rsid w:val="009D01DA"/>
    <w:rsid w:val="009D01E1"/>
    <w:rsid w:val="009D0320"/>
    <w:rsid w:val="009D0821"/>
    <w:rsid w:val="009D0873"/>
    <w:rsid w:val="009D0AE6"/>
    <w:rsid w:val="009D0BF0"/>
    <w:rsid w:val="009D0D09"/>
    <w:rsid w:val="009D0D6C"/>
    <w:rsid w:val="009D12E5"/>
    <w:rsid w:val="009D1642"/>
    <w:rsid w:val="009D1797"/>
    <w:rsid w:val="009D18EA"/>
    <w:rsid w:val="009D1A4C"/>
    <w:rsid w:val="009D1B07"/>
    <w:rsid w:val="009D1BBC"/>
    <w:rsid w:val="009D1C23"/>
    <w:rsid w:val="009D1CD4"/>
    <w:rsid w:val="009D1D1C"/>
    <w:rsid w:val="009D1E89"/>
    <w:rsid w:val="009D1FE9"/>
    <w:rsid w:val="009D2388"/>
    <w:rsid w:val="009D26AC"/>
    <w:rsid w:val="009D26D1"/>
    <w:rsid w:val="009D26F3"/>
    <w:rsid w:val="009D2730"/>
    <w:rsid w:val="009D28AB"/>
    <w:rsid w:val="009D28D2"/>
    <w:rsid w:val="009D29AE"/>
    <w:rsid w:val="009D29EB"/>
    <w:rsid w:val="009D2AA3"/>
    <w:rsid w:val="009D2B30"/>
    <w:rsid w:val="009D2C25"/>
    <w:rsid w:val="009D3101"/>
    <w:rsid w:val="009D310F"/>
    <w:rsid w:val="009D33E1"/>
    <w:rsid w:val="009D34CB"/>
    <w:rsid w:val="009D35D3"/>
    <w:rsid w:val="009D3792"/>
    <w:rsid w:val="009D37EF"/>
    <w:rsid w:val="009D3B33"/>
    <w:rsid w:val="009D3C88"/>
    <w:rsid w:val="009D3CBF"/>
    <w:rsid w:val="009D3E44"/>
    <w:rsid w:val="009D41F3"/>
    <w:rsid w:val="009D426E"/>
    <w:rsid w:val="009D4B00"/>
    <w:rsid w:val="009D4FA1"/>
    <w:rsid w:val="009D4FB6"/>
    <w:rsid w:val="009D50CB"/>
    <w:rsid w:val="009D51BB"/>
    <w:rsid w:val="009D536B"/>
    <w:rsid w:val="009D5520"/>
    <w:rsid w:val="009D5557"/>
    <w:rsid w:val="009D5764"/>
    <w:rsid w:val="009D57F5"/>
    <w:rsid w:val="009D57F7"/>
    <w:rsid w:val="009D5CA4"/>
    <w:rsid w:val="009D5D75"/>
    <w:rsid w:val="009D5EB6"/>
    <w:rsid w:val="009D616C"/>
    <w:rsid w:val="009D6208"/>
    <w:rsid w:val="009D6450"/>
    <w:rsid w:val="009D6583"/>
    <w:rsid w:val="009D6676"/>
    <w:rsid w:val="009D66E8"/>
    <w:rsid w:val="009D690E"/>
    <w:rsid w:val="009D6A98"/>
    <w:rsid w:val="009D6CC0"/>
    <w:rsid w:val="009D6E32"/>
    <w:rsid w:val="009D6E4A"/>
    <w:rsid w:val="009D7365"/>
    <w:rsid w:val="009D74A2"/>
    <w:rsid w:val="009D7632"/>
    <w:rsid w:val="009D782D"/>
    <w:rsid w:val="009D78C1"/>
    <w:rsid w:val="009D79C9"/>
    <w:rsid w:val="009D7B64"/>
    <w:rsid w:val="009D7C8B"/>
    <w:rsid w:val="009D7CC8"/>
    <w:rsid w:val="009DAA4E"/>
    <w:rsid w:val="009E036F"/>
    <w:rsid w:val="009E0441"/>
    <w:rsid w:val="009E07DF"/>
    <w:rsid w:val="009E09C8"/>
    <w:rsid w:val="009E0A9F"/>
    <w:rsid w:val="009E0AF8"/>
    <w:rsid w:val="009E108B"/>
    <w:rsid w:val="009E1142"/>
    <w:rsid w:val="009E136B"/>
    <w:rsid w:val="009E1418"/>
    <w:rsid w:val="009E14B9"/>
    <w:rsid w:val="009E155D"/>
    <w:rsid w:val="009E1D4E"/>
    <w:rsid w:val="009E1DA4"/>
    <w:rsid w:val="009E1EB5"/>
    <w:rsid w:val="009E1F5C"/>
    <w:rsid w:val="009E204B"/>
    <w:rsid w:val="009E209F"/>
    <w:rsid w:val="009E24A5"/>
    <w:rsid w:val="009E25EC"/>
    <w:rsid w:val="009E27DF"/>
    <w:rsid w:val="009E28D1"/>
    <w:rsid w:val="009E2B21"/>
    <w:rsid w:val="009E2B55"/>
    <w:rsid w:val="009E2D26"/>
    <w:rsid w:val="009E2DC2"/>
    <w:rsid w:val="009E308A"/>
    <w:rsid w:val="009E31EE"/>
    <w:rsid w:val="009E33AC"/>
    <w:rsid w:val="009E3630"/>
    <w:rsid w:val="009E3B41"/>
    <w:rsid w:val="009E4158"/>
    <w:rsid w:val="009E4191"/>
    <w:rsid w:val="009E41EF"/>
    <w:rsid w:val="009E4331"/>
    <w:rsid w:val="009E4691"/>
    <w:rsid w:val="009E4B1C"/>
    <w:rsid w:val="009E4C80"/>
    <w:rsid w:val="009E4CD9"/>
    <w:rsid w:val="009E4E72"/>
    <w:rsid w:val="009E508C"/>
    <w:rsid w:val="009E51F8"/>
    <w:rsid w:val="009E53A1"/>
    <w:rsid w:val="009E584B"/>
    <w:rsid w:val="009E585B"/>
    <w:rsid w:val="009E59B8"/>
    <w:rsid w:val="009E59BE"/>
    <w:rsid w:val="009E5D71"/>
    <w:rsid w:val="009E5EFF"/>
    <w:rsid w:val="009E6638"/>
    <w:rsid w:val="009E67A8"/>
    <w:rsid w:val="009E6C22"/>
    <w:rsid w:val="009E6D69"/>
    <w:rsid w:val="009E6DE2"/>
    <w:rsid w:val="009E6E77"/>
    <w:rsid w:val="009E7207"/>
    <w:rsid w:val="009E72A1"/>
    <w:rsid w:val="009E7312"/>
    <w:rsid w:val="009E7475"/>
    <w:rsid w:val="009E75BF"/>
    <w:rsid w:val="009E766B"/>
    <w:rsid w:val="009E769A"/>
    <w:rsid w:val="009E76B6"/>
    <w:rsid w:val="009E78CA"/>
    <w:rsid w:val="009E7ADA"/>
    <w:rsid w:val="009E7AE3"/>
    <w:rsid w:val="009E7EE0"/>
    <w:rsid w:val="009E7EF4"/>
    <w:rsid w:val="009E7F62"/>
    <w:rsid w:val="009F075E"/>
    <w:rsid w:val="009F07BB"/>
    <w:rsid w:val="009F084B"/>
    <w:rsid w:val="009F0C3C"/>
    <w:rsid w:val="009F0CEE"/>
    <w:rsid w:val="009F0D8F"/>
    <w:rsid w:val="009F10BB"/>
    <w:rsid w:val="009F1396"/>
    <w:rsid w:val="009F16FC"/>
    <w:rsid w:val="009F1816"/>
    <w:rsid w:val="009F1988"/>
    <w:rsid w:val="009F1C6C"/>
    <w:rsid w:val="009F1CAD"/>
    <w:rsid w:val="009F1FA7"/>
    <w:rsid w:val="009F20B7"/>
    <w:rsid w:val="009F247D"/>
    <w:rsid w:val="009F2517"/>
    <w:rsid w:val="009F26C1"/>
    <w:rsid w:val="009F2B36"/>
    <w:rsid w:val="009F2BAB"/>
    <w:rsid w:val="009F3247"/>
    <w:rsid w:val="009F33D9"/>
    <w:rsid w:val="009F3562"/>
    <w:rsid w:val="009F375C"/>
    <w:rsid w:val="009F3865"/>
    <w:rsid w:val="009F3F69"/>
    <w:rsid w:val="009F4514"/>
    <w:rsid w:val="009F45D0"/>
    <w:rsid w:val="009F4652"/>
    <w:rsid w:val="009F48CD"/>
    <w:rsid w:val="009F4BA1"/>
    <w:rsid w:val="009F4EFE"/>
    <w:rsid w:val="009F5674"/>
    <w:rsid w:val="009F5776"/>
    <w:rsid w:val="009F5961"/>
    <w:rsid w:val="009F5B5D"/>
    <w:rsid w:val="009F5BFE"/>
    <w:rsid w:val="009F5C00"/>
    <w:rsid w:val="009F5DA6"/>
    <w:rsid w:val="009F5E0B"/>
    <w:rsid w:val="009F5E11"/>
    <w:rsid w:val="009F5E2C"/>
    <w:rsid w:val="009F602B"/>
    <w:rsid w:val="009F656A"/>
    <w:rsid w:val="009F6740"/>
    <w:rsid w:val="009F683A"/>
    <w:rsid w:val="009F6A37"/>
    <w:rsid w:val="009F6AF5"/>
    <w:rsid w:val="009F6B00"/>
    <w:rsid w:val="009F6B05"/>
    <w:rsid w:val="009F6D26"/>
    <w:rsid w:val="009F6E10"/>
    <w:rsid w:val="009F712D"/>
    <w:rsid w:val="009F71B8"/>
    <w:rsid w:val="009F77BE"/>
    <w:rsid w:val="009F7849"/>
    <w:rsid w:val="009F7C30"/>
    <w:rsid w:val="009F7E6E"/>
    <w:rsid w:val="00A0010C"/>
    <w:rsid w:val="00A00115"/>
    <w:rsid w:val="00A001D0"/>
    <w:rsid w:val="00A00544"/>
    <w:rsid w:val="00A005A4"/>
    <w:rsid w:val="00A006BA"/>
    <w:rsid w:val="00A007A1"/>
    <w:rsid w:val="00A00892"/>
    <w:rsid w:val="00A008EC"/>
    <w:rsid w:val="00A00956"/>
    <w:rsid w:val="00A00B77"/>
    <w:rsid w:val="00A00C5A"/>
    <w:rsid w:val="00A00CCA"/>
    <w:rsid w:val="00A010AD"/>
    <w:rsid w:val="00A01118"/>
    <w:rsid w:val="00A017D0"/>
    <w:rsid w:val="00A02293"/>
    <w:rsid w:val="00A025BE"/>
    <w:rsid w:val="00A02863"/>
    <w:rsid w:val="00A02C1C"/>
    <w:rsid w:val="00A02C26"/>
    <w:rsid w:val="00A02C65"/>
    <w:rsid w:val="00A02CCA"/>
    <w:rsid w:val="00A02EBE"/>
    <w:rsid w:val="00A02FD7"/>
    <w:rsid w:val="00A0306D"/>
    <w:rsid w:val="00A03253"/>
    <w:rsid w:val="00A033B8"/>
    <w:rsid w:val="00A033F0"/>
    <w:rsid w:val="00A03583"/>
    <w:rsid w:val="00A0362F"/>
    <w:rsid w:val="00A0384D"/>
    <w:rsid w:val="00A03A88"/>
    <w:rsid w:val="00A03B46"/>
    <w:rsid w:val="00A03D53"/>
    <w:rsid w:val="00A03DEA"/>
    <w:rsid w:val="00A03FE4"/>
    <w:rsid w:val="00A040D2"/>
    <w:rsid w:val="00A04429"/>
    <w:rsid w:val="00A044CB"/>
    <w:rsid w:val="00A044E9"/>
    <w:rsid w:val="00A045A1"/>
    <w:rsid w:val="00A045FE"/>
    <w:rsid w:val="00A04A2A"/>
    <w:rsid w:val="00A04A57"/>
    <w:rsid w:val="00A04AE7"/>
    <w:rsid w:val="00A04B1F"/>
    <w:rsid w:val="00A04B68"/>
    <w:rsid w:val="00A04CCA"/>
    <w:rsid w:val="00A04EEE"/>
    <w:rsid w:val="00A04F5D"/>
    <w:rsid w:val="00A050B9"/>
    <w:rsid w:val="00A05191"/>
    <w:rsid w:val="00A0521A"/>
    <w:rsid w:val="00A05333"/>
    <w:rsid w:val="00A0586F"/>
    <w:rsid w:val="00A05A55"/>
    <w:rsid w:val="00A05B0F"/>
    <w:rsid w:val="00A05E4F"/>
    <w:rsid w:val="00A0604C"/>
    <w:rsid w:val="00A0605B"/>
    <w:rsid w:val="00A062EB"/>
    <w:rsid w:val="00A064BD"/>
    <w:rsid w:val="00A0673B"/>
    <w:rsid w:val="00A06AD7"/>
    <w:rsid w:val="00A06EB0"/>
    <w:rsid w:val="00A073CA"/>
    <w:rsid w:val="00A073F7"/>
    <w:rsid w:val="00A0741A"/>
    <w:rsid w:val="00A0745F"/>
    <w:rsid w:val="00A076E4"/>
    <w:rsid w:val="00A078CA"/>
    <w:rsid w:val="00A07986"/>
    <w:rsid w:val="00A07B1B"/>
    <w:rsid w:val="00A07B92"/>
    <w:rsid w:val="00A07BAF"/>
    <w:rsid w:val="00A07D31"/>
    <w:rsid w:val="00A07E05"/>
    <w:rsid w:val="00A07E39"/>
    <w:rsid w:val="00A07E8B"/>
    <w:rsid w:val="00A1012B"/>
    <w:rsid w:val="00A1027D"/>
    <w:rsid w:val="00A10353"/>
    <w:rsid w:val="00A107B0"/>
    <w:rsid w:val="00A10ADA"/>
    <w:rsid w:val="00A10C68"/>
    <w:rsid w:val="00A10CEC"/>
    <w:rsid w:val="00A10DBE"/>
    <w:rsid w:val="00A11053"/>
    <w:rsid w:val="00A114ED"/>
    <w:rsid w:val="00A11535"/>
    <w:rsid w:val="00A11811"/>
    <w:rsid w:val="00A11845"/>
    <w:rsid w:val="00A11894"/>
    <w:rsid w:val="00A11AB7"/>
    <w:rsid w:val="00A11E4C"/>
    <w:rsid w:val="00A11FAC"/>
    <w:rsid w:val="00A12280"/>
    <w:rsid w:val="00A123B2"/>
    <w:rsid w:val="00A1242B"/>
    <w:rsid w:val="00A1262C"/>
    <w:rsid w:val="00A12707"/>
    <w:rsid w:val="00A12981"/>
    <w:rsid w:val="00A12B39"/>
    <w:rsid w:val="00A12B76"/>
    <w:rsid w:val="00A12C96"/>
    <w:rsid w:val="00A12F50"/>
    <w:rsid w:val="00A13047"/>
    <w:rsid w:val="00A1308D"/>
    <w:rsid w:val="00A13142"/>
    <w:rsid w:val="00A13191"/>
    <w:rsid w:val="00A13204"/>
    <w:rsid w:val="00A1324F"/>
    <w:rsid w:val="00A13273"/>
    <w:rsid w:val="00A13386"/>
    <w:rsid w:val="00A13400"/>
    <w:rsid w:val="00A134B9"/>
    <w:rsid w:val="00A135F8"/>
    <w:rsid w:val="00A13A7C"/>
    <w:rsid w:val="00A13B34"/>
    <w:rsid w:val="00A13CE5"/>
    <w:rsid w:val="00A141FD"/>
    <w:rsid w:val="00A1432E"/>
    <w:rsid w:val="00A1434B"/>
    <w:rsid w:val="00A1443C"/>
    <w:rsid w:val="00A14651"/>
    <w:rsid w:val="00A1495B"/>
    <w:rsid w:val="00A149C8"/>
    <w:rsid w:val="00A14DAA"/>
    <w:rsid w:val="00A15182"/>
    <w:rsid w:val="00A1527B"/>
    <w:rsid w:val="00A154DE"/>
    <w:rsid w:val="00A15708"/>
    <w:rsid w:val="00A157E9"/>
    <w:rsid w:val="00A158AD"/>
    <w:rsid w:val="00A158EC"/>
    <w:rsid w:val="00A15987"/>
    <w:rsid w:val="00A15A73"/>
    <w:rsid w:val="00A15AB9"/>
    <w:rsid w:val="00A15E14"/>
    <w:rsid w:val="00A160F9"/>
    <w:rsid w:val="00A1682C"/>
    <w:rsid w:val="00A16A84"/>
    <w:rsid w:val="00A1726E"/>
    <w:rsid w:val="00A175E0"/>
    <w:rsid w:val="00A17617"/>
    <w:rsid w:val="00A1784C"/>
    <w:rsid w:val="00A178E6"/>
    <w:rsid w:val="00A179C9"/>
    <w:rsid w:val="00A17B03"/>
    <w:rsid w:val="00A17CC7"/>
    <w:rsid w:val="00A17DF6"/>
    <w:rsid w:val="00A17EAD"/>
    <w:rsid w:val="00A201B9"/>
    <w:rsid w:val="00A202B7"/>
    <w:rsid w:val="00A20471"/>
    <w:rsid w:val="00A20490"/>
    <w:rsid w:val="00A204B4"/>
    <w:rsid w:val="00A208B4"/>
    <w:rsid w:val="00A20AEF"/>
    <w:rsid w:val="00A20B61"/>
    <w:rsid w:val="00A20B7D"/>
    <w:rsid w:val="00A20BE7"/>
    <w:rsid w:val="00A20C38"/>
    <w:rsid w:val="00A213DF"/>
    <w:rsid w:val="00A21457"/>
    <w:rsid w:val="00A21464"/>
    <w:rsid w:val="00A215E3"/>
    <w:rsid w:val="00A216CB"/>
    <w:rsid w:val="00A217D2"/>
    <w:rsid w:val="00A21898"/>
    <w:rsid w:val="00A21EDC"/>
    <w:rsid w:val="00A21EEA"/>
    <w:rsid w:val="00A221E3"/>
    <w:rsid w:val="00A222E5"/>
    <w:rsid w:val="00A2265F"/>
    <w:rsid w:val="00A2284C"/>
    <w:rsid w:val="00A228E0"/>
    <w:rsid w:val="00A22946"/>
    <w:rsid w:val="00A22955"/>
    <w:rsid w:val="00A22A6B"/>
    <w:rsid w:val="00A22C54"/>
    <w:rsid w:val="00A22D0B"/>
    <w:rsid w:val="00A22D4B"/>
    <w:rsid w:val="00A22DA4"/>
    <w:rsid w:val="00A22FCE"/>
    <w:rsid w:val="00A230FA"/>
    <w:rsid w:val="00A23416"/>
    <w:rsid w:val="00A23597"/>
    <w:rsid w:val="00A236BD"/>
    <w:rsid w:val="00A23DA0"/>
    <w:rsid w:val="00A240EF"/>
    <w:rsid w:val="00A241E9"/>
    <w:rsid w:val="00A245A2"/>
    <w:rsid w:val="00A24A05"/>
    <w:rsid w:val="00A24A8A"/>
    <w:rsid w:val="00A24D77"/>
    <w:rsid w:val="00A24E7C"/>
    <w:rsid w:val="00A24E96"/>
    <w:rsid w:val="00A25092"/>
    <w:rsid w:val="00A251EA"/>
    <w:rsid w:val="00A253CE"/>
    <w:rsid w:val="00A253F7"/>
    <w:rsid w:val="00A25844"/>
    <w:rsid w:val="00A259AD"/>
    <w:rsid w:val="00A25CDB"/>
    <w:rsid w:val="00A25DEA"/>
    <w:rsid w:val="00A25DF1"/>
    <w:rsid w:val="00A25E6A"/>
    <w:rsid w:val="00A26418"/>
    <w:rsid w:val="00A26567"/>
    <w:rsid w:val="00A26591"/>
    <w:rsid w:val="00A265B4"/>
    <w:rsid w:val="00A2665B"/>
    <w:rsid w:val="00A2691F"/>
    <w:rsid w:val="00A26B61"/>
    <w:rsid w:val="00A26B6E"/>
    <w:rsid w:val="00A26B7D"/>
    <w:rsid w:val="00A26DFC"/>
    <w:rsid w:val="00A26E8B"/>
    <w:rsid w:val="00A27056"/>
    <w:rsid w:val="00A27087"/>
    <w:rsid w:val="00A2709B"/>
    <w:rsid w:val="00A2747C"/>
    <w:rsid w:val="00A2749B"/>
    <w:rsid w:val="00A276A4"/>
    <w:rsid w:val="00A27702"/>
    <w:rsid w:val="00A278E8"/>
    <w:rsid w:val="00A27BE6"/>
    <w:rsid w:val="00A27E1D"/>
    <w:rsid w:val="00A3014E"/>
    <w:rsid w:val="00A3064D"/>
    <w:rsid w:val="00A3067F"/>
    <w:rsid w:val="00A30C04"/>
    <w:rsid w:val="00A30CBA"/>
    <w:rsid w:val="00A30F06"/>
    <w:rsid w:val="00A31713"/>
    <w:rsid w:val="00A3195E"/>
    <w:rsid w:val="00A31C77"/>
    <w:rsid w:val="00A323C2"/>
    <w:rsid w:val="00A3297C"/>
    <w:rsid w:val="00A32A19"/>
    <w:rsid w:val="00A32A4A"/>
    <w:rsid w:val="00A330E9"/>
    <w:rsid w:val="00A33264"/>
    <w:rsid w:val="00A33361"/>
    <w:rsid w:val="00A333D0"/>
    <w:rsid w:val="00A334C6"/>
    <w:rsid w:val="00A336F6"/>
    <w:rsid w:val="00A33A21"/>
    <w:rsid w:val="00A33A83"/>
    <w:rsid w:val="00A33C22"/>
    <w:rsid w:val="00A33C48"/>
    <w:rsid w:val="00A340BA"/>
    <w:rsid w:val="00A342F4"/>
    <w:rsid w:val="00A34329"/>
    <w:rsid w:val="00A34678"/>
    <w:rsid w:val="00A348AF"/>
    <w:rsid w:val="00A348B3"/>
    <w:rsid w:val="00A3497A"/>
    <w:rsid w:val="00A34C74"/>
    <w:rsid w:val="00A3500E"/>
    <w:rsid w:val="00A35071"/>
    <w:rsid w:val="00A3508B"/>
    <w:rsid w:val="00A3511A"/>
    <w:rsid w:val="00A35312"/>
    <w:rsid w:val="00A35425"/>
    <w:rsid w:val="00A355EB"/>
    <w:rsid w:val="00A3593B"/>
    <w:rsid w:val="00A3593F"/>
    <w:rsid w:val="00A35A1C"/>
    <w:rsid w:val="00A35ACE"/>
    <w:rsid w:val="00A35ACF"/>
    <w:rsid w:val="00A35D7D"/>
    <w:rsid w:val="00A361B4"/>
    <w:rsid w:val="00A361F9"/>
    <w:rsid w:val="00A36289"/>
    <w:rsid w:val="00A362DE"/>
    <w:rsid w:val="00A36301"/>
    <w:rsid w:val="00A363F5"/>
    <w:rsid w:val="00A365C3"/>
    <w:rsid w:val="00A3669D"/>
    <w:rsid w:val="00A3677C"/>
    <w:rsid w:val="00A369E2"/>
    <w:rsid w:val="00A36E27"/>
    <w:rsid w:val="00A3708F"/>
    <w:rsid w:val="00A372C6"/>
    <w:rsid w:val="00A37411"/>
    <w:rsid w:val="00A37447"/>
    <w:rsid w:val="00A3756D"/>
    <w:rsid w:val="00A37609"/>
    <w:rsid w:val="00A37684"/>
    <w:rsid w:val="00A37A0F"/>
    <w:rsid w:val="00A37B06"/>
    <w:rsid w:val="00A37FFC"/>
    <w:rsid w:val="00A40541"/>
    <w:rsid w:val="00A40777"/>
    <w:rsid w:val="00A40ADF"/>
    <w:rsid w:val="00A40E92"/>
    <w:rsid w:val="00A40FAB"/>
    <w:rsid w:val="00A4113B"/>
    <w:rsid w:val="00A41158"/>
    <w:rsid w:val="00A413E7"/>
    <w:rsid w:val="00A41469"/>
    <w:rsid w:val="00A41592"/>
    <w:rsid w:val="00A415FF"/>
    <w:rsid w:val="00A41610"/>
    <w:rsid w:val="00A4165F"/>
    <w:rsid w:val="00A41803"/>
    <w:rsid w:val="00A418C1"/>
    <w:rsid w:val="00A4199B"/>
    <w:rsid w:val="00A41CAA"/>
    <w:rsid w:val="00A42139"/>
    <w:rsid w:val="00A42165"/>
    <w:rsid w:val="00A4282E"/>
    <w:rsid w:val="00A42A08"/>
    <w:rsid w:val="00A42AEA"/>
    <w:rsid w:val="00A42B15"/>
    <w:rsid w:val="00A42BBD"/>
    <w:rsid w:val="00A42F4D"/>
    <w:rsid w:val="00A43498"/>
    <w:rsid w:val="00A436E8"/>
    <w:rsid w:val="00A43C45"/>
    <w:rsid w:val="00A43E3E"/>
    <w:rsid w:val="00A43E8E"/>
    <w:rsid w:val="00A43EA2"/>
    <w:rsid w:val="00A43F86"/>
    <w:rsid w:val="00A441A2"/>
    <w:rsid w:val="00A4423B"/>
    <w:rsid w:val="00A44278"/>
    <w:rsid w:val="00A443A6"/>
    <w:rsid w:val="00A44580"/>
    <w:rsid w:val="00A4461D"/>
    <w:rsid w:val="00A44A2F"/>
    <w:rsid w:val="00A44DC5"/>
    <w:rsid w:val="00A44E2B"/>
    <w:rsid w:val="00A44E87"/>
    <w:rsid w:val="00A44EA3"/>
    <w:rsid w:val="00A44ED9"/>
    <w:rsid w:val="00A4528E"/>
    <w:rsid w:val="00A45459"/>
    <w:rsid w:val="00A45548"/>
    <w:rsid w:val="00A455C9"/>
    <w:rsid w:val="00A45E9E"/>
    <w:rsid w:val="00A460A4"/>
    <w:rsid w:val="00A46510"/>
    <w:rsid w:val="00A46545"/>
    <w:rsid w:val="00A46A64"/>
    <w:rsid w:val="00A46DB9"/>
    <w:rsid w:val="00A46F4C"/>
    <w:rsid w:val="00A47088"/>
    <w:rsid w:val="00A472DC"/>
    <w:rsid w:val="00A473A2"/>
    <w:rsid w:val="00A47845"/>
    <w:rsid w:val="00A47C42"/>
    <w:rsid w:val="00A47ECF"/>
    <w:rsid w:val="00A47F5F"/>
    <w:rsid w:val="00A5043D"/>
    <w:rsid w:val="00A505D7"/>
    <w:rsid w:val="00A5068F"/>
    <w:rsid w:val="00A50A9B"/>
    <w:rsid w:val="00A50AE2"/>
    <w:rsid w:val="00A50B6F"/>
    <w:rsid w:val="00A50CD5"/>
    <w:rsid w:val="00A50D48"/>
    <w:rsid w:val="00A50E1A"/>
    <w:rsid w:val="00A50E60"/>
    <w:rsid w:val="00A50EC2"/>
    <w:rsid w:val="00A50F45"/>
    <w:rsid w:val="00A513BE"/>
    <w:rsid w:val="00A51562"/>
    <w:rsid w:val="00A51610"/>
    <w:rsid w:val="00A51642"/>
    <w:rsid w:val="00A517E9"/>
    <w:rsid w:val="00A51A8F"/>
    <w:rsid w:val="00A51B4C"/>
    <w:rsid w:val="00A51CCC"/>
    <w:rsid w:val="00A51CDE"/>
    <w:rsid w:val="00A51D41"/>
    <w:rsid w:val="00A51D81"/>
    <w:rsid w:val="00A51EDC"/>
    <w:rsid w:val="00A5201C"/>
    <w:rsid w:val="00A520E3"/>
    <w:rsid w:val="00A522B1"/>
    <w:rsid w:val="00A5231B"/>
    <w:rsid w:val="00A52404"/>
    <w:rsid w:val="00A5290C"/>
    <w:rsid w:val="00A52D02"/>
    <w:rsid w:val="00A52E02"/>
    <w:rsid w:val="00A52F15"/>
    <w:rsid w:val="00A52F38"/>
    <w:rsid w:val="00A52F5A"/>
    <w:rsid w:val="00A5317F"/>
    <w:rsid w:val="00A531C0"/>
    <w:rsid w:val="00A53345"/>
    <w:rsid w:val="00A5348A"/>
    <w:rsid w:val="00A5374E"/>
    <w:rsid w:val="00A53848"/>
    <w:rsid w:val="00A538EA"/>
    <w:rsid w:val="00A53C3C"/>
    <w:rsid w:val="00A543F1"/>
    <w:rsid w:val="00A5442B"/>
    <w:rsid w:val="00A54780"/>
    <w:rsid w:val="00A5487A"/>
    <w:rsid w:val="00A54B6B"/>
    <w:rsid w:val="00A54BE3"/>
    <w:rsid w:val="00A54EE3"/>
    <w:rsid w:val="00A5513C"/>
    <w:rsid w:val="00A55198"/>
    <w:rsid w:val="00A5524C"/>
    <w:rsid w:val="00A55850"/>
    <w:rsid w:val="00A558A8"/>
    <w:rsid w:val="00A558B8"/>
    <w:rsid w:val="00A55A5E"/>
    <w:rsid w:val="00A55B31"/>
    <w:rsid w:val="00A55BDB"/>
    <w:rsid w:val="00A55E02"/>
    <w:rsid w:val="00A55F77"/>
    <w:rsid w:val="00A56394"/>
    <w:rsid w:val="00A56671"/>
    <w:rsid w:val="00A567C0"/>
    <w:rsid w:val="00A5693C"/>
    <w:rsid w:val="00A56A86"/>
    <w:rsid w:val="00A56D77"/>
    <w:rsid w:val="00A56DC5"/>
    <w:rsid w:val="00A5715E"/>
    <w:rsid w:val="00A5735D"/>
    <w:rsid w:val="00A5742F"/>
    <w:rsid w:val="00A57504"/>
    <w:rsid w:val="00A5770D"/>
    <w:rsid w:val="00A57818"/>
    <w:rsid w:val="00A57929"/>
    <w:rsid w:val="00A579A0"/>
    <w:rsid w:val="00A57A43"/>
    <w:rsid w:val="00A57C93"/>
    <w:rsid w:val="00A57DBB"/>
    <w:rsid w:val="00A57FD8"/>
    <w:rsid w:val="00A6030B"/>
    <w:rsid w:val="00A60473"/>
    <w:rsid w:val="00A606FA"/>
    <w:rsid w:val="00A607D8"/>
    <w:rsid w:val="00A609FE"/>
    <w:rsid w:val="00A60B3D"/>
    <w:rsid w:val="00A60C70"/>
    <w:rsid w:val="00A60CAA"/>
    <w:rsid w:val="00A61058"/>
    <w:rsid w:val="00A6132E"/>
    <w:rsid w:val="00A61627"/>
    <w:rsid w:val="00A61887"/>
    <w:rsid w:val="00A61A13"/>
    <w:rsid w:val="00A61D9B"/>
    <w:rsid w:val="00A61DE1"/>
    <w:rsid w:val="00A61DEE"/>
    <w:rsid w:val="00A6210A"/>
    <w:rsid w:val="00A6217A"/>
    <w:rsid w:val="00A623B7"/>
    <w:rsid w:val="00A628F5"/>
    <w:rsid w:val="00A6298E"/>
    <w:rsid w:val="00A62A8E"/>
    <w:rsid w:val="00A62BA4"/>
    <w:rsid w:val="00A62C2E"/>
    <w:rsid w:val="00A63119"/>
    <w:rsid w:val="00A63389"/>
    <w:rsid w:val="00A63563"/>
    <w:rsid w:val="00A63856"/>
    <w:rsid w:val="00A63B03"/>
    <w:rsid w:val="00A63DF1"/>
    <w:rsid w:val="00A64043"/>
    <w:rsid w:val="00A64418"/>
    <w:rsid w:val="00A64954"/>
    <w:rsid w:val="00A64B0F"/>
    <w:rsid w:val="00A64B9E"/>
    <w:rsid w:val="00A64C43"/>
    <w:rsid w:val="00A651D2"/>
    <w:rsid w:val="00A6522E"/>
    <w:rsid w:val="00A65416"/>
    <w:rsid w:val="00A65424"/>
    <w:rsid w:val="00A655D1"/>
    <w:rsid w:val="00A656FE"/>
    <w:rsid w:val="00A65A08"/>
    <w:rsid w:val="00A65E9F"/>
    <w:rsid w:val="00A660D7"/>
    <w:rsid w:val="00A662C7"/>
    <w:rsid w:val="00A66513"/>
    <w:rsid w:val="00A668E5"/>
    <w:rsid w:val="00A66BF0"/>
    <w:rsid w:val="00A66D4F"/>
    <w:rsid w:val="00A66F4A"/>
    <w:rsid w:val="00A6714C"/>
    <w:rsid w:val="00A6718E"/>
    <w:rsid w:val="00A67210"/>
    <w:rsid w:val="00A677C5"/>
    <w:rsid w:val="00A6783D"/>
    <w:rsid w:val="00A67A28"/>
    <w:rsid w:val="00A67CF4"/>
    <w:rsid w:val="00A701E2"/>
    <w:rsid w:val="00A70B59"/>
    <w:rsid w:val="00A70B8A"/>
    <w:rsid w:val="00A70BAC"/>
    <w:rsid w:val="00A70E6F"/>
    <w:rsid w:val="00A70FCA"/>
    <w:rsid w:val="00A71383"/>
    <w:rsid w:val="00A71482"/>
    <w:rsid w:val="00A7149C"/>
    <w:rsid w:val="00A71844"/>
    <w:rsid w:val="00A71C39"/>
    <w:rsid w:val="00A71E7A"/>
    <w:rsid w:val="00A71E86"/>
    <w:rsid w:val="00A722A4"/>
    <w:rsid w:val="00A723E0"/>
    <w:rsid w:val="00A72403"/>
    <w:rsid w:val="00A72512"/>
    <w:rsid w:val="00A725AF"/>
    <w:rsid w:val="00A72782"/>
    <w:rsid w:val="00A727E1"/>
    <w:rsid w:val="00A72A05"/>
    <w:rsid w:val="00A72D24"/>
    <w:rsid w:val="00A72D27"/>
    <w:rsid w:val="00A72FA2"/>
    <w:rsid w:val="00A73123"/>
    <w:rsid w:val="00A7329F"/>
    <w:rsid w:val="00A73418"/>
    <w:rsid w:val="00A737D9"/>
    <w:rsid w:val="00A73AEC"/>
    <w:rsid w:val="00A73FAC"/>
    <w:rsid w:val="00A73FE0"/>
    <w:rsid w:val="00A74035"/>
    <w:rsid w:val="00A7404A"/>
    <w:rsid w:val="00A7420E"/>
    <w:rsid w:val="00A743FB"/>
    <w:rsid w:val="00A74700"/>
    <w:rsid w:val="00A74901"/>
    <w:rsid w:val="00A74F05"/>
    <w:rsid w:val="00A75034"/>
    <w:rsid w:val="00A75194"/>
    <w:rsid w:val="00A751D0"/>
    <w:rsid w:val="00A7558D"/>
    <w:rsid w:val="00A75668"/>
    <w:rsid w:val="00A75794"/>
    <w:rsid w:val="00A75DDB"/>
    <w:rsid w:val="00A75E60"/>
    <w:rsid w:val="00A75EB6"/>
    <w:rsid w:val="00A75EF6"/>
    <w:rsid w:val="00A760C7"/>
    <w:rsid w:val="00A760C9"/>
    <w:rsid w:val="00A7632F"/>
    <w:rsid w:val="00A763D8"/>
    <w:rsid w:val="00A76550"/>
    <w:rsid w:val="00A765AA"/>
    <w:rsid w:val="00A76898"/>
    <w:rsid w:val="00A768D8"/>
    <w:rsid w:val="00A76C13"/>
    <w:rsid w:val="00A76C2A"/>
    <w:rsid w:val="00A76EB1"/>
    <w:rsid w:val="00A76F09"/>
    <w:rsid w:val="00A77112"/>
    <w:rsid w:val="00A77720"/>
    <w:rsid w:val="00A77948"/>
    <w:rsid w:val="00A77BF3"/>
    <w:rsid w:val="00A77C24"/>
    <w:rsid w:val="00A77CF1"/>
    <w:rsid w:val="00A77DA2"/>
    <w:rsid w:val="00A800D5"/>
    <w:rsid w:val="00A801B4"/>
    <w:rsid w:val="00A8066C"/>
    <w:rsid w:val="00A8087F"/>
    <w:rsid w:val="00A80BCF"/>
    <w:rsid w:val="00A80F80"/>
    <w:rsid w:val="00A81150"/>
    <w:rsid w:val="00A811A3"/>
    <w:rsid w:val="00A8133B"/>
    <w:rsid w:val="00A815BE"/>
    <w:rsid w:val="00A817D0"/>
    <w:rsid w:val="00A81968"/>
    <w:rsid w:val="00A81D3F"/>
    <w:rsid w:val="00A825E5"/>
    <w:rsid w:val="00A82696"/>
    <w:rsid w:val="00A827BA"/>
    <w:rsid w:val="00A8284D"/>
    <w:rsid w:val="00A828C5"/>
    <w:rsid w:val="00A82A12"/>
    <w:rsid w:val="00A82A3F"/>
    <w:rsid w:val="00A82D74"/>
    <w:rsid w:val="00A82E4E"/>
    <w:rsid w:val="00A82EA6"/>
    <w:rsid w:val="00A82EAB"/>
    <w:rsid w:val="00A82EE9"/>
    <w:rsid w:val="00A8301A"/>
    <w:rsid w:val="00A83124"/>
    <w:rsid w:val="00A83340"/>
    <w:rsid w:val="00A83365"/>
    <w:rsid w:val="00A83530"/>
    <w:rsid w:val="00A835B3"/>
    <w:rsid w:val="00A83650"/>
    <w:rsid w:val="00A837BF"/>
    <w:rsid w:val="00A838C8"/>
    <w:rsid w:val="00A838CC"/>
    <w:rsid w:val="00A83941"/>
    <w:rsid w:val="00A83AAD"/>
    <w:rsid w:val="00A83D90"/>
    <w:rsid w:val="00A83DBA"/>
    <w:rsid w:val="00A83DBC"/>
    <w:rsid w:val="00A83E2A"/>
    <w:rsid w:val="00A8405D"/>
    <w:rsid w:val="00A840E7"/>
    <w:rsid w:val="00A84198"/>
    <w:rsid w:val="00A8438D"/>
    <w:rsid w:val="00A8467F"/>
    <w:rsid w:val="00A84964"/>
    <w:rsid w:val="00A84968"/>
    <w:rsid w:val="00A84C16"/>
    <w:rsid w:val="00A84CF0"/>
    <w:rsid w:val="00A85183"/>
    <w:rsid w:val="00A85236"/>
    <w:rsid w:val="00A852A6"/>
    <w:rsid w:val="00A853D5"/>
    <w:rsid w:val="00A85596"/>
    <w:rsid w:val="00A85659"/>
    <w:rsid w:val="00A856F9"/>
    <w:rsid w:val="00A862E2"/>
    <w:rsid w:val="00A869AE"/>
    <w:rsid w:val="00A869CB"/>
    <w:rsid w:val="00A86A52"/>
    <w:rsid w:val="00A86C9E"/>
    <w:rsid w:val="00A86FB6"/>
    <w:rsid w:val="00A872B9"/>
    <w:rsid w:val="00A876C1"/>
    <w:rsid w:val="00A877FF"/>
    <w:rsid w:val="00A8781E"/>
    <w:rsid w:val="00A87CDD"/>
    <w:rsid w:val="00A88BED"/>
    <w:rsid w:val="00A90023"/>
    <w:rsid w:val="00A90217"/>
    <w:rsid w:val="00A90235"/>
    <w:rsid w:val="00A90256"/>
    <w:rsid w:val="00A90485"/>
    <w:rsid w:val="00A90580"/>
    <w:rsid w:val="00A9069C"/>
    <w:rsid w:val="00A908AF"/>
    <w:rsid w:val="00A9098D"/>
    <w:rsid w:val="00A90A4D"/>
    <w:rsid w:val="00A90BE7"/>
    <w:rsid w:val="00A90E02"/>
    <w:rsid w:val="00A90E36"/>
    <w:rsid w:val="00A90F45"/>
    <w:rsid w:val="00A90FE5"/>
    <w:rsid w:val="00A9118F"/>
    <w:rsid w:val="00A915FA"/>
    <w:rsid w:val="00A91719"/>
    <w:rsid w:val="00A91A1D"/>
    <w:rsid w:val="00A91AA2"/>
    <w:rsid w:val="00A91EE7"/>
    <w:rsid w:val="00A9217D"/>
    <w:rsid w:val="00A9235F"/>
    <w:rsid w:val="00A92451"/>
    <w:rsid w:val="00A9257A"/>
    <w:rsid w:val="00A92776"/>
    <w:rsid w:val="00A92891"/>
    <w:rsid w:val="00A928CD"/>
    <w:rsid w:val="00A92955"/>
    <w:rsid w:val="00A929EF"/>
    <w:rsid w:val="00A92A3D"/>
    <w:rsid w:val="00A92DD6"/>
    <w:rsid w:val="00A93010"/>
    <w:rsid w:val="00A93085"/>
    <w:rsid w:val="00A930B6"/>
    <w:rsid w:val="00A93A27"/>
    <w:rsid w:val="00A93B08"/>
    <w:rsid w:val="00A94028"/>
    <w:rsid w:val="00A94029"/>
    <w:rsid w:val="00A94062"/>
    <w:rsid w:val="00A940A8"/>
    <w:rsid w:val="00A940C2"/>
    <w:rsid w:val="00A940CB"/>
    <w:rsid w:val="00A9427A"/>
    <w:rsid w:val="00A942FE"/>
    <w:rsid w:val="00A94315"/>
    <w:rsid w:val="00A943D1"/>
    <w:rsid w:val="00A94506"/>
    <w:rsid w:val="00A946F7"/>
    <w:rsid w:val="00A94846"/>
    <w:rsid w:val="00A948C5"/>
    <w:rsid w:val="00A94CB3"/>
    <w:rsid w:val="00A94CDA"/>
    <w:rsid w:val="00A94E3B"/>
    <w:rsid w:val="00A94F16"/>
    <w:rsid w:val="00A94F2E"/>
    <w:rsid w:val="00A94FFF"/>
    <w:rsid w:val="00A951D7"/>
    <w:rsid w:val="00A952EB"/>
    <w:rsid w:val="00A9535A"/>
    <w:rsid w:val="00A9540F"/>
    <w:rsid w:val="00A9545B"/>
    <w:rsid w:val="00A95571"/>
    <w:rsid w:val="00A95871"/>
    <w:rsid w:val="00A95AD9"/>
    <w:rsid w:val="00A95DED"/>
    <w:rsid w:val="00A95ED4"/>
    <w:rsid w:val="00A96437"/>
    <w:rsid w:val="00A965AB"/>
    <w:rsid w:val="00A96808"/>
    <w:rsid w:val="00A96A4A"/>
    <w:rsid w:val="00A9714E"/>
    <w:rsid w:val="00A978F6"/>
    <w:rsid w:val="00A97953"/>
    <w:rsid w:val="00A979B4"/>
    <w:rsid w:val="00A97B16"/>
    <w:rsid w:val="00A97B31"/>
    <w:rsid w:val="00A97E57"/>
    <w:rsid w:val="00AA0079"/>
    <w:rsid w:val="00AA00F8"/>
    <w:rsid w:val="00AA0188"/>
    <w:rsid w:val="00AA019A"/>
    <w:rsid w:val="00AA0266"/>
    <w:rsid w:val="00AA02A1"/>
    <w:rsid w:val="00AA0399"/>
    <w:rsid w:val="00AA0AC0"/>
    <w:rsid w:val="00AA0B39"/>
    <w:rsid w:val="00AA0C30"/>
    <w:rsid w:val="00AA13AA"/>
    <w:rsid w:val="00AA154F"/>
    <w:rsid w:val="00AA1EB4"/>
    <w:rsid w:val="00AA1EEA"/>
    <w:rsid w:val="00AA2125"/>
    <w:rsid w:val="00AA2374"/>
    <w:rsid w:val="00AA23C8"/>
    <w:rsid w:val="00AA23EB"/>
    <w:rsid w:val="00AA259D"/>
    <w:rsid w:val="00AA25E8"/>
    <w:rsid w:val="00AA2A93"/>
    <w:rsid w:val="00AA2B72"/>
    <w:rsid w:val="00AA2B9F"/>
    <w:rsid w:val="00AA2C71"/>
    <w:rsid w:val="00AA2E34"/>
    <w:rsid w:val="00AA2EA0"/>
    <w:rsid w:val="00AA34BE"/>
    <w:rsid w:val="00AA35D5"/>
    <w:rsid w:val="00AA35E2"/>
    <w:rsid w:val="00AA36DA"/>
    <w:rsid w:val="00AA3A48"/>
    <w:rsid w:val="00AA3B25"/>
    <w:rsid w:val="00AA3B2C"/>
    <w:rsid w:val="00AA3B34"/>
    <w:rsid w:val="00AA406D"/>
    <w:rsid w:val="00AA4205"/>
    <w:rsid w:val="00AA434E"/>
    <w:rsid w:val="00AA469A"/>
    <w:rsid w:val="00AA48D5"/>
    <w:rsid w:val="00AA4925"/>
    <w:rsid w:val="00AA4A59"/>
    <w:rsid w:val="00AA4ABF"/>
    <w:rsid w:val="00AA4B69"/>
    <w:rsid w:val="00AA4BB0"/>
    <w:rsid w:val="00AA4D17"/>
    <w:rsid w:val="00AA4D43"/>
    <w:rsid w:val="00AA5103"/>
    <w:rsid w:val="00AA5346"/>
    <w:rsid w:val="00AA57F3"/>
    <w:rsid w:val="00AA596B"/>
    <w:rsid w:val="00AA5D32"/>
    <w:rsid w:val="00AA5DF2"/>
    <w:rsid w:val="00AA6101"/>
    <w:rsid w:val="00AA627C"/>
    <w:rsid w:val="00AA6449"/>
    <w:rsid w:val="00AA66C1"/>
    <w:rsid w:val="00AA6821"/>
    <w:rsid w:val="00AA6998"/>
    <w:rsid w:val="00AA70FC"/>
    <w:rsid w:val="00AA7655"/>
    <w:rsid w:val="00AB0023"/>
    <w:rsid w:val="00AB002B"/>
    <w:rsid w:val="00AB00BC"/>
    <w:rsid w:val="00AB0218"/>
    <w:rsid w:val="00AB0221"/>
    <w:rsid w:val="00AB0586"/>
    <w:rsid w:val="00AB06A0"/>
    <w:rsid w:val="00AB06C2"/>
    <w:rsid w:val="00AB07E6"/>
    <w:rsid w:val="00AB0839"/>
    <w:rsid w:val="00AB0986"/>
    <w:rsid w:val="00AB0CCE"/>
    <w:rsid w:val="00AB10A9"/>
    <w:rsid w:val="00AB135C"/>
    <w:rsid w:val="00AB1595"/>
    <w:rsid w:val="00AB1674"/>
    <w:rsid w:val="00AB17CA"/>
    <w:rsid w:val="00AB1B5E"/>
    <w:rsid w:val="00AB1CBA"/>
    <w:rsid w:val="00AB1EE1"/>
    <w:rsid w:val="00AB29A8"/>
    <w:rsid w:val="00AB29BF"/>
    <w:rsid w:val="00AB2A51"/>
    <w:rsid w:val="00AB2CE0"/>
    <w:rsid w:val="00AB2F07"/>
    <w:rsid w:val="00AB2F51"/>
    <w:rsid w:val="00AB3015"/>
    <w:rsid w:val="00AB307D"/>
    <w:rsid w:val="00AB30FA"/>
    <w:rsid w:val="00AB319B"/>
    <w:rsid w:val="00AB31CA"/>
    <w:rsid w:val="00AB3499"/>
    <w:rsid w:val="00AB34FC"/>
    <w:rsid w:val="00AB3537"/>
    <w:rsid w:val="00AB358C"/>
    <w:rsid w:val="00AB36CF"/>
    <w:rsid w:val="00AB3783"/>
    <w:rsid w:val="00AB3A4C"/>
    <w:rsid w:val="00AB3BE7"/>
    <w:rsid w:val="00AB3BF2"/>
    <w:rsid w:val="00AB3C58"/>
    <w:rsid w:val="00AB42F2"/>
    <w:rsid w:val="00AB45CC"/>
    <w:rsid w:val="00AB4600"/>
    <w:rsid w:val="00AB46D1"/>
    <w:rsid w:val="00AB472A"/>
    <w:rsid w:val="00AB481C"/>
    <w:rsid w:val="00AB4938"/>
    <w:rsid w:val="00AB493F"/>
    <w:rsid w:val="00AB4A60"/>
    <w:rsid w:val="00AB4C33"/>
    <w:rsid w:val="00AB4D08"/>
    <w:rsid w:val="00AB4D1B"/>
    <w:rsid w:val="00AB516A"/>
    <w:rsid w:val="00AB51C8"/>
    <w:rsid w:val="00AB5398"/>
    <w:rsid w:val="00AB564F"/>
    <w:rsid w:val="00AB57DD"/>
    <w:rsid w:val="00AB5820"/>
    <w:rsid w:val="00AB58A0"/>
    <w:rsid w:val="00AB5ADE"/>
    <w:rsid w:val="00AB5C4B"/>
    <w:rsid w:val="00AB5D36"/>
    <w:rsid w:val="00AB6154"/>
    <w:rsid w:val="00AB615C"/>
    <w:rsid w:val="00AB61DB"/>
    <w:rsid w:val="00AB6300"/>
    <w:rsid w:val="00AB65A3"/>
    <w:rsid w:val="00AB6601"/>
    <w:rsid w:val="00AB668D"/>
    <w:rsid w:val="00AB693D"/>
    <w:rsid w:val="00AB6AC7"/>
    <w:rsid w:val="00AB6ACC"/>
    <w:rsid w:val="00AB6ADF"/>
    <w:rsid w:val="00AB6DAF"/>
    <w:rsid w:val="00AB6DC0"/>
    <w:rsid w:val="00AB6E72"/>
    <w:rsid w:val="00AB70F1"/>
    <w:rsid w:val="00AB7423"/>
    <w:rsid w:val="00AB7637"/>
    <w:rsid w:val="00AB7926"/>
    <w:rsid w:val="00AB79DC"/>
    <w:rsid w:val="00AC010D"/>
    <w:rsid w:val="00AC02B9"/>
    <w:rsid w:val="00AC0387"/>
    <w:rsid w:val="00AC0404"/>
    <w:rsid w:val="00AC059C"/>
    <w:rsid w:val="00AC07E1"/>
    <w:rsid w:val="00AC08CE"/>
    <w:rsid w:val="00AC0921"/>
    <w:rsid w:val="00AC099D"/>
    <w:rsid w:val="00AC0A71"/>
    <w:rsid w:val="00AC0B44"/>
    <w:rsid w:val="00AC0D15"/>
    <w:rsid w:val="00AC0F65"/>
    <w:rsid w:val="00AC0FCC"/>
    <w:rsid w:val="00AC12E3"/>
    <w:rsid w:val="00AC132F"/>
    <w:rsid w:val="00AC1A8D"/>
    <w:rsid w:val="00AC1BC2"/>
    <w:rsid w:val="00AC202F"/>
    <w:rsid w:val="00AC2513"/>
    <w:rsid w:val="00AC2B68"/>
    <w:rsid w:val="00AC2C9B"/>
    <w:rsid w:val="00AC2D57"/>
    <w:rsid w:val="00AC34BA"/>
    <w:rsid w:val="00AC354D"/>
    <w:rsid w:val="00AC3A5A"/>
    <w:rsid w:val="00AC3B36"/>
    <w:rsid w:val="00AC3C4D"/>
    <w:rsid w:val="00AC3F2C"/>
    <w:rsid w:val="00AC40AA"/>
    <w:rsid w:val="00AC4147"/>
    <w:rsid w:val="00AC4387"/>
    <w:rsid w:val="00AC4738"/>
    <w:rsid w:val="00AC480D"/>
    <w:rsid w:val="00AC48DE"/>
    <w:rsid w:val="00AC524C"/>
    <w:rsid w:val="00AC5294"/>
    <w:rsid w:val="00AC5422"/>
    <w:rsid w:val="00AC54FF"/>
    <w:rsid w:val="00AC55B0"/>
    <w:rsid w:val="00AC5768"/>
    <w:rsid w:val="00AC58BF"/>
    <w:rsid w:val="00AC5946"/>
    <w:rsid w:val="00AC59AB"/>
    <w:rsid w:val="00AC5BE1"/>
    <w:rsid w:val="00AC5CF4"/>
    <w:rsid w:val="00AC5F66"/>
    <w:rsid w:val="00AC61D9"/>
    <w:rsid w:val="00AC6393"/>
    <w:rsid w:val="00AC63AC"/>
    <w:rsid w:val="00AC64D7"/>
    <w:rsid w:val="00AC67CF"/>
    <w:rsid w:val="00AC67E3"/>
    <w:rsid w:val="00AC6831"/>
    <w:rsid w:val="00AC68D0"/>
    <w:rsid w:val="00AC6A19"/>
    <w:rsid w:val="00AC6A24"/>
    <w:rsid w:val="00AC6A64"/>
    <w:rsid w:val="00AC6A7F"/>
    <w:rsid w:val="00AC6B01"/>
    <w:rsid w:val="00AC6ED9"/>
    <w:rsid w:val="00AC705C"/>
    <w:rsid w:val="00AC75E0"/>
    <w:rsid w:val="00AC7749"/>
    <w:rsid w:val="00AC7782"/>
    <w:rsid w:val="00AC7FCB"/>
    <w:rsid w:val="00AD0263"/>
    <w:rsid w:val="00AD03E1"/>
    <w:rsid w:val="00AD03E6"/>
    <w:rsid w:val="00AD04A5"/>
    <w:rsid w:val="00AD0812"/>
    <w:rsid w:val="00AD086D"/>
    <w:rsid w:val="00AD0B48"/>
    <w:rsid w:val="00AD0B58"/>
    <w:rsid w:val="00AD0D6E"/>
    <w:rsid w:val="00AD0E03"/>
    <w:rsid w:val="00AD0ECA"/>
    <w:rsid w:val="00AD10A3"/>
    <w:rsid w:val="00AD175B"/>
    <w:rsid w:val="00AD1830"/>
    <w:rsid w:val="00AD18B3"/>
    <w:rsid w:val="00AD1B36"/>
    <w:rsid w:val="00AD2121"/>
    <w:rsid w:val="00AD2271"/>
    <w:rsid w:val="00AD2514"/>
    <w:rsid w:val="00AD25C0"/>
    <w:rsid w:val="00AD25D0"/>
    <w:rsid w:val="00AD25F1"/>
    <w:rsid w:val="00AD28E9"/>
    <w:rsid w:val="00AD2990"/>
    <w:rsid w:val="00AD2B54"/>
    <w:rsid w:val="00AD2CA6"/>
    <w:rsid w:val="00AD2CCF"/>
    <w:rsid w:val="00AD2D00"/>
    <w:rsid w:val="00AD2EE8"/>
    <w:rsid w:val="00AD2F7D"/>
    <w:rsid w:val="00AD31E2"/>
    <w:rsid w:val="00AD373E"/>
    <w:rsid w:val="00AD378F"/>
    <w:rsid w:val="00AD37D4"/>
    <w:rsid w:val="00AD3948"/>
    <w:rsid w:val="00AD3ACD"/>
    <w:rsid w:val="00AD3BCB"/>
    <w:rsid w:val="00AD3C1A"/>
    <w:rsid w:val="00AD3D37"/>
    <w:rsid w:val="00AD3D9F"/>
    <w:rsid w:val="00AD3E99"/>
    <w:rsid w:val="00AD3F4B"/>
    <w:rsid w:val="00AD4186"/>
    <w:rsid w:val="00AD4260"/>
    <w:rsid w:val="00AD4403"/>
    <w:rsid w:val="00AD455B"/>
    <w:rsid w:val="00AD4761"/>
    <w:rsid w:val="00AD47F3"/>
    <w:rsid w:val="00AD4E3D"/>
    <w:rsid w:val="00AD50AD"/>
    <w:rsid w:val="00AD5347"/>
    <w:rsid w:val="00AD5510"/>
    <w:rsid w:val="00AD561A"/>
    <w:rsid w:val="00AD5767"/>
    <w:rsid w:val="00AD578B"/>
    <w:rsid w:val="00AD591F"/>
    <w:rsid w:val="00AD5B8F"/>
    <w:rsid w:val="00AD5D4F"/>
    <w:rsid w:val="00AD60E1"/>
    <w:rsid w:val="00AD6A67"/>
    <w:rsid w:val="00AD6C45"/>
    <w:rsid w:val="00AD6CFA"/>
    <w:rsid w:val="00AD6EE1"/>
    <w:rsid w:val="00AD71E4"/>
    <w:rsid w:val="00AD7423"/>
    <w:rsid w:val="00AD768E"/>
    <w:rsid w:val="00AD7AB1"/>
    <w:rsid w:val="00AD7ACC"/>
    <w:rsid w:val="00AD7B7A"/>
    <w:rsid w:val="00AD7D34"/>
    <w:rsid w:val="00AD7D67"/>
    <w:rsid w:val="00AD7F80"/>
    <w:rsid w:val="00AE007C"/>
    <w:rsid w:val="00AE00E5"/>
    <w:rsid w:val="00AE011B"/>
    <w:rsid w:val="00AE03DB"/>
    <w:rsid w:val="00AE05AA"/>
    <w:rsid w:val="00AE0712"/>
    <w:rsid w:val="00AE07BF"/>
    <w:rsid w:val="00AE085B"/>
    <w:rsid w:val="00AE0DE2"/>
    <w:rsid w:val="00AE0E10"/>
    <w:rsid w:val="00AE0EB3"/>
    <w:rsid w:val="00AE0EB7"/>
    <w:rsid w:val="00AE10CD"/>
    <w:rsid w:val="00AE121C"/>
    <w:rsid w:val="00AE1287"/>
    <w:rsid w:val="00AE12BE"/>
    <w:rsid w:val="00AE140A"/>
    <w:rsid w:val="00AE150B"/>
    <w:rsid w:val="00AE165E"/>
    <w:rsid w:val="00AE16AF"/>
    <w:rsid w:val="00AE172E"/>
    <w:rsid w:val="00AE18F0"/>
    <w:rsid w:val="00AE1B4E"/>
    <w:rsid w:val="00AE1BF5"/>
    <w:rsid w:val="00AE1D2A"/>
    <w:rsid w:val="00AE2039"/>
    <w:rsid w:val="00AE2098"/>
    <w:rsid w:val="00AE2142"/>
    <w:rsid w:val="00AE264A"/>
    <w:rsid w:val="00AE27C0"/>
    <w:rsid w:val="00AE28B7"/>
    <w:rsid w:val="00AE28E6"/>
    <w:rsid w:val="00AE2D70"/>
    <w:rsid w:val="00AE2E34"/>
    <w:rsid w:val="00AE308E"/>
    <w:rsid w:val="00AE31E5"/>
    <w:rsid w:val="00AE3596"/>
    <w:rsid w:val="00AE3676"/>
    <w:rsid w:val="00AE36E2"/>
    <w:rsid w:val="00AE39A9"/>
    <w:rsid w:val="00AE3C6B"/>
    <w:rsid w:val="00AE3D8C"/>
    <w:rsid w:val="00AE3EC3"/>
    <w:rsid w:val="00AE403B"/>
    <w:rsid w:val="00AE4207"/>
    <w:rsid w:val="00AE42E9"/>
    <w:rsid w:val="00AE44F3"/>
    <w:rsid w:val="00AE4635"/>
    <w:rsid w:val="00AE48FD"/>
    <w:rsid w:val="00AE4926"/>
    <w:rsid w:val="00AE49A2"/>
    <w:rsid w:val="00AE4AED"/>
    <w:rsid w:val="00AE4F00"/>
    <w:rsid w:val="00AE5189"/>
    <w:rsid w:val="00AE51C1"/>
    <w:rsid w:val="00AE52AD"/>
    <w:rsid w:val="00AE56B3"/>
    <w:rsid w:val="00AE582B"/>
    <w:rsid w:val="00AE5C0B"/>
    <w:rsid w:val="00AE5C58"/>
    <w:rsid w:val="00AE5D20"/>
    <w:rsid w:val="00AE5D72"/>
    <w:rsid w:val="00AE5F15"/>
    <w:rsid w:val="00AE5FE7"/>
    <w:rsid w:val="00AE6082"/>
    <w:rsid w:val="00AE6191"/>
    <w:rsid w:val="00AE6328"/>
    <w:rsid w:val="00AE6404"/>
    <w:rsid w:val="00AE664C"/>
    <w:rsid w:val="00AE6874"/>
    <w:rsid w:val="00AE6EC7"/>
    <w:rsid w:val="00AE6ECC"/>
    <w:rsid w:val="00AE6ED8"/>
    <w:rsid w:val="00AE6F46"/>
    <w:rsid w:val="00AE7127"/>
    <w:rsid w:val="00AE721E"/>
    <w:rsid w:val="00AE7222"/>
    <w:rsid w:val="00AE755B"/>
    <w:rsid w:val="00AE7C63"/>
    <w:rsid w:val="00AE7ED5"/>
    <w:rsid w:val="00AE7F40"/>
    <w:rsid w:val="00AE7FA5"/>
    <w:rsid w:val="00AE7FBF"/>
    <w:rsid w:val="00AF0195"/>
    <w:rsid w:val="00AF035E"/>
    <w:rsid w:val="00AF0630"/>
    <w:rsid w:val="00AF0D0B"/>
    <w:rsid w:val="00AF0E65"/>
    <w:rsid w:val="00AF0EF0"/>
    <w:rsid w:val="00AF0F61"/>
    <w:rsid w:val="00AF10CE"/>
    <w:rsid w:val="00AF10D6"/>
    <w:rsid w:val="00AF1365"/>
    <w:rsid w:val="00AF14D0"/>
    <w:rsid w:val="00AF1631"/>
    <w:rsid w:val="00AF17EE"/>
    <w:rsid w:val="00AF1ABE"/>
    <w:rsid w:val="00AF1B82"/>
    <w:rsid w:val="00AF1C9A"/>
    <w:rsid w:val="00AF20AC"/>
    <w:rsid w:val="00AF21F8"/>
    <w:rsid w:val="00AF23A5"/>
    <w:rsid w:val="00AF23CC"/>
    <w:rsid w:val="00AF254B"/>
    <w:rsid w:val="00AF26B9"/>
    <w:rsid w:val="00AF26E0"/>
    <w:rsid w:val="00AF2A1E"/>
    <w:rsid w:val="00AF2B01"/>
    <w:rsid w:val="00AF2B8D"/>
    <w:rsid w:val="00AF2D8B"/>
    <w:rsid w:val="00AF3166"/>
    <w:rsid w:val="00AF3184"/>
    <w:rsid w:val="00AF3443"/>
    <w:rsid w:val="00AF3572"/>
    <w:rsid w:val="00AF3695"/>
    <w:rsid w:val="00AF3872"/>
    <w:rsid w:val="00AF3ACA"/>
    <w:rsid w:val="00AF3B54"/>
    <w:rsid w:val="00AF3BA9"/>
    <w:rsid w:val="00AF3FA1"/>
    <w:rsid w:val="00AF4BED"/>
    <w:rsid w:val="00AF5408"/>
    <w:rsid w:val="00AF5426"/>
    <w:rsid w:val="00AF5819"/>
    <w:rsid w:val="00AF59B6"/>
    <w:rsid w:val="00AF5C58"/>
    <w:rsid w:val="00AF5D9B"/>
    <w:rsid w:val="00AF5F19"/>
    <w:rsid w:val="00AF5FAD"/>
    <w:rsid w:val="00AF5FB3"/>
    <w:rsid w:val="00AF61AA"/>
    <w:rsid w:val="00AF630F"/>
    <w:rsid w:val="00AF635D"/>
    <w:rsid w:val="00AF6436"/>
    <w:rsid w:val="00AF651E"/>
    <w:rsid w:val="00AF6527"/>
    <w:rsid w:val="00AF6705"/>
    <w:rsid w:val="00AF67C8"/>
    <w:rsid w:val="00AF6991"/>
    <w:rsid w:val="00AF6EC9"/>
    <w:rsid w:val="00AF6F81"/>
    <w:rsid w:val="00AF6F99"/>
    <w:rsid w:val="00AF70F9"/>
    <w:rsid w:val="00AF7332"/>
    <w:rsid w:val="00AF78D9"/>
    <w:rsid w:val="00AF7945"/>
    <w:rsid w:val="00AF797F"/>
    <w:rsid w:val="00AF7B99"/>
    <w:rsid w:val="00AF7CA8"/>
    <w:rsid w:val="00B002F9"/>
    <w:rsid w:val="00B004EF"/>
    <w:rsid w:val="00B00657"/>
    <w:rsid w:val="00B00706"/>
    <w:rsid w:val="00B007CE"/>
    <w:rsid w:val="00B008BB"/>
    <w:rsid w:val="00B00975"/>
    <w:rsid w:val="00B00A3B"/>
    <w:rsid w:val="00B00B20"/>
    <w:rsid w:val="00B00BA3"/>
    <w:rsid w:val="00B00D08"/>
    <w:rsid w:val="00B0119A"/>
    <w:rsid w:val="00B016A8"/>
    <w:rsid w:val="00B0177C"/>
    <w:rsid w:val="00B01CB2"/>
    <w:rsid w:val="00B020ED"/>
    <w:rsid w:val="00B021A5"/>
    <w:rsid w:val="00B0271A"/>
    <w:rsid w:val="00B02AD4"/>
    <w:rsid w:val="00B02E3E"/>
    <w:rsid w:val="00B02F12"/>
    <w:rsid w:val="00B03021"/>
    <w:rsid w:val="00B030AE"/>
    <w:rsid w:val="00B03273"/>
    <w:rsid w:val="00B036BF"/>
    <w:rsid w:val="00B037B5"/>
    <w:rsid w:val="00B0391E"/>
    <w:rsid w:val="00B03978"/>
    <w:rsid w:val="00B03A14"/>
    <w:rsid w:val="00B03B20"/>
    <w:rsid w:val="00B03B7C"/>
    <w:rsid w:val="00B03BA9"/>
    <w:rsid w:val="00B03EC0"/>
    <w:rsid w:val="00B03EFF"/>
    <w:rsid w:val="00B040C3"/>
    <w:rsid w:val="00B04113"/>
    <w:rsid w:val="00B04522"/>
    <w:rsid w:val="00B0467C"/>
    <w:rsid w:val="00B0480B"/>
    <w:rsid w:val="00B04B53"/>
    <w:rsid w:val="00B04B89"/>
    <w:rsid w:val="00B04CB6"/>
    <w:rsid w:val="00B04DB3"/>
    <w:rsid w:val="00B04F40"/>
    <w:rsid w:val="00B05046"/>
    <w:rsid w:val="00B0534A"/>
    <w:rsid w:val="00B053A8"/>
    <w:rsid w:val="00B053C3"/>
    <w:rsid w:val="00B054C1"/>
    <w:rsid w:val="00B05559"/>
    <w:rsid w:val="00B0576B"/>
    <w:rsid w:val="00B05944"/>
    <w:rsid w:val="00B05B26"/>
    <w:rsid w:val="00B05BBA"/>
    <w:rsid w:val="00B05C7E"/>
    <w:rsid w:val="00B05CB9"/>
    <w:rsid w:val="00B05DE0"/>
    <w:rsid w:val="00B05E6B"/>
    <w:rsid w:val="00B06031"/>
    <w:rsid w:val="00B06643"/>
    <w:rsid w:val="00B06659"/>
    <w:rsid w:val="00B06ACD"/>
    <w:rsid w:val="00B06B79"/>
    <w:rsid w:val="00B06BCC"/>
    <w:rsid w:val="00B06C65"/>
    <w:rsid w:val="00B06D00"/>
    <w:rsid w:val="00B0702A"/>
    <w:rsid w:val="00B07291"/>
    <w:rsid w:val="00B0730E"/>
    <w:rsid w:val="00B07558"/>
    <w:rsid w:val="00B07712"/>
    <w:rsid w:val="00B07793"/>
    <w:rsid w:val="00B0791C"/>
    <w:rsid w:val="00B07ABF"/>
    <w:rsid w:val="00B07D20"/>
    <w:rsid w:val="00B101DB"/>
    <w:rsid w:val="00B10330"/>
    <w:rsid w:val="00B104C8"/>
    <w:rsid w:val="00B106CF"/>
    <w:rsid w:val="00B1095F"/>
    <w:rsid w:val="00B10B0A"/>
    <w:rsid w:val="00B10B82"/>
    <w:rsid w:val="00B10CCE"/>
    <w:rsid w:val="00B10ECB"/>
    <w:rsid w:val="00B114A3"/>
    <w:rsid w:val="00B116B7"/>
    <w:rsid w:val="00B11BF2"/>
    <w:rsid w:val="00B11C5C"/>
    <w:rsid w:val="00B11D7A"/>
    <w:rsid w:val="00B11DD6"/>
    <w:rsid w:val="00B11F74"/>
    <w:rsid w:val="00B12051"/>
    <w:rsid w:val="00B12361"/>
    <w:rsid w:val="00B12626"/>
    <w:rsid w:val="00B135B8"/>
    <w:rsid w:val="00B136B6"/>
    <w:rsid w:val="00B138FA"/>
    <w:rsid w:val="00B13984"/>
    <w:rsid w:val="00B13A69"/>
    <w:rsid w:val="00B13D4A"/>
    <w:rsid w:val="00B13DAD"/>
    <w:rsid w:val="00B140DC"/>
    <w:rsid w:val="00B141ED"/>
    <w:rsid w:val="00B14211"/>
    <w:rsid w:val="00B146A1"/>
    <w:rsid w:val="00B14A1F"/>
    <w:rsid w:val="00B14A94"/>
    <w:rsid w:val="00B14BE4"/>
    <w:rsid w:val="00B14E58"/>
    <w:rsid w:val="00B15257"/>
    <w:rsid w:val="00B153DF"/>
    <w:rsid w:val="00B15571"/>
    <w:rsid w:val="00B15650"/>
    <w:rsid w:val="00B15926"/>
    <w:rsid w:val="00B15980"/>
    <w:rsid w:val="00B159E5"/>
    <w:rsid w:val="00B159FB"/>
    <w:rsid w:val="00B15A3E"/>
    <w:rsid w:val="00B15A78"/>
    <w:rsid w:val="00B15D5A"/>
    <w:rsid w:val="00B15DF3"/>
    <w:rsid w:val="00B1639F"/>
    <w:rsid w:val="00B1660B"/>
    <w:rsid w:val="00B16748"/>
    <w:rsid w:val="00B16D29"/>
    <w:rsid w:val="00B16D6A"/>
    <w:rsid w:val="00B16D7E"/>
    <w:rsid w:val="00B16DBC"/>
    <w:rsid w:val="00B16F07"/>
    <w:rsid w:val="00B17035"/>
    <w:rsid w:val="00B17070"/>
    <w:rsid w:val="00B1722E"/>
    <w:rsid w:val="00B174B9"/>
    <w:rsid w:val="00B1767A"/>
    <w:rsid w:val="00B1795C"/>
    <w:rsid w:val="00B17DFC"/>
    <w:rsid w:val="00B204FE"/>
    <w:rsid w:val="00B2053C"/>
    <w:rsid w:val="00B2078B"/>
    <w:rsid w:val="00B209FF"/>
    <w:rsid w:val="00B20CDE"/>
    <w:rsid w:val="00B212C0"/>
    <w:rsid w:val="00B212F0"/>
    <w:rsid w:val="00B21338"/>
    <w:rsid w:val="00B2166F"/>
    <w:rsid w:val="00B217BC"/>
    <w:rsid w:val="00B21864"/>
    <w:rsid w:val="00B2199D"/>
    <w:rsid w:val="00B21BB4"/>
    <w:rsid w:val="00B21C9C"/>
    <w:rsid w:val="00B21DA4"/>
    <w:rsid w:val="00B223FF"/>
    <w:rsid w:val="00B22AD6"/>
    <w:rsid w:val="00B22CE0"/>
    <w:rsid w:val="00B22E67"/>
    <w:rsid w:val="00B22F71"/>
    <w:rsid w:val="00B22FDB"/>
    <w:rsid w:val="00B2301C"/>
    <w:rsid w:val="00B23076"/>
    <w:rsid w:val="00B23080"/>
    <w:rsid w:val="00B2325C"/>
    <w:rsid w:val="00B232AE"/>
    <w:rsid w:val="00B233B5"/>
    <w:rsid w:val="00B2363D"/>
    <w:rsid w:val="00B2371F"/>
    <w:rsid w:val="00B237AA"/>
    <w:rsid w:val="00B237FC"/>
    <w:rsid w:val="00B238B2"/>
    <w:rsid w:val="00B239A3"/>
    <w:rsid w:val="00B23B42"/>
    <w:rsid w:val="00B23C39"/>
    <w:rsid w:val="00B23E19"/>
    <w:rsid w:val="00B23ED6"/>
    <w:rsid w:val="00B24043"/>
    <w:rsid w:val="00B242E2"/>
    <w:rsid w:val="00B24350"/>
    <w:rsid w:val="00B24482"/>
    <w:rsid w:val="00B245A6"/>
    <w:rsid w:val="00B24648"/>
    <w:rsid w:val="00B24655"/>
    <w:rsid w:val="00B24658"/>
    <w:rsid w:val="00B248C0"/>
    <w:rsid w:val="00B24ACA"/>
    <w:rsid w:val="00B24B02"/>
    <w:rsid w:val="00B24C14"/>
    <w:rsid w:val="00B24D84"/>
    <w:rsid w:val="00B254D0"/>
    <w:rsid w:val="00B255D5"/>
    <w:rsid w:val="00B2573D"/>
    <w:rsid w:val="00B258E4"/>
    <w:rsid w:val="00B25AA0"/>
    <w:rsid w:val="00B25E22"/>
    <w:rsid w:val="00B2635A"/>
    <w:rsid w:val="00B26869"/>
    <w:rsid w:val="00B26A96"/>
    <w:rsid w:val="00B26AE7"/>
    <w:rsid w:val="00B26BDB"/>
    <w:rsid w:val="00B26C73"/>
    <w:rsid w:val="00B26D93"/>
    <w:rsid w:val="00B26E86"/>
    <w:rsid w:val="00B27045"/>
    <w:rsid w:val="00B270CF"/>
    <w:rsid w:val="00B272E4"/>
    <w:rsid w:val="00B27D97"/>
    <w:rsid w:val="00B27F58"/>
    <w:rsid w:val="00B3004E"/>
    <w:rsid w:val="00B30528"/>
    <w:rsid w:val="00B30587"/>
    <w:rsid w:val="00B3077F"/>
    <w:rsid w:val="00B30910"/>
    <w:rsid w:val="00B30DA9"/>
    <w:rsid w:val="00B30E28"/>
    <w:rsid w:val="00B3199A"/>
    <w:rsid w:val="00B31C9F"/>
    <w:rsid w:val="00B31F31"/>
    <w:rsid w:val="00B32186"/>
    <w:rsid w:val="00B32351"/>
    <w:rsid w:val="00B325E6"/>
    <w:rsid w:val="00B329CE"/>
    <w:rsid w:val="00B32B2D"/>
    <w:rsid w:val="00B32B33"/>
    <w:rsid w:val="00B32BFA"/>
    <w:rsid w:val="00B32C29"/>
    <w:rsid w:val="00B32CD5"/>
    <w:rsid w:val="00B32E60"/>
    <w:rsid w:val="00B32E8D"/>
    <w:rsid w:val="00B32E95"/>
    <w:rsid w:val="00B32F61"/>
    <w:rsid w:val="00B33182"/>
    <w:rsid w:val="00B33365"/>
    <w:rsid w:val="00B33412"/>
    <w:rsid w:val="00B3347E"/>
    <w:rsid w:val="00B335B4"/>
    <w:rsid w:val="00B33891"/>
    <w:rsid w:val="00B33B64"/>
    <w:rsid w:val="00B33F29"/>
    <w:rsid w:val="00B33F2A"/>
    <w:rsid w:val="00B3409F"/>
    <w:rsid w:val="00B340C4"/>
    <w:rsid w:val="00B3421B"/>
    <w:rsid w:val="00B34488"/>
    <w:rsid w:val="00B34656"/>
    <w:rsid w:val="00B348A4"/>
    <w:rsid w:val="00B349CE"/>
    <w:rsid w:val="00B34A61"/>
    <w:rsid w:val="00B34C01"/>
    <w:rsid w:val="00B35066"/>
    <w:rsid w:val="00B3544C"/>
    <w:rsid w:val="00B356DE"/>
    <w:rsid w:val="00B35A8D"/>
    <w:rsid w:val="00B35BAA"/>
    <w:rsid w:val="00B35CC5"/>
    <w:rsid w:val="00B36604"/>
    <w:rsid w:val="00B36760"/>
    <w:rsid w:val="00B36BCA"/>
    <w:rsid w:val="00B36D88"/>
    <w:rsid w:val="00B37063"/>
    <w:rsid w:val="00B37226"/>
    <w:rsid w:val="00B3737C"/>
    <w:rsid w:val="00B373E4"/>
    <w:rsid w:val="00B378B5"/>
    <w:rsid w:val="00B37976"/>
    <w:rsid w:val="00B37A61"/>
    <w:rsid w:val="00B37AA9"/>
    <w:rsid w:val="00B37C6E"/>
    <w:rsid w:val="00B37DFD"/>
    <w:rsid w:val="00B37E2E"/>
    <w:rsid w:val="00B400C6"/>
    <w:rsid w:val="00B40117"/>
    <w:rsid w:val="00B401E6"/>
    <w:rsid w:val="00B4031E"/>
    <w:rsid w:val="00B40398"/>
    <w:rsid w:val="00B406F2"/>
    <w:rsid w:val="00B408E9"/>
    <w:rsid w:val="00B40A4B"/>
    <w:rsid w:val="00B40B58"/>
    <w:rsid w:val="00B40C0D"/>
    <w:rsid w:val="00B40E57"/>
    <w:rsid w:val="00B40E87"/>
    <w:rsid w:val="00B40EBB"/>
    <w:rsid w:val="00B40EFD"/>
    <w:rsid w:val="00B40FF3"/>
    <w:rsid w:val="00B41478"/>
    <w:rsid w:val="00B4154E"/>
    <w:rsid w:val="00B41823"/>
    <w:rsid w:val="00B41A4C"/>
    <w:rsid w:val="00B41BA4"/>
    <w:rsid w:val="00B41BF5"/>
    <w:rsid w:val="00B41D4F"/>
    <w:rsid w:val="00B41FD2"/>
    <w:rsid w:val="00B4233A"/>
    <w:rsid w:val="00B4247F"/>
    <w:rsid w:val="00B425AF"/>
    <w:rsid w:val="00B42730"/>
    <w:rsid w:val="00B4274D"/>
    <w:rsid w:val="00B428D5"/>
    <w:rsid w:val="00B42B3D"/>
    <w:rsid w:val="00B42C27"/>
    <w:rsid w:val="00B42E14"/>
    <w:rsid w:val="00B42E71"/>
    <w:rsid w:val="00B42EF4"/>
    <w:rsid w:val="00B43095"/>
    <w:rsid w:val="00B43123"/>
    <w:rsid w:val="00B434A1"/>
    <w:rsid w:val="00B435AE"/>
    <w:rsid w:val="00B435AF"/>
    <w:rsid w:val="00B43720"/>
    <w:rsid w:val="00B438AF"/>
    <w:rsid w:val="00B43A15"/>
    <w:rsid w:val="00B43E59"/>
    <w:rsid w:val="00B43EEC"/>
    <w:rsid w:val="00B4400B"/>
    <w:rsid w:val="00B44060"/>
    <w:rsid w:val="00B4437B"/>
    <w:rsid w:val="00B44458"/>
    <w:rsid w:val="00B4469D"/>
    <w:rsid w:val="00B447E6"/>
    <w:rsid w:val="00B447F9"/>
    <w:rsid w:val="00B44AE8"/>
    <w:rsid w:val="00B44CAB"/>
    <w:rsid w:val="00B44DC4"/>
    <w:rsid w:val="00B44F49"/>
    <w:rsid w:val="00B45085"/>
    <w:rsid w:val="00B450A6"/>
    <w:rsid w:val="00B4512B"/>
    <w:rsid w:val="00B45154"/>
    <w:rsid w:val="00B4516D"/>
    <w:rsid w:val="00B45345"/>
    <w:rsid w:val="00B453E5"/>
    <w:rsid w:val="00B4563E"/>
    <w:rsid w:val="00B4564C"/>
    <w:rsid w:val="00B45D30"/>
    <w:rsid w:val="00B45FA2"/>
    <w:rsid w:val="00B45FFA"/>
    <w:rsid w:val="00B46078"/>
    <w:rsid w:val="00B461BE"/>
    <w:rsid w:val="00B4632F"/>
    <w:rsid w:val="00B464D4"/>
    <w:rsid w:val="00B465E5"/>
    <w:rsid w:val="00B46625"/>
    <w:rsid w:val="00B46671"/>
    <w:rsid w:val="00B4679D"/>
    <w:rsid w:val="00B46906"/>
    <w:rsid w:val="00B46954"/>
    <w:rsid w:val="00B46972"/>
    <w:rsid w:val="00B46B03"/>
    <w:rsid w:val="00B46E61"/>
    <w:rsid w:val="00B4724E"/>
    <w:rsid w:val="00B4730D"/>
    <w:rsid w:val="00B475ED"/>
    <w:rsid w:val="00B476A7"/>
    <w:rsid w:val="00B47D08"/>
    <w:rsid w:val="00B47E51"/>
    <w:rsid w:val="00B501D0"/>
    <w:rsid w:val="00B5063F"/>
    <w:rsid w:val="00B50663"/>
    <w:rsid w:val="00B508E1"/>
    <w:rsid w:val="00B509C2"/>
    <w:rsid w:val="00B50A15"/>
    <w:rsid w:val="00B50E7E"/>
    <w:rsid w:val="00B50F2E"/>
    <w:rsid w:val="00B51710"/>
    <w:rsid w:val="00B517A6"/>
    <w:rsid w:val="00B518A1"/>
    <w:rsid w:val="00B518C8"/>
    <w:rsid w:val="00B51ABB"/>
    <w:rsid w:val="00B51C5F"/>
    <w:rsid w:val="00B51E85"/>
    <w:rsid w:val="00B51F97"/>
    <w:rsid w:val="00B522A6"/>
    <w:rsid w:val="00B524BD"/>
    <w:rsid w:val="00B5271B"/>
    <w:rsid w:val="00B52AE3"/>
    <w:rsid w:val="00B52C47"/>
    <w:rsid w:val="00B52C59"/>
    <w:rsid w:val="00B52D09"/>
    <w:rsid w:val="00B52E08"/>
    <w:rsid w:val="00B52F50"/>
    <w:rsid w:val="00B530C4"/>
    <w:rsid w:val="00B53472"/>
    <w:rsid w:val="00B53755"/>
    <w:rsid w:val="00B53775"/>
    <w:rsid w:val="00B5395B"/>
    <w:rsid w:val="00B53AA6"/>
    <w:rsid w:val="00B53D05"/>
    <w:rsid w:val="00B53F4E"/>
    <w:rsid w:val="00B53F6C"/>
    <w:rsid w:val="00B540DF"/>
    <w:rsid w:val="00B542E2"/>
    <w:rsid w:val="00B5485C"/>
    <w:rsid w:val="00B5487A"/>
    <w:rsid w:val="00B54CBF"/>
    <w:rsid w:val="00B54D16"/>
    <w:rsid w:val="00B54E85"/>
    <w:rsid w:val="00B54EF2"/>
    <w:rsid w:val="00B551DC"/>
    <w:rsid w:val="00B555E3"/>
    <w:rsid w:val="00B5572D"/>
    <w:rsid w:val="00B55886"/>
    <w:rsid w:val="00B55AB5"/>
    <w:rsid w:val="00B55AD9"/>
    <w:rsid w:val="00B55D67"/>
    <w:rsid w:val="00B55DCB"/>
    <w:rsid w:val="00B55E04"/>
    <w:rsid w:val="00B55EE8"/>
    <w:rsid w:val="00B56227"/>
    <w:rsid w:val="00B5638D"/>
    <w:rsid w:val="00B564F1"/>
    <w:rsid w:val="00B56571"/>
    <w:rsid w:val="00B5659F"/>
    <w:rsid w:val="00B56999"/>
    <w:rsid w:val="00B56C94"/>
    <w:rsid w:val="00B56F29"/>
    <w:rsid w:val="00B56F87"/>
    <w:rsid w:val="00B570C0"/>
    <w:rsid w:val="00B57169"/>
    <w:rsid w:val="00B572FB"/>
    <w:rsid w:val="00B57501"/>
    <w:rsid w:val="00B5752C"/>
    <w:rsid w:val="00B57597"/>
    <w:rsid w:val="00B575F2"/>
    <w:rsid w:val="00B576ED"/>
    <w:rsid w:val="00B57843"/>
    <w:rsid w:val="00B57D33"/>
    <w:rsid w:val="00B57E3A"/>
    <w:rsid w:val="00B60034"/>
    <w:rsid w:val="00B601AE"/>
    <w:rsid w:val="00B6021C"/>
    <w:rsid w:val="00B60451"/>
    <w:rsid w:val="00B60FFA"/>
    <w:rsid w:val="00B613ED"/>
    <w:rsid w:val="00B61711"/>
    <w:rsid w:val="00B62158"/>
    <w:rsid w:val="00B622B9"/>
    <w:rsid w:val="00B6286B"/>
    <w:rsid w:val="00B628A1"/>
    <w:rsid w:val="00B62A6E"/>
    <w:rsid w:val="00B631DB"/>
    <w:rsid w:val="00B63286"/>
    <w:rsid w:val="00B63363"/>
    <w:rsid w:val="00B635FF"/>
    <w:rsid w:val="00B636E6"/>
    <w:rsid w:val="00B6380B"/>
    <w:rsid w:val="00B6387F"/>
    <w:rsid w:val="00B63971"/>
    <w:rsid w:val="00B63B6B"/>
    <w:rsid w:val="00B643CC"/>
    <w:rsid w:val="00B64754"/>
    <w:rsid w:val="00B64764"/>
    <w:rsid w:val="00B64800"/>
    <w:rsid w:val="00B64922"/>
    <w:rsid w:val="00B64B16"/>
    <w:rsid w:val="00B64B65"/>
    <w:rsid w:val="00B64D20"/>
    <w:rsid w:val="00B64F13"/>
    <w:rsid w:val="00B6501B"/>
    <w:rsid w:val="00B6521D"/>
    <w:rsid w:val="00B656D0"/>
    <w:rsid w:val="00B656DE"/>
    <w:rsid w:val="00B65CBB"/>
    <w:rsid w:val="00B65F30"/>
    <w:rsid w:val="00B65F70"/>
    <w:rsid w:val="00B66145"/>
    <w:rsid w:val="00B661D2"/>
    <w:rsid w:val="00B66235"/>
    <w:rsid w:val="00B6651C"/>
    <w:rsid w:val="00B6671E"/>
    <w:rsid w:val="00B66A02"/>
    <w:rsid w:val="00B66C6D"/>
    <w:rsid w:val="00B66CCB"/>
    <w:rsid w:val="00B66F0B"/>
    <w:rsid w:val="00B6710B"/>
    <w:rsid w:val="00B674AC"/>
    <w:rsid w:val="00B67766"/>
    <w:rsid w:val="00B678DC"/>
    <w:rsid w:val="00B678E9"/>
    <w:rsid w:val="00B67BAD"/>
    <w:rsid w:val="00B67BBD"/>
    <w:rsid w:val="00B67C46"/>
    <w:rsid w:val="00B67DCD"/>
    <w:rsid w:val="00B67DF2"/>
    <w:rsid w:val="00B67E93"/>
    <w:rsid w:val="00B67F15"/>
    <w:rsid w:val="00B70051"/>
    <w:rsid w:val="00B703DE"/>
    <w:rsid w:val="00B7041E"/>
    <w:rsid w:val="00B7047F"/>
    <w:rsid w:val="00B705FF"/>
    <w:rsid w:val="00B707D0"/>
    <w:rsid w:val="00B70F14"/>
    <w:rsid w:val="00B711EC"/>
    <w:rsid w:val="00B712D9"/>
    <w:rsid w:val="00B71374"/>
    <w:rsid w:val="00B71772"/>
    <w:rsid w:val="00B718E4"/>
    <w:rsid w:val="00B71A26"/>
    <w:rsid w:val="00B71AF7"/>
    <w:rsid w:val="00B7242D"/>
    <w:rsid w:val="00B724EC"/>
    <w:rsid w:val="00B72B24"/>
    <w:rsid w:val="00B72B4D"/>
    <w:rsid w:val="00B72BF2"/>
    <w:rsid w:val="00B72F94"/>
    <w:rsid w:val="00B7334B"/>
    <w:rsid w:val="00B73494"/>
    <w:rsid w:val="00B73575"/>
    <w:rsid w:val="00B737ED"/>
    <w:rsid w:val="00B73A28"/>
    <w:rsid w:val="00B73D77"/>
    <w:rsid w:val="00B74538"/>
    <w:rsid w:val="00B74593"/>
    <w:rsid w:val="00B74677"/>
    <w:rsid w:val="00B746AD"/>
    <w:rsid w:val="00B747E5"/>
    <w:rsid w:val="00B74ADA"/>
    <w:rsid w:val="00B74B50"/>
    <w:rsid w:val="00B74E16"/>
    <w:rsid w:val="00B74E8E"/>
    <w:rsid w:val="00B751DD"/>
    <w:rsid w:val="00B75297"/>
    <w:rsid w:val="00B752EE"/>
    <w:rsid w:val="00B75376"/>
    <w:rsid w:val="00B755E5"/>
    <w:rsid w:val="00B75747"/>
    <w:rsid w:val="00B75850"/>
    <w:rsid w:val="00B7590A"/>
    <w:rsid w:val="00B75C4A"/>
    <w:rsid w:val="00B75F48"/>
    <w:rsid w:val="00B75FB1"/>
    <w:rsid w:val="00B7605E"/>
    <w:rsid w:val="00B76075"/>
    <w:rsid w:val="00B76183"/>
    <w:rsid w:val="00B763B8"/>
    <w:rsid w:val="00B765A5"/>
    <w:rsid w:val="00B76939"/>
    <w:rsid w:val="00B76B5C"/>
    <w:rsid w:val="00B76B82"/>
    <w:rsid w:val="00B76E44"/>
    <w:rsid w:val="00B779CA"/>
    <w:rsid w:val="00B77A66"/>
    <w:rsid w:val="00B77AEC"/>
    <w:rsid w:val="00B77D9E"/>
    <w:rsid w:val="00B80A9D"/>
    <w:rsid w:val="00B80B39"/>
    <w:rsid w:val="00B80D78"/>
    <w:rsid w:val="00B80DEC"/>
    <w:rsid w:val="00B80E8F"/>
    <w:rsid w:val="00B80E93"/>
    <w:rsid w:val="00B8121B"/>
    <w:rsid w:val="00B81447"/>
    <w:rsid w:val="00B815A6"/>
    <w:rsid w:val="00B81875"/>
    <w:rsid w:val="00B818B9"/>
    <w:rsid w:val="00B818CA"/>
    <w:rsid w:val="00B81C4D"/>
    <w:rsid w:val="00B81FA3"/>
    <w:rsid w:val="00B8263A"/>
    <w:rsid w:val="00B82DCA"/>
    <w:rsid w:val="00B82DFD"/>
    <w:rsid w:val="00B82E14"/>
    <w:rsid w:val="00B82FB1"/>
    <w:rsid w:val="00B8369A"/>
    <w:rsid w:val="00B83787"/>
    <w:rsid w:val="00B83ADC"/>
    <w:rsid w:val="00B83C25"/>
    <w:rsid w:val="00B83F44"/>
    <w:rsid w:val="00B83F9A"/>
    <w:rsid w:val="00B83FE9"/>
    <w:rsid w:val="00B84422"/>
    <w:rsid w:val="00B84877"/>
    <w:rsid w:val="00B8495A"/>
    <w:rsid w:val="00B84AB1"/>
    <w:rsid w:val="00B84D88"/>
    <w:rsid w:val="00B84EA7"/>
    <w:rsid w:val="00B8521F"/>
    <w:rsid w:val="00B85320"/>
    <w:rsid w:val="00B85570"/>
    <w:rsid w:val="00B856AF"/>
    <w:rsid w:val="00B856BF"/>
    <w:rsid w:val="00B85B9A"/>
    <w:rsid w:val="00B85C0D"/>
    <w:rsid w:val="00B85C2C"/>
    <w:rsid w:val="00B85D25"/>
    <w:rsid w:val="00B85DCE"/>
    <w:rsid w:val="00B85DE3"/>
    <w:rsid w:val="00B85F51"/>
    <w:rsid w:val="00B86071"/>
    <w:rsid w:val="00B86155"/>
    <w:rsid w:val="00B861AB"/>
    <w:rsid w:val="00B8682B"/>
    <w:rsid w:val="00B868D3"/>
    <w:rsid w:val="00B869E5"/>
    <w:rsid w:val="00B86A60"/>
    <w:rsid w:val="00B86ABF"/>
    <w:rsid w:val="00B86C2E"/>
    <w:rsid w:val="00B86CB7"/>
    <w:rsid w:val="00B86D79"/>
    <w:rsid w:val="00B86EF9"/>
    <w:rsid w:val="00B870B2"/>
    <w:rsid w:val="00B870EF"/>
    <w:rsid w:val="00B8726B"/>
    <w:rsid w:val="00B87307"/>
    <w:rsid w:val="00B875B0"/>
    <w:rsid w:val="00B87A90"/>
    <w:rsid w:val="00B87A97"/>
    <w:rsid w:val="00B87D45"/>
    <w:rsid w:val="00B87D9F"/>
    <w:rsid w:val="00B87DBB"/>
    <w:rsid w:val="00B90321"/>
    <w:rsid w:val="00B907A6"/>
    <w:rsid w:val="00B90A92"/>
    <w:rsid w:val="00B90BB3"/>
    <w:rsid w:val="00B90F10"/>
    <w:rsid w:val="00B91225"/>
    <w:rsid w:val="00B91249"/>
    <w:rsid w:val="00B91305"/>
    <w:rsid w:val="00B913CB"/>
    <w:rsid w:val="00B915C2"/>
    <w:rsid w:val="00B91799"/>
    <w:rsid w:val="00B9187E"/>
    <w:rsid w:val="00B91913"/>
    <w:rsid w:val="00B91A80"/>
    <w:rsid w:val="00B91BEE"/>
    <w:rsid w:val="00B91C8D"/>
    <w:rsid w:val="00B91CEF"/>
    <w:rsid w:val="00B9211C"/>
    <w:rsid w:val="00B92304"/>
    <w:rsid w:val="00B92319"/>
    <w:rsid w:val="00B926A0"/>
    <w:rsid w:val="00B92709"/>
    <w:rsid w:val="00B92A38"/>
    <w:rsid w:val="00B92A79"/>
    <w:rsid w:val="00B92AE6"/>
    <w:rsid w:val="00B92BB7"/>
    <w:rsid w:val="00B92BC5"/>
    <w:rsid w:val="00B92DDD"/>
    <w:rsid w:val="00B92E10"/>
    <w:rsid w:val="00B92E67"/>
    <w:rsid w:val="00B92F10"/>
    <w:rsid w:val="00B9301C"/>
    <w:rsid w:val="00B9313C"/>
    <w:rsid w:val="00B932FB"/>
    <w:rsid w:val="00B93304"/>
    <w:rsid w:val="00B934E9"/>
    <w:rsid w:val="00B93543"/>
    <w:rsid w:val="00B9375C"/>
    <w:rsid w:val="00B937F0"/>
    <w:rsid w:val="00B93AA6"/>
    <w:rsid w:val="00B93AFA"/>
    <w:rsid w:val="00B93B37"/>
    <w:rsid w:val="00B93CA6"/>
    <w:rsid w:val="00B93CC1"/>
    <w:rsid w:val="00B93EF2"/>
    <w:rsid w:val="00B9429E"/>
    <w:rsid w:val="00B94556"/>
    <w:rsid w:val="00B94712"/>
    <w:rsid w:val="00B94875"/>
    <w:rsid w:val="00B94B25"/>
    <w:rsid w:val="00B94E03"/>
    <w:rsid w:val="00B95141"/>
    <w:rsid w:val="00B95171"/>
    <w:rsid w:val="00B95175"/>
    <w:rsid w:val="00B953E8"/>
    <w:rsid w:val="00B95474"/>
    <w:rsid w:val="00B954D8"/>
    <w:rsid w:val="00B95CD3"/>
    <w:rsid w:val="00B95E86"/>
    <w:rsid w:val="00B9612F"/>
    <w:rsid w:val="00B96395"/>
    <w:rsid w:val="00B9663E"/>
    <w:rsid w:val="00B9680A"/>
    <w:rsid w:val="00B96C60"/>
    <w:rsid w:val="00B96F07"/>
    <w:rsid w:val="00B96F6E"/>
    <w:rsid w:val="00B96F91"/>
    <w:rsid w:val="00B97400"/>
    <w:rsid w:val="00B97415"/>
    <w:rsid w:val="00B9744E"/>
    <w:rsid w:val="00B9798B"/>
    <w:rsid w:val="00B97AF9"/>
    <w:rsid w:val="00B97CEC"/>
    <w:rsid w:val="00B97D7B"/>
    <w:rsid w:val="00B97F67"/>
    <w:rsid w:val="00BA0394"/>
    <w:rsid w:val="00BA076A"/>
    <w:rsid w:val="00BA084D"/>
    <w:rsid w:val="00BA09AC"/>
    <w:rsid w:val="00BA0D75"/>
    <w:rsid w:val="00BA0D7F"/>
    <w:rsid w:val="00BA0EBD"/>
    <w:rsid w:val="00BA11A6"/>
    <w:rsid w:val="00BA1318"/>
    <w:rsid w:val="00BA178D"/>
    <w:rsid w:val="00BA1827"/>
    <w:rsid w:val="00BA1AD3"/>
    <w:rsid w:val="00BA1AEC"/>
    <w:rsid w:val="00BA2143"/>
    <w:rsid w:val="00BA23E5"/>
    <w:rsid w:val="00BA26FF"/>
    <w:rsid w:val="00BA2952"/>
    <w:rsid w:val="00BA3271"/>
    <w:rsid w:val="00BA3414"/>
    <w:rsid w:val="00BA34FD"/>
    <w:rsid w:val="00BA3555"/>
    <w:rsid w:val="00BA35AD"/>
    <w:rsid w:val="00BA35EF"/>
    <w:rsid w:val="00BA3823"/>
    <w:rsid w:val="00BA3940"/>
    <w:rsid w:val="00BA3D8A"/>
    <w:rsid w:val="00BA4015"/>
    <w:rsid w:val="00BA42AD"/>
    <w:rsid w:val="00BA433B"/>
    <w:rsid w:val="00BA4A07"/>
    <w:rsid w:val="00BA4C55"/>
    <w:rsid w:val="00BA4CF3"/>
    <w:rsid w:val="00BA4E98"/>
    <w:rsid w:val="00BA52AB"/>
    <w:rsid w:val="00BA53EA"/>
    <w:rsid w:val="00BA5415"/>
    <w:rsid w:val="00BA547A"/>
    <w:rsid w:val="00BA5A0C"/>
    <w:rsid w:val="00BA5B79"/>
    <w:rsid w:val="00BA5C56"/>
    <w:rsid w:val="00BA5DA0"/>
    <w:rsid w:val="00BA5E64"/>
    <w:rsid w:val="00BA5F21"/>
    <w:rsid w:val="00BA6100"/>
    <w:rsid w:val="00BA6283"/>
    <w:rsid w:val="00BA65FF"/>
    <w:rsid w:val="00BA67BC"/>
    <w:rsid w:val="00BA6890"/>
    <w:rsid w:val="00BA6898"/>
    <w:rsid w:val="00BA6948"/>
    <w:rsid w:val="00BA6C37"/>
    <w:rsid w:val="00BA6EBA"/>
    <w:rsid w:val="00BA7078"/>
    <w:rsid w:val="00BA746F"/>
    <w:rsid w:val="00BA7532"/>
    <w:rsid w:val="00BA7790"/>
    <w:rsid w:val="00BA7BCF"/>
    <w:rsid w:val="00BA7ED5"/>
    <w:rsid w:val="00BB0087"/>
    <w:rsid w:val="00BB035E"/>
    <w:rsid w:val="00BB04A1"/>
    <w:rsid w:val="00BB0844"/>
    <w:rsid w:val="00BB0915"/>
    <w:rsid w:val="00BB0ACF"/>
    <w:rsid w:val="00BB0D46"/>
    <w:rsid w:val="00BB0F6E"/>
    <w:rsid w:val="00BB1250"/>
    <w:rsid w:val="00BB1383"/>
    <w:rsid w:val="00BB15B2"/>
    <w:rsid w:val="00BB15B7"/>
    <w:rsid w:val="00BB1942"/>
    <w:rsid w:val="00BB1BCC"/>
    <w:rsid w:val="00BB1DBF"/>
    <w:rsid w:val="00BB1FFA"/>
    <w:rsid w:val="00BB2181"/>
    <w:rsid w:val="00BB21AD"/>
    <w:rsid w:val="00BB221D"/>
    <w:rsid w:val="00BB2226"/>
    <w:rsid w:val="00BB2500"/>
    <w:rsid w:val="00BB258B"/>
    <w:rsid w:val="00BB26CE"/>
    <w:rsid w:val="00BB26F0"/>
    <w:rsid w:val="00BB287D"/>
    <w:rsid w:val="00BB2E5C"/>
    <w:rsid w:val="00BB2EAB"/>
    <w:rsid w:val="00BB2EBE"/>
    <w:rsid w:val="00BB31C3"/>
    <w:rsid w:val="00BB33D1"/>
    <w:rsid w:val="00BB384E"/>
    <w:rsid w:val="00BB38A7"/>
    <w:rsid w:val="00BB3C09"/>
    <w:rsid w:val="00BB3FF3"/>
    <w:rsid w:val="00BB4239"/>
    <w:rsid w:val="00BB4389"/>
    <w:rsid w:val="00BB4B4C"/>
    <w:rsid w:val="00BB4C72"/>
    <w:rsid w:val="00BB4CAE"/>
    <w:rsid w:val="00BB5028"/>
    <w:rsid w:val="00BB5525"/>
    <w:rsid w:val="00BB55A2"/>
    <w:rsid w:val="00BB55B7"/>
    <w:rsid w:val="00BB57DB"/>
    <w:rsid w:val="00BB592B"/>
    <w:rsid w:val="00BB5ACC"/>
    <w:rsid w:val="00BB5BDB"/>
    <w:rsid w:val="00BB5EC7"/>
    <w:rsid w:val="00BB662F"/>
    <w:rsid w:val="00BB68FA"/>
    <w:rsid w:val="00BB6C70"/>
    <w:rsid w:val="00BB6DEC"/>
    <w:rsid w:val="00BB6E09"/>
    <w:rsid w:val="00BB6E96"/>
    <w:rsid w:val="00BB6F5D"/>
    <w:rsid w:val="00BB71FD"/>
    <w:rsid w:val="00BB7586"/>
    <w:rsid w:val="00BB75C0"/>
    <w:rsid w:val="00BB7631"/>
    <w:rsid w:val="00BB77D6"/>
    <w:rsid w:val="00BB780C"/>
    <w:rsid w:val="00BB7983"/>
    <w:rsid w:val="00BB7AAB"/>
    <w:rsid w:val="00BB7DA4"/>
    <w:rsid w:val="00BB7E1B"/>
    <w:rsid w:val="00BC0241"/>
    <w:rsid w:val="00BC02B8"/>
    <w:rsid w:val="00BC0338"/>
    <w:rsid w:val="00BC0425"/>
    <w:rsid w:val="00BC047F"/>
    <w:rsid w:val="00BC05B9"/>
    <w:rsid w:val="00BC07CD"/>
    <w:rsid w:val="00BC0C97"/>
    <w:rsid w:val="00BC1146"/>
    <w:rsid w:val="00BC16B2"/>
    <w:rsid w:val="00BC1A6A"/>
    <w:rsid w:val="00BC1D54"/>
    <w:rsid w:val="00BC1F9D"/>
    <w:rsid w:val="00BC21BF"/>
    <w:rsid w:val="00BC224E"/>
    <w:rsid w:val="00BC238B"/>
    <w:rsid w:val="00BC24C9"/>
    <w:rsid w:val="00BC2617"/>
    <w:rsid w:val="00BC26B4"/>
    <w:rsid w:val="00BC27B1"/>
    <w:rsid w:val="00BC2874"/>
    <w:rsid w:val="00BC29A5"/>
    <w:rsid w:val="00BC2C59"/>
    <w:rsid w:val="00BC2EC2"/>
    <w:rsid w:val="00BC2FE0"/>
    <w:rsid w:val="00BC3060"/>
    <w:rsid w:val="00BC30E9"/>
    <w:rsid w:val="00BC32D6"/>
    <w:rsid w:val="00BC34A7"/>
    <w:rsid w:val="00BC3521"/>
    <w:rsid w:val="00BC3A90"/>
    <w:rsid w:val="00BC3B48"/>
    <w:rsid w:val="00BC3C0F"/>
    <w:rsid w:val="00BC3DA1"/>
    <w:rsid w:val="00BC3F65"/>
    <w:rsid w:val="00BC4232"/>
    <w:rsid w:val="00BC49D5"/>
    <w:rsid w:val="00BC4D96"/>
    <w:rsid w:val="00BC4E25"/>
    <w:rsid w:val="00BC4F40"/>
    <w:rsid w:val="00BC4F61"/>
    <w:rsid w:val="00BC4FFE"/>
    <w:rsid w:val="00BC51DC"/>
    <w:rsid w:val="00BC535B"/>
    <w:rsid w:val="00BC5365"/>
    <w:rsid w:val="00BC541C"/>
    <w:rsid w:val="00BC5440"/>
    <w:rsid w:val="00BC59EA"/>
    <w:rsid w:val="00BC5A47"/>
    <w:rsid w:val="00BC5A5B"/>
    <w:rsid w:val="00BC6073"/>
    <w:rsid w:val="00BC615B"/>
    <w:rsid w:val="00BC61F3"/>
    <w:rsid w:val="00BC6275"/>
    <w:rsid w:val="00BC639E"/>
    <w:rsid w:val="00BC63AA"/>
    <w:rsid w:val="00BC66E3"/>
    <w:rsid w:val="00BC673B"/>
    <w:rsid w:val="00BC6811"/>
    <w:rsid w:val="00BC6B1D"/>
    <w:rsid w:val="00BC7421"/>
    <w:rsid w:val="00BC7511"/>
    <w:rsid w:val="00BC76DD"/>
    <w:rsid w:val="00BC7B30"/>
    <w:rsid w:val="00BC7B82"/>
    <w:rsid w:val="00BC7DF2"/>
    <w:rsid w:val="00BD003D"/>
    <w:rsid w:val="00BD0049"/>
    <w:rsid w:val="00BD006D"/>
    <w:rsid w:val="00BD0163"/>
    <w:rsid w:val="00BD0316"/>
    <w:rsid w:val="00BD13DB"/>
    <w:rsid w:val="00BD149B"/>
    <w:rsid w:val="00BD17F9"/>
    <w:rsid w:val="00BD180A"/>
    <w:rsid w:val="00BD199A"/>
    <w:rsid w:val="00BD2056"/>
    <w:rsid w:val="00BD205A"/>
    <w:rsid w:val="00BD2228"/>
    <w:rsid w:val="00BD26DE"/>
    <w:rsid w:val="00BD27D1"/>
    <w:rsid w:val="00BD280B"/>
    <w:rsid w:val="00BD282A"/>
    <w:rsid w:val="00BD2950"/>
    <w:rsid w:val="00BD2F85"/>
    <w:rsid w:val="00BD309C"/>
    <w:rsid w:val="00BD3151"/>
    <w:rsid w:val="00BD3743"/>
    <w:rsid w:val="00BD3A48"/>
    <w:rsid w:val="00BD406E"/>
    <w:rsid w:val="00BD44BF"/>
    <w:rsid w:val="00BD4592"/>
    <w:rsid w:val="00BD48D1"/>
    <w:rsid w:val="00BD4D8C"/>
    <w:rsid w:val="00BD50AF"/>
    <w:rsid w:val="00BD523B"/>
    <w:rsid w:val="00BD537C"/>
    <w:rsid w:val="00BD56A1"/>
    <w:rsid w:val="00BD5700"/>
    <w:rsid w:val="00BD57A2"/>
    <w:rsid w:val="00BD585D"/>
    <w:rsid w:val="00BD594A"/>
    <w:rsid w:val="00BD5A4A"/>
    <w:rsid w:val="00BD5B14"/>
    <w:rsid w:val="00BD5C6B"/>
    <w:rsid w:val="00BD5C78"/>
    <w:rsid w:val="00BD64FE"/>
    <w:rsid w:val="00BD675B"/>
    <w:rsid w:val="00BD68B1"/>
    <w:rsid w:val="00BD68DA"/>
    <w:rsid w:val="00BD691E"/>
    <w:rsid w:val="00BD6D6A"/>
    <w:rsid w:val="00BD7480"/>
    <w:rsid w:val="00BD7805"/>
    <w:rsid w:val="00BD7BE9"/>
    <w:rsid w:val="00BD7CC6"/>
    <w:rsid w:val="00BD7D69"/>
    <w:rsid w:val="00BD7DFD"/>
    <w:rsid w:val="00BD7F52"/>
    <w:rsid w:val="00BE00F9"/>
    <w:rsid w:val="00BE017D"/>
    <w:rsid w:val="00BE02B2"/>
    <w:rsid w:val="00BE046D"/>
    <w:rsid w:val="00BE05D1"/>
    <w:rsid w:val="00BE06D3"/>
    <w:rsid w:val="00BE08B2"/>
    <w:rsid w:val="00BE08FA"/>
    <w:rsid w:val="00BE08FC"/>
    <w:rsid w:val="00BE0A3A"/>
    <w:rsid w:val="00BE0C8B"/>
    <w:rsid w:val="00BE0CFF"/>
    <w:rsid w:val="00BE0D2B"/>
    <w:rsid w:val="00BE0ED7"/>
    <w:rsid w:val="00BE0F11"/>
    <w:rsid w:val="00BE1C03"/>
    <w:rsid w:val="00BE1CCA"/>
    <w:rsid w:val="00BE245E"/>
    <w:rsid w:val="00BE2501"/>
    <w:rsid w:val="00BE2773"/>
    <w:rsid w:val="00BE28DD"/>
    <w:rsid w:val="00BE2B67"/>
    <w:rsid w:val="00BE2D0C"/>
    <w:rsid w:val="00BE2DDC"/>
    <w:rsid w:val="00BE2E45"/>
    <w:rsid w:val="00BE2EE3"/>
    <w:rsid w:val="00BE3472"/>
    <w:rsid w:val="00BE3723"/>
    <w:rsid w:val="00BE3B74"/>
    <w:rsid w:val="00BE3C4C"/>
    <w:rsid w:val="00BE3D1F"/>
    <w:rsid w:val="00BE3D7A"/>
    <w:rsid w:val="00BE407E"/>
    <w:rsid w:val="00BE42F2"/>
    <w:rsid w:val="00BE47C9"/>
    <w:rsid w:val="00BE48C6"/>
    <w:rsid w:val="00BE4B1F"/>
    <w:rsid w:val="00BE4D99"/>
    <w:rsid w:val="00BE4EA5"/>
    <w:rsid w:val="00BE4EE5"/>
    <w:rsid w:val="00BE5422"/>
    <w:rsid w:val="00BE561C"/>
    <w:rsid w:val="00BE5638"/>
    <w:rsid w:val="00BE567D"/>
    <w:rsid w:val="00BE57C5"/>
    <w:rsid w:val="00BE57EC"/>
    <w:rsid w:val="00BE5864"/>
    <w:rsid w:val="00BE5984"/>
    <w:rsid w:val="00BE5C39"/>
    <w:rsid w:val="00BE5DC9"/>
    <w:rsid w:val="00BE5DD0"/>
    <w:rsid w:val="00BE5EB5"/>
    <w:rsid w:val="00BE6286"/>
    <w:rsid w:val="00BE6CA1"/>
    <w:rsid w:val="00BE6F54"/>
    <w:rsid w:val="00BE706F"/>
    <w:rsid w:val="00BE71A3"/>
    <w:rsid w:val="00BE7289"/>
    <w:rsid w:val="00BE731D"/>
    <w:rsid w:val="00BE752F"/>
    <w:rsid w:val="00BE75A9"/>
    <w:rsid w:val="00BE7650"/>
    <w:rsid w:val="00BE76C5"/>
    <w:rsid w:val="00BE7A84"/>
    <w:rsid w:val="00BE7C30"/>
    <w:rsid w:val="00BE7CF2"/>
    <w:rsid w:val="00BF0169"/>
    <w:rsid w:val="00BF03BC"/>
    <w:rsid w:val="00BF044D"/>
    <w:rsid w:val="00BF04D1"/>
    <w:rsid w:val="00BF0670"/>
    <w:rsid w:val="00BF0788"/>
    <w:rsid w:val="00BF0D73"/>
    <w:rsid w:val="00BF0ED9"/>
    <w:rsid w:val="00BF113B"/>
    <w:rsid w:val="00BF15E2"/>
    <w:rsid w:val="00BF1AA7"/>
    <w:rsid w:val="00BF1AB1"/>
    <w:rsid w:val="00BF1D42"/>
    <w:rsid w:val="00BF1F06"/>
    <w:rsid w:val="00BF2275"/>
    <w:rsid w:val="00BF245D"/>
    <w:rsid w:val="00BF24BD"/>
    <w:rsid w:val="00BF265F"/>
    <w:rsid w:val="00BF26E7"/>
    <w:rsid w:val="00BF2B33"/>
    <w:rsid w:val="00BF2BE0"/>
    <w:rsid w:val="00BF2BFB"/>
    <w:rsid w:val="00BF2CF6"/>
    <w:rsid w:val="00BF2D48"/>
    <w:rsid w:val="00BF3073"/>
    <w:rsid w:val="00BF3113"/>
    <w:rsid w:val="00BF3484"/>
    <w:rsid w:val="00BF3576"/>
    <w:rsid w:val="00BF35A9"/>
    <w:rsid w:val="00BF360E"/>
    <w:rsid w:val="00BF373B"/>
    <w:rsid w:val="00BF3758"/>
    <w:rsid w:val="00BF37F4"/>
    <w:rsid w:val="00BF38D6"/>
    <w:rsid w:val="00BF3967"/>
    <w:rsid w:val="00BF39E1"/>
    <w:rsid w:val="00BF3A03"/>
    <w:rsid w:val="00BF3CEF"/>
    <w:rsid w:val="00BF3E7D"/>
    <w:rsid w:val="00BF3FBF"/>
    <w:rsid w:val="00BF406B"/>
    <w:rsid w:val="00BF4476"/>
    <w:rsid w:val="00BF44B4"/>
    <w:rsid w:val="00BF4935"/>
    <w:rsid w:val="00BF498F"/>
    <w:rsid w:val="00BF49E9"/>
    <w:rsid w:val="00BF4B25"/>
    <w:rsid w:val="00BF4B71"/>
    <w:rsid w:val="00BF4B75"/>
    <w:rsid w:val="00BF4CB6"/>
    <w:rsid w:val="00BF4CCF"/>
    <w:rsid w:val="00BF4D18"/>
    <w:rsid w:val="00BF4F47"/>
    <w:rsid w:val="00BF5184"/>
    <w:rsid w:val="00BF53AA"/>
    <w:rsid w:val="00BF5552"/>
    <w:rsid w:val="00BF572E"/>
    <w:rsid w:val="00BF59E4"/>
    <w:rsid w:val="00BF5C1C"/>
    <w:rsid w:val="00BF5DA1"/>
    <w:rsid w:val="00BF5FEB"/>
    <w:rsid w:val="00BF616F"/>
    <w:rsid w:val="00BF65F2"/>
    <w:rsid w:val="00BF677E"/>
    <w:rsid w:val="00BF69FE"/>
    <w:rsid w:val="00BF6A51"/>
    <w:rsid w:val="00BF6BCF"/>
    <w:rsid w:val="00BF6CC6"/>
    <w:rsid w:val="00BF6D17"/>
    <w:rsid w:val="00BF6DEB"/>
    <w:rsid w:val="00BF70AC"/>
    <w:rsid w:val="00BF746A"/>
    <w:rsid w:val="00BF7672"/>
    <w:rsid w:val="00BF791F"/>
    <w:rsid w:val="00BF7A49"/>
    <w:rsid w:val="00BF7A89"/>
    <w:rsid w:val="00BF7BDD"/>
    <w:rsid w:val="00BF7E9E"/>
    <w:rsid w:val="00C00263"/>
    <w:rsid w:val="00C00385"/>
    <w:rsid w:val="00C003B7"/>
    <w:rsid w:val="00C00458"/>
    <w:rsid w:val="00C00538"/>
    <w:rsid w:val="00C00627"/>
    <w:rsid w:val="00C0066F"/>
    <w:rsid w:val="00C006EA"/>
    <w:rsid w:val="00C00AD2"/>
    <w:rsid w:val="00C00CDC"/>
    <w:rsid w:val="00C00EF4"/>
    <w:rsid w:val="00C00F3F"/>
    <w:rsid w:val="00C01016"/>
    <w:rsid w:val="00C010C6"/>
    <w:rsid w:val="00C01332"/>
    <w:rsid w:val="00C013D5"/>
    <w:rsid w:val="00C01619"/>
    <w:rsid w:val="00C01697"/>
    <w:rsid w:val="00C02064"/>
    <w:rsid w:val="00C02158"/>
    <w:rsid w:val="00C024D4"/>
    <w:rsid w:val="00C026B5"/>
    <w:rsid w:val="00C02773"/>
    <w:rsid w:val="00C02D53"/>
    <w:rsid w:val="00C02E46"/>
    <w:rsid w:val="00C03191"/>
    <w:rsid w:val="00C0332E"/>
    <w:rsid w:val="00C0350A"/>
    <w:rsid w:val="00C036F6"/>
    <w:rsid w:val="00C04022"/>
    <w:rsid w:val="00C04261"/>
    <w:rsid w:val="00C04366"/>
    <w:rsid w:val="00C04486"/>
    <w:rsid w:val="00C044D9"/>
    <w:rsid w:val="00C045E7"/>
    <w:rsid w:val="00C04847"/>
    <w:rsid w:val="00C048B8"/>
    <w:rsid w:val="00C04A2F"/>
    <w:rsid w:val="00C04CDD"/>
    <w:rsid w:val="00C04CF3"/>
    <w:rsid w:val="00C04DEF"/>
    <w:rsid w:val="00C04EC4"/>
    <w:rsid w:val="00C04F2B"/>
    <w:rsid w:val="00C04FC2"/>
    <w:rsid w:val="00C04FCA"/>
    <w:rsid w:val="00C05257"/>
    <w:rsid w:val="00C0530A"/>
    <w:rsid w:val="00C053D5"/>
    <w:rsid w:val="00C06159"/>
    <w:rsid w:val="00C06180"/>
    <w:rsid w:val="00C061FD"/>
    <w:rsid w:val="00C0664A"/>
    <w:rsid w:val="00C0687C"/>
    <w:rsid w:val="00C06932"/>
    <w:rsid w:val="00C06955"/>
    <w:rsid w:val="00C06B4F"/>
    <w:rsid w:val="00C06C7A"/>
    <w:rsid w:val="00C06E3D"/>
    <w:rsid w:val="00C07230"/>
    <w:rsid w:val="00C07373"/>
    <w:rsid w:val="00C07457"/>
    <w:rsid w:val="00C078C1"/>
    <w:rsid w:val="00C079A9"/>
    <w:rsid w:val="00C07A0F"/>
    <w:rsid w:val="00C07ABB"/>
    <w:rsid w:val="00C07DDE"/>
    <w:rsid w:val="00C103F2"/>
    <w:rsid w:val="00C1041D"/>
    <w:rsid w:val="00C1043D"/>
    <w:rsid w:val="00C108F8"/>
    <w:rsid w:val="00C10B4D"/>
    <w:rsid w:val="00C10B54"/>
    <w:rsid w:val="00C10BD1"/>
    <w:rsid w:val="00C10D65"/>
    <w:rsid w:val="00C10FFD"/>
    <w:rsid w:val="00C110AD"/>
    <w:rsid w:val="00C1163B"/>
    <w:rsid w:val="00C11840"/>
    <w:rsid w:val="00C1205D"/>
    <w:rsid w:val="00C120A7"/>
    <w:rsid w:val="00C12130"/>
    <w:rsid w:val="00C121EC"/>
    <w:rsid w:val="00C1228B"/>
    <w:rsid w:val="00C1241F"/>
    <w:rsid w:val="00C1266A"/>
    <w:rsid w:val="00C127C8"/>
    <w:rsid w:val="00C12832"/>
    <w:rsid w:val="00C1287B"/>
    <w:rsid w:val="00C12B34"/>
    <w:rsid w:val="00C12B46"/>
    <w:rsid w:val="00C12B62"/>
    <w:rsid w:val="00C12D34"/>
    <w:rsid w:val="00C13035"/>
    <w:rsid w:val="00C130AB"/>
    <w:rsid w:val="00C1379F"/>
    <w:rsid w:val="00C137DC"/>
    <w:rsid w:val="00C138BE"/>
    <w:rsid w:val="00C13C37"/>
    <w:rsid w:val="00C13E05"/>
    <w:rsid w:val="00C13F8F"/>
    <w:rsid w:val="00C14077"/>
    <w:rsid w:val="00C141A7"/>
    <w:rsid w:val="00C143ED"/>
    <w:rsid w:val="00C144CD"/>
    <w:rsid w:val="00C146EA"/>
    <w:rsid w:val="00C147DE"/>
    <w:rsid w:val="00C14806"/>
    <w:rsid w:val="00C14852"/>
    <w:rsid w:val="00C14B67"/>
    <w:rsid w:val="00C14C20"/>
    <w:rsid w:val="00C14C84"/>
    <w:rsid w:val="00C14D4A"/>
    <w:rsid w:val="00C14F12"/>
    <w:rsid w:val="00C14F4C"/>
    <w:rsid w:val="00C14FB2"/>
    <w:rsid w:val="00C14FFF"/>
    <w:rsid w:val="00C15023"/>
    <w:rsid w:val="00C15141"/>
    <w:rsid w:val="00C152BC"/>
    <w:rsid w:val="00C1540B"/>
    <w:rsid w:val="00C15410"/>
    <w:rsid w:val="00C155A6"/>
    <w:rsid w:val="00C15907"/>
    <w:rsid w:val="00C15979"/>
    <w:rsid w:val="00C15A39"/>
    <w:rsid w:val="00C15AF7"/>
    <w:rsid w:val="00C15ED2"/>
    <w:rsid w:val="00C1606C"/>
    <w:rsid w:val="00C1610F"/>
    <w:rsid w:val="00C16413"/>
    <w:rsid w:val="00C16608"/>
    <w:rsid w:val="00C1662E"/>
    <w:rsid w:val="00C16699"/>
    <w:rsid w:val="00C167F3"/>
    <w:rsid w:val="00C1682E"/>
    <w:rsid w:val="00C16B0A"/>
    <w:rsid w:val="00C16DE7"/>
    <w:rsid w:val="00C16F01"/>
    <w:rsid w:val="00C16FB4"/>
    <w:rsid w:val="00C16FE9"/>
    <w:rsid w:val="00C172C8"/>
    <w:rsid w:val="00C17593"/>
    <w:rsid w:val="00C1794B"/>
    <w:rsid w:val="00C17AF7"/>
    <w:rsid w:val="00C17B8B"/>
    <w:rsid w:val="00C17BD7"/>
    <w:rsid w:val="00C17C19"/>
    <w:rsid w:val="00C17FAE"/>
    <w:rsid w:val="00C20280"/>
    <w:rsid w:val="00C202B2"/>
    <w:rsid w:val="00C202ED"/>
    <w:rsid w:val="00C20363"/>
    <w:rsid w:val="00C20962"/>
    <w:rsid w:val="00C209C9"/>
    <w:rsid w:val="00C20AC5"/>
    <w:rsid w:val="00C20C70"/>
    <w:rsid w:val="00C20D63"/>
    <w:rsid w:val="00C20DD2"/>
    <w:rsid w:val="00C20DF5"/>
    <w:rsid w:val="00C20EEA"/>
    <w:rsid w:val="00C21328"/>
    <w:rsid w:val="00C213EE"/>
    <w:rsid w:val="00C2146E"/>
    <w:rsid w:val="00C21D99"/>
    <w:rsid w:val="00C21DE3"/>
    <w:rsid w:val="00C22054"/>
    <w:rsid w:val="00C2257D"/>
    <w:rsid w:val="00C22656"/>
    <w:rsid w:val="00C227FC"/>
    <w:rsid w:val="00C22995"/>
    <w:rsid w:val="00C229C1"/>
    <w:rsid w:val="00C22A5D"/>
    <w:rsid w:val="00C22CF9"/>
    <w:rsid w:val="00C231C8"/>
    <w:rsid w:val="00C233A6"/>
    <w:rsid w:val="00C2358A"/>
    <w:rsid w:val="00C236DC"/>
    <w:rsid w:val="00C2374F"/>
    <w:rsid w:val="00C23827"/>
    <w:rsid w:val="00C23930"/>
    <w:rsid w:val="00C23B5B"/>
    <w:rsid w:val="00C23BD5"/>
    <w:rsid w:val="00C23C08"/>
    <w:rsid w:val="00C23C33"/>
    <w:rsid w:val="00C23F0F"/>
    <w:rsid w:val="00C23F28"/>
    <w:rsid w:val="00C24167"/>
    <w:rsid w:val="00C2423C"/>
    <w:rsid w:val="00C24401"/>
    <w:rsid w:val="00C244FC"/>
    <w:rsid w:val="00C245E4"/>
    <w:rsid w:val="00C2462D"/>
    <w:rsid w:val="00C24756"/>
    <w:rsid w:val="00C24828"/>
    <w:rsid w:val="00C248C3"/>
    <w:rsid w:val="00C2497E"/>
    <w:rsid w:val="00C250BB"/>
    <w:rsid w:val="00C250CA"/>
    <w:rsid w:val="00C25A4F"/>
    <w:rsid w:val="00C25A73"/>
    <w:rsid w:val="00C25AA2"/>
    <w:rsid w:val="00C25BD4"/>
    <w:rsid w:val="00C25C98"/>
    <w:rsid w:val="00C25D5B"/>
    <w:rsid w:val="00C25EEA"/>
    <w:rsid w:val="00C25F66"/>
    <w:rsid w:val="00C26207"/>
    <w:rsid w:val="00C263C8"/>
    <w:rsid w:val="00C2666E"/>
    <w:rsid w:val="00C266DF"/>
    <w:rsid w:val="00C267D9"/>
    <w:rsid w:val="00C26813"/>
    <w:rsid w:val="00C26835"/>
    <w:rsid w:val="00C26A15"/>
    <w:rsid w:val="00C26A9C"/>
    <w:rsid w:val="00C26B13"/>
    <w:rsid w:val="00C26D60"/>
    <w:rsid w:val="00C26EA0"/>
    <w:rsid w:val="00C27017"/>
    <w:rsid w:val="00C270A1"/>
    <w:rsid w:val="00C27423"/>
    <w:rsid w:val="00C274FE"/>
    <w:rsid w:val="00C275FF"/>
    <w:rsid w:val="00C276A6"/>
    <w:rsid w:val="00C278D4"/>
    <w:rsid w:val="00C279CE"/>
    <w:rsid w:val="00C27BF4"/>
    <w:rsid w:val="00C300CC"/>
    <w:rsid w:val="00C30507"/>
    <w:rsid w:val="00C3053F"/>
    <w:rsid w:val="00C30609"/>
    <w:rsid w:val="00C30841"/>
    <w:rsid w:val="00C30964"/>
    <w:rsid w:val="00C30AF4"/>
    <w:rsid w:val="00C30F04"/>
    <w:rsid w:val="00C31085"/>
    <w:rsid w:val="00C312EA"/>
    <w:rsid w:val="00C313D4"/>
    <w:rsid w:val="00C315D7"/>
    <w:rsid w:val="00C31720"/>
    <w:rsid w:val="00C3185F"/>
    <w:rsid w:val="00C31912"/>
    <w:rsid w:val="00C3192E"/>
    <w:rsid w:val="00C31DE2"/>
    <w:rsid w:val="00C31F2A"/>
    <w:rsid w:val="00C31FA7"/>
    <w:rsid w:val="00C31FDB"/>
    <w:rsid w:val="00C32019"/>
    <w:rsid w:val="00C32031"/>
    <w:rsid w:val="00C32082"/>
    <w:rsid w:val="00C32349"/>
    <w:rsid w:val="00C3288A"/>
    <w:rsid w:val="00C32E9C"/>
    <w:rsid w:val="00C32F86"/>
    <w:rsid w:val="00C33487"/>
    <w:rsid w:val="00C335F7"/>
    <w:rsid w:val="00C337F5"/>
    <w:rsid w:val="00C3390F"/>
    <w:rsid w:val="00C3392D"/>
    <w:rsid w:val="00C33D7E"/>
    <w:rsid w:val="00C34103"/>
    <w:rsid w:val="00C34424"/>
    <w:rsid w:val="00C344F8"/>
    <w:rsid w:val="00C34561"/>
    <w:rsid w:val="00C345B6"/>
    <w:rsid w:val="00C347AF"/>
    <w:rsid w:val="00C34887"/>
    <w:rsid w:val="00C348D2"/>
    <w:rsid w:val="00C34982"/>
    <w:rsid w:val="00C349D6"/>
    <w:rsid w:val="00C34A15"/>
    <w:rsid w:val="00C34BB4"/>
    <w:rsid w:val="00C34D9B"/>
    <w:rsid w:val="00C34DC6"/>
    <w:rsid w:val="00C34E67"/>
    <w:rsid w:val="00C34EF9"/>
    <w:rsid w:val="00C34F33"/>
    <w:rsid w:val="00C35306"/>
    <w:rsid w:val="00C35589"/>
    <w:rsid w:val="00C3596A"/>
    <w:rsid w:val="00C359C4"/>
    <w:rsid w:val="00C35B7E"/>
    <w:rsid w:val="00C35BAE"/>
    <w:rsid w:val="00C35FFE"/>
    <w:rsid w:val="00C3631C"/>
    <w:rsid w:val="00C367B8"/>
    <w:rsid w:val="00C367FC"/>
    <w:rsid w:val="00C36896"/>
    <w:rsid w:val="00C36F47"/>
    <w:rsid w:val="00C37056"/>
    <w:rsid w:val="00C373F9"/>
    <w:rsid w:val="00C375F9"/>
    <w:rsid w:val="00C376D5"/>
    <w:rsid w:val="00C37736"/>
    <w:rsid w:val="00C3774A"/>
    <w:rsid w:val="00C37913"/>
    <w:rsid w:val="00C3798E"/>
    <w:rsid w:val="00C37A54"/>
    <w:rsid w:val="00C37BBB"/>
    <w:rsid w:val="00C4008B"/>
    <w:rsid w:val="00C400F2"/>
    <w:rsid w:val="00C4017D"/>
    <w:rsid w:val="00C40352"/>
    <w:rsid w:val="00C406AC"/>
    <w:rsid w:val="00C40961"/>
    <w:rsid w:val="00C40989"/>
    <w:rsid w:val="00C40AA3"/>
    <w:rsid w:val="00C40ACD"/>
    <w:rsid w:val="00C40B79"/>
    <w:rsid w:val="00C40CC1"/>
    <w:rsid w:val="00C40D10"/>
    <w:rsid w:val="00C41194"/>
    <w:rsid w:val="00C412CB"/>
    <w:rsid w:val="00C41310"/>
    <w:rsid w:val="00C41484"/>
    <w:rsid w:val="00C41725"/>
    <w:rsid w:val="00C417BC"/>
    <w:rsid w:val="00C41819"/>
    <w:rsid w:val="00C418E4"/>
    <w:rsid w:val="00C41F1C"/>
    <w:rsid w:val="00C42046"/>
    <w:rsid w:val="00C427FD"/>
    <w:rsid w:val="00C429DA"/>
    <w:rsid w:val="00C42D46"/>
    <w:rsid w:val="00C430E5"/>
    <w:rsid w:val="00C4344C"/>
    <w:rsid w:val="00C43858"/>
    <w:rsid w:val="00C43900"/>
    <w:rsid w:val="00C439B3"/>
    <w:rsid w:val="00C43B09"/>
    <w:rsid w:val="00C43C41"/>
    <w:rsid w:val="00C43C61"/>
    <w:rsid w:val="00C43CAF"/>
    <w:rsid w:val="00C43E4C"/>
    <w:rsid w:val="00C4412B"/>
    <w:rsid w:val="00C4413C"/>
    <w:rsid w:val="00C4433A"/>
    <w:rsid w:val="00C445DC"/>
    <w:rsid w:val="00C44AF2"/>
    <w:rsid w:val="00C44D51"/>
    <w:rsid w:val="00C44EE1"/>
    <w:rsid w:val="00C45138"/>
    <w:rsid w:val="00C4514B"/>
    <w:rsid w:val="00C45ED4"/>
    <w:rsid w:val="00C460A6"/>
    <w:rsid w:val="00C46596"/>
    <w:rsid w:val="00C4698B"/>
    <w:rsid w:val="00C46A3D"/>
    <w:rsid w:val="00C46A73"/>
    <w:rsid w:val="00C46AA2"/>
    <w:rsid w:val="00C46AE7"/>
    <w:rsid w:val="00C46EEB"/>
    <w:rsid w:val="00C471BC"/>
    <w:rsid w:val="00C471C2"/>
    <w:rsid w:val="00C475FD"/>
    <w:rsid w:val="00C47760"/>
    <w:rsid w:val="00C4782A"/>
    <w:rsid w:val="00C47842"/>
    <w:rsid w:val="00C47C2C"/>
    <w:rsid w:val="00C47F4D"/>
    <w:rsid w:val="00C47F61"/>
    <w:rsid w:val="00C47F7A"/>
    <w:rsid w:val="00C47FC6"/>
    <w:rsid w:val="00C5017A"/>
    <w:rsid w:val="00C502E9"/>
    <w:rsid w:val="00C50714"/>
    <w:rsid w:val="00C50CBB"/>
    <w:rsid w:val="00C511C2"/>
    <w:rsid w:val="00C5141C"/>
    <w:rsid w:val="00C514EE"/>
    <w:rsid w:val="00C514F1"/>
    <w:rsid w:val="00C51558"/>
    <w:rsid w:val="00C517B3"/>
    <w:rsid w:val="00C517C8"/>
    <w:rsid w:val="00C51A1D"/>
    <w:rsid w:val="00C51C07"/>
    <w:rsid w:val="00C51D40"/>
    <w:rsid w:val="00C52082"/>
    <w:rsid w:val="00C5214A"/>
    <w:rsid w:val="00C52251"/>
    <w:rsid w:val="00C523B5"/>
    <w:rsid w:val="00C523BD"/>
    <w:rsid w:val="00C52A1C"/>
    <w:rsid w:val="00C53130"/>
    <w:rsid w:val="00C5324A"/>
    <w:rsid w:val="00C53298"/>
    <w:rsid w:val="00C532DE"/>
    <w:rsid w:val="00C536D2"/>
    <w:rsid w:val="00C53917"/>
    <w:rsid w:val="00C53996"/>
    <w:rsid w:val="00C53997"/>
    <w:rsid w:val="00C539CE"/>
    <w:rsid w:val="00C540C5"/>
    <w:rsid w:val="00C54175"/>
    <w:rsid w:val="00C54370"/>
    <w:rsid w:val="00C54664"/>
    <w:rsid w:val="00C546A1"/>
    <w:rsid w:val="00C54AC0"/>
    <w:rsid w:val="00C54B56"/>
    <w:rsid w:val="00C54BC7"/>
    <w:rsid w:val="00C54D3A"/>
    <w:rsid w:val="00C54EA2"/>
    <w:rsid w:val="00C54F28"/>
    <w:rsid w:val="00C54F8E"/>
    <w:rsid w:val="00C55BAF"/>
    <w:rsid w:val="00C55C77"/>
    <w:rsid w:val="00C55CBD"/>
    <w:rsid w:val="00C56052"/>
    <w:rsid w:val="00C560DC"/>
    <w:rsid w:val="00C56287"/>
    <w:rsid w:val="00C563CB"/>
    <w:rsid w:val="00C563D7"/>
    <w:rsid w:val="00C566B2"/>
    <w:rsid w:val="00C56C3D"/>
    <w:rsid w:val="00C57275"/>
    <w:rsid w:val="00C578D0"/>
    <w:rsid w:val="00C57A76"/>
    <w:rsid w:val="00C57B1B"/>
    <w:rsid w:val="00C57E15"/>
    <w:rsid w:val="00C57E1A"/>
    <w:rsid w:val="00C57E1D"/>
    <w:rsid w:val="00C57E23"/>
    <w:rsid w:val="00C57E61"/>
    <w:rsid w:val="00C600A6"/>
    <w:rsid w:val="00C6020F"/>
    <w:rsid w:val="00C6031E"/>
    <w:rsid w:val="00C6034D"/>
    <w:rsid w:val="00C60670"/>
    <w:rsid w:val="00C60A86"/>
    <w:rsid w:val="00C60BFD"/>
    <w:rsid w:val="00C60D01"/>
    <w:rsid w:val="00C60E35"/>
    <w:rsid w:val="00C60F59"/>
    <w:rsid w:val="00C61455"/>
    <w:rsid w:val="00C6152F"/>
    <w:rsid w:val="00C615AF"/>
    <w:rsid w:val="00C61998"/>
    <w:rsid w:val="00C61BF8"/>
    <w:rsid w:val="00C61EBB"/>
    <w:rsid w:val="00C622DC"/>
    <w:rsid w:val="00C625C3"/>
    <w:rsid w:val="00C62A4A"/>
    <w:rsid w:val="00C62CA5"/>
    <w:rsid w:val="00C62D03"/>
    <w:rsid w:val="00C62E1C"/>
    <w:rsid w:val="00C6303B"/>
    <w:rsid w:val="00C63076"/>
    <w:rsid w:val="00C6325D"/>
    <w:rsid w:val="00C6334F"/>
    <w:rsid w:val="00C639EF"/>
    <w:rsid w:val="00C63FAD"/>
    <w:rsid w:val="00C64017"/>
    <w:rsid w:val="00C64211"/>
    <w:rsid w:val="00C642D6"/>
    <w:rsid w:val="00C64481"/>
    <w:rsid w:val="00C645D4"/>
    <w:rsid w:val="00C64712"/>
    <w:rsid w:val="00C6478C"/>
    <w:rsid w:val="00C6479B"/>
    <w:rsid w:val="00C6491E"/>
    <w:rsid w:val="00C64AC8"/>
    <w:rsid w:val="00C64F03"/>
    <w:rsid w:val="00C64F20"/>
    <w:rsid w:val="00C65386"/>
    <w:rsid w:val="00C65435"/>
    <w:rsid w:val="00C65610"/>
    <w:rsid w:val="00C65700"/>
    <w:rsid w:val="00C6581E"/>
    <w:rsid w:val="00C658E6"/>
    <w:rsid w:val="00C65D42"/>
    <w:rsid w:val="00C65D4D"/>
    <w:rsid w:val="00C65EA7"/>
    <w:rsid w:val="00C65EF4"/>
    <w:rsid w:val="00C65F30"/>
    <w:rsid w:val="00C65F45"/>
    <w:rsid w:val="00C66316"/>
    <w:rsid w:val="00C669A5"/>
    <w:rsid w:val="00C66A6B"/>
    <w:rsid w:val="00C66CDB"/>
    <w:rsid w:val="00C66D08"/>
    <w:rsid w:val="00C66D39"/>
    <w:rsid w:val="00C6721C"/>
    <w:rsid w:val="00C67AFF"/>
    <w:rsid w:val="00C67CDA"/>
    <w:rsid w:val="00C67EF6"/>
    <w:rsid w:val="00C70077"/>
    <w:rsid w:val="00C7052E"/>
    <w:rsid w:val="00C70646"/>
    <w:rsid w:val="00C7077E"/>
    <w:rsid w:val="00C70A9C"/>
    <w:rsid w:val="00C70C1B"/>
    <w:rsid w:val="00C70C66"/>
    <w:rsid w:val="00C70CCF"/>
    <w:rsid w:val="00C70D8D"/>
    <w:rsid w:val="00C70DD3"/>
    <w:rsid w:val="00C70F0C"/>
    <w:rsid w:val="00C70FE3"/>
    <w:rsid w:val="00C71399"/>
    <w:rsid w:val="00C71700"/>
    <w:rsid w:val="00C71877"/>
    <w:rsid w:val="00C71A7C"/>
    <w:rsid w:val="00C71AD9"/>
    <w:rsid w:val="00C72178"/>
    <w:rsid w:val="00C7217A"/>
    <w:rsid w:val="00C729B6"/>
    <w:rsid w:val="00C72BFF"/>
    <w:rsid w:val="00C72C4B"/>
    <w:rsid w:val="00C72DD5"/>
    <w:rsid w:val="00C73185"/>
    <w:rsid w:val="00C734C1"/>
    <w:rsid w:val="00C738E2"/>
    <w:rsid w:val="00C73E3D"/>
    <w:rsid w:val="00C73E6A"/>
    <w:rsid w:val="00C742BC"/>
    <w:rsid w:val="00C74882"/>
    <w:rsid w:val="00C7488F"/>
    <w:rsid w:val="00C748D4"/>
    <w:rsid w:val="00C74A71"/>
    <w:rsid w:val="00C74E69"/>
    <w:rsid w:val="00C74F0D"/>
    <w:rsid w:val="00C75366"/>
    <w:rsid w:val="00C756C4"/>
    <w:rsid w:val="00C7570E"/>
    <w:rsid w:val="00C7576D"/>
    <w:rsid w:val="00C75E27"/>
    <w:rsid w:val="00C75E64"/>
    <w:rsid w:val="00C7681A"/>
    <w:rsid w:val="00C76885"/>
    <w:rsid w:val="00C768E9"/>
    <w:rsid w:val="00C76AE9"/>
    <w:rsid w:val="00C76D94"/>
    <w:rsid w:val="00C7700D"/>
    <w:rsid w:val="00C7744B"/>
    <w:rsid w:val="00C774A7"/>
    <w:rsid w:val="00C775A2"/>
    <w:rsid w:val="00C775F4"/>
    <w:rsid w:val="00C7762F"/>
    <w:rsid w:val="00C77769"/>
    <w:rsid w:val="00C777B0"/>
    <w:rsid w:val="00C779CA"/>
    <w:rsid w:val="00C77B98"/>
    <w:rsid w:val="00C77D97"/>
    <w:rsid w:val="00C77DE3"/>
    <w:rsid w:val="00C77F6D"/>
    <w:rsid w:val="00C77FCC"/>
    <w:rsid w:val="00C80086"/>
    <w:rsid w:val="00C8010F"/>
    <w:rsid w:val="00C803CF"/>
    <w:rsid w:val="00C8073E"/>
    <w:rsid w:val="00C8077D"/>
    <w:rsid w:val="00C807FC"/>
    <w:rsid w:val="00C80939"/>
    <w:rsid w:val="00C809A9"/>
    <w:rsid w:val="00C80A6B"/>
    <w:rsid w:val="00C80C69"/>
    <w:rsid w:val="00C80F87"/>
    <w:rsid w:val="00C80FA8"/>
    <w:rsid w:val="00C81194"/>
    <w:rsid w:val="00C8135A"/>
    <w:rsid w:val="00C81741"/>
    <w:rsid w:val="00C81912"/>
    <w:rsid w:val="00C81A01"/>
    <w:rsid w:val="00C81C97"/>
    <w:rsid w:val="00C81DF7"/>
    <w:rsid w:val="00C82158"/>
    <w:rsid w:val="00C82277"/>
    <w:rsid w:val="00C822FA"/>
    <w:rsid w:val="00C823A8"/>
    <w:rsid w:val="00C824DB"/>
    <w:rsid w:val="00C824E3"/>
    <w:rsid w:val="00C8259A"/>
    <w:rsid w:val="00C8274C"/>
    <w:rsid w:val="00C829E7"/>
    <w:rsid w:val="00C82CC2"/>
    <w:rsid w:val="00C82DAF"/>
    <w:rsid w:val="00C83449"/>
    <w:rsid w:val="00C83696"/>
    <w:rsid w:val="00C836D7"/>
    <w:rsid w:val="00C83889"/>
    <w:rsid w:val="00C838E6"/>
    <w:rsid w:val="00C83921"/>
    <w:rsid w:val="00C839D5"/>
    <w:rsid w:val="00C83C85"/>
    <w:rsid w:val="00C84140"/>
    <w:rsid w:val="00C84521"/>
    <w:rsid w:val="00C84655"/>
    <w:rsid w:val="00C84BBB"/>
    <w:rsid w:val="00C85089"/>
    <w:rsid w:val="00C851B9"/>
    <w:rsid w:val="00C851C2"/>
    <w:rsid w:val="00C853DD"/>
    <w:rsid w:val="00C85816"/>
    <w:rsid w:val="00C85B22"/>
    <w:rsid w:val="00C85C3D"/>
    <w:rsid w:val="00C85DFF"/>
    <w:rsid w:val="00C85E1E"/>
    <w:rsid w:val="00C86254"/>
    <w:rsid w:val="00C8631C"/>
    <w:rsid w:val="00C8643C"/>
    <w:rsid w:val="00C8665D"/>
    <w:rsid w:val="00C86798"/>
    <w:rsid w:val="00C86811"/>
    <w:rsid w:val="00C868F9"/>
    <w:rsid w:val="00C86AEB"/>
    <w:rsid w:val="00C86C03"/>
    <w:rsid w:val="00C86C8A"/>
    <w:rsid w:val="00C86CD6"/>
    <w:rsid w:val="00C86CFC"/>
    <w:rsid w:val="00C87108"/>
    <w:rsid w:val="00C87426"/>
    <w:rsid w:val="00C87D35"/>
    <w:rsid w:val="00C87E7E"/>
    <w:rsid w:val="00C87F4A"/>
    <w:rsid w:val="00C87F50"/>
    <w:rsid w:val="00C90123"/>
    <w:rsid w:val="00C904F2"/>
    <w:rsid w:val="00C90E24"/>
    <w:rsid w:val="00C9107A"/>
    <w:rsid w:val="00C911DE"/>
    <w:rsid w:val="00C916ED"/>
    <w:rsid w:val="00C917EB"/>
    <w:rsid w:val="00C91A1B"/>
    <w:rsid w:val="00C91EEC"/>
    <w:rsid w:val="00C92107"/>
    <w:rsid w:val="00C921E8"/>
    <w:rsid w:val="00C92255"/>
    <w:rsid w:val="00C9234E"/>
    <w:rsid w:val="00C927F9"/>
    <w:rsid w:val="00C9285A"/>
    <w:rsid w:val="00C92B11"/>
    <w:rsid w:val="00C92EF3"/>
    <w:rsid w:val="00C92FE7"/>
    <w:rsid w:val="00C9300A"/>
    <w:rsid w:val="00C93376"/>
    <w:rsid w:val="00C934D8"/>
    <w:rsid w:val="00C93593"/>
    <w:rsid w:val="00C93749"/>
    <w:rsid w:val="00C93974"/>
    <w:rsid w:val="00C93BD4"/>
    <w:rsid w:val="00C93D62"/>
    <w:rsid w:val="00C94018"/>
    <w:rsid w:val="00C94182"/>
    <w:rsid w:val="00C94195"/>
    <w:rsid w:val="00C9419B"/>
    <w:rsid w:val="00C947DD"/>
    <w:rsid w:val="00C94A18"/>
    <w:rsid w:val="00C94A3B"/>
    <w:rsid w:val="00C94ECB"/>
    <w:rsid w:val="00C94EF5"/>
    <w:rsid w:val="00C94F7C"/>
    <w:rsid w:val="00C952F2"/>
    <w:rsid w:val="00C9553A"/>
    <w:rsid w:val="00C95593"/>
    <w:rsid w:val="00C955F3"/>
    <w:rsid w:val="00C9561F"/>
    <w:rsid w:val="00C95D07"/>
    <w:rsid w:val="00C95D0B"/>
    <w:rsid w:val="00C95D7B"/>
    <w:rsid w:val="00C962C4"/>
    <w:rsid w:val="00C96571"/>
    <w:rsid w:val="00C96713"/>
    <w:rsid w:val="00C9681F"/>
    <w:rsid w:val="00C969F4"/>
    <w:rsid w:val="00C96D18"/>
    <w:rsid w:val="00C96DDB"/>
    <w:rsid w:val="00C96E55"/>
    <w:rsid w:val="00C96EE3"/>
    <w:rsid w:val="00C96F22"/>
    <w:rsid w:val="00C96FF3"/>
    <w:rsid w:val="00C97227"/>
    <w:rsid w:val="00C97434"/>
    <w:rsid w:val="00C9758D"/>
    <w:rsid w:val="00C97921"/>
    <w:rsid w:val="00C97B34"/>
    <w:rsid w:val="00C97B4A"/>
    <w:rsid w:val="00CA03D9"/>
    <w:rsid w:val="00CA0467"/>
    <w:rsid w:val="00CA0644"/>
    <w:rsid w:val="00CA064B"/>
    <w:rsid w:val="00CA0B01"/>
    <w:rsid w:val="00CA0B48"/>
    <w:rsid w:val="00CA0B79"/>
    <w:rsid w:val="00CA0C9F"/>
    <w:rsid w:val="00CA0E53"/>
    <w:rsid w:val="00CA0E8A"/>
    <w:rsid w:val="00CA11AF"/>
    <w:rsid w:val="00CA15C9"/>
    <w:rsid w:val="00CA16B9"/>
    <w:rsid w:val="00CA1746"/>
    <w:rsid w:val="00CA18EF"/>
    <w:rsid w:val="00CA1913"/>
    <w:rsid w:val="00CA197E"/>
    <w:rsid w:val="00CA1A51"/>
    <w:rsid w:val="00CA204B"/>
    <w:rsid w:val="00CA20FF"/>
    <w:rsid w:val="00CA24FD"/>
    <w:rsid w:val="00CA25B8"/>
    <w:rsid w:val="00CA2862"/>
    <w:rsid w:val="00CA2C0A"/>
    <w:rsid w:val="00CA2C77"/>
    <w:rsid w:val="00CA2D81"/>
    <w:rsid w:val="00CA2F73"/>
    <w:rsid w:val="00CA3088"/>
    <w:rsid w:val="00CA317F"/>
    <w:rsid w:val="00CA3440"/>
    <w:rsid w:val="00CA3464"/>
    <w:rsid w:val="00CA3811"/>
    <w:rsid w:val="00CA3868"/>
    <w:rsid w:val="00CA39E8"/>
    <w:rsid w:val="00CA3A40"/>
    <w:rsid w:val="00CA3C5B"/>
    <w:rsid w:val="00CA3CE8"/>
    <w:rsid w:val="00CA3D59"/>
    <w:rsid w:val="00CA3FB1"/>
    <w:rsid w:val="00CA3FBC"/>
    <w:rsid w:val="00CA42C4"/>
    <w:rsid w:val="00CA43D8"/>
    <w:rsid w:val="00CA473D"/>
    <w:rsid w:val="00CA4B57"/>
    <w:rsid w:val="00CA4D30"/>
    <w:rsid w:val="00CA4E9A"/>
    <w:rsid w:val="00CA5004"/>
    <w:rsid w:val="00CA5217"/>
    <w:rsid w:val="00CA53AB"/>
    <w:rsid w:val="00CA53CF"/>
    <w:rsid w:val="00CA551B"/>
    <w:rsid w:val="00CA571C"/>
    <w:rsid w:val="00CA5EF7"/>
    <w:rsid w:val="00CA616B"/>
    <w:rsid w:val="00CA617B"/>
    <w:rsid w:val="00CA61CD"/>
    <w:rsid w:val="00CA6514"/>
    <w:rsid w:val="00CA651E"/>
    <w:rsid w:val="00CA6870"/>
    <w:rsid w:val="00CA6CF3"/>
    <w:rsid w:val="00CA734D"/>
    <w:rsid w:val="00CA748C"/>
    <w:rsid w:val="00CA7667"/>
    <w:rsid w:val="00CA79D8"/>
    <w:rsid w:val="00CA7B6A"/>
    <w:rsid w:val="00CA7C0B"/>
    <w:rsid w:val="00CA7C74"/>
    <w:rsid w:val="00CA7D51"/>
    <w:rsid w:val="00CA7DA0"/>
    <w:rsid w:val="00CA7F23"/>
    <w:rsid w:val="00CA7FC5"/>
    <w:rsid w:val="00CB0098"/>
    <w:rsid w:val="00CB05BC"/>
    <w:rsid w:val="00CB0674"/>
    <w:rsid w:val="00CB0730"/>
    <w:rsid w:val="00CB0C0E"/>
    <w:rsid w:val="00CB0F84"/>
    <w:rsid w:val="00CB0FBB"/>
    <w:rsid w:val="00CB1176"/>
    <w:rsid w:val="00CB13C8"/>
    <w:rsid w:val="00CB187B"/>
    <w:rsid w:val="00CB1CC3"/>
    <w:rsid w:val="00CB1E1D"/>
    <w:rsid w:val="00CB21A1"/>
    <w:rsid w:val="00CB220A"/>
    <w:rsid w:val="00CB23D8"/>
    <w:rsid w:val="00CB283E"/>
    <w:rsid w:val="00CB2869"/>
    <w:rsid w:val="00CB2AE1"/>
    <w:rsid w:val="00CB2CA3"/>
    <w:rsid w:val="00CB2D94"/>
    <w:rsid w:val="00CB2E3B"/>
    <w:rsid w:val="00CB332A"/>
    <w:rsid w:val="00CB35D5"/>
    <w:rsid w:val="00CB35DC"/>
    <w:rsid w:val="00CB35E6"/>
    <w:rsid w:val="00CB3854"/>
    <w:rsid w:val="00CB3D47"/>
    <w:rsid w:val="00CB3E35"/>
    <w:rsid w:val="00CB4E55"/>
    <w:rsid w:val="00CB4F5B"/>
    <w:rsid w:val="00CB52A5"/>
    <w:rsid w:val="00CB54D6"/>
    <w:rsid w:val="00CB5565"/>
    <w:rsid w:val="00CB5744"/>
    <w:rsid w:val="00CB5AFC"/>
    <w:rsid w:val="00CB5EA6"/>
    <w:rsid w:val="00CB5ECB"/>
    <w:rsid w:val="00CB5FAD"/>
    <w:rsid w:val="00CB6075"/>
    <w:rsid w:val="00CB6403"/>
    <w:rsid w:val="00CB646F"/>
    <w:rsid w:val="00CB65B3"/>
    <w:rsid w:val="00CB687E"/>
    <w:rsid w:val="00CB6A2A"/>
    <w:rsid w:val="00CB6EA7"/>
    <w:rsid w:val="00CB7056"/>
    <w:rsid w:val="00CB705E"/>
    <w:rsid w:val="00CB75BB"/>
    <w:rsid w:val="00CB7BC1"/>
    <w:rsid w:val="00CC01F9"/>
    <w:rsid w:val="00CC04A6"/>
    <w:rsid w:val="00CC062D"/>
    <w:rsid w:val="00CC07B9"/>
    <w:rsid w:val="00CC0946"/>
    <w:rsid w:val="00CC0BB6"/>
    <w:rsid w:val="00CC0BDF"/>
    <w:rsid w:val="00CC0C5A"/>
    <w:rsid w:val="00CC0C89"/>
    <w:rsid w:val="00CC0CF3"/>
    <w:rsid w:val="00CC107D"/>
    <w:rsid w:val="00CC115B"/>
    <w:rsid w:val="00CC12C6"/>
    <w:rsid w:val="00CC1700"/>
    <w:rsid w:val="00CC1763"/>
    <w:rsid w:val="00CC1877"/>
    <w:rsid w:val="00CC1CB4"/>
    <w:rsid w:val="00CC1DC5"/>
    <w:rsid w:val="00CC1EC7"/>
    <w:rsid w:val="00CC2312"/>
    <w:rsid w:val="00CC23E8"/>
    <w:rsid w:val="00CC2A79"/>
    <w:rsid w:val="00CC2BC9"/>
    <w:rsid w:val="00CC2BF0"/>
    <w:rsid w:val="00CC2DC6"/>
    <w:rsid w:val="00CC302A"/>
    <w:rsid w:val="00CC307C"/>
    <w:rsid w:val="00CC3083"/>
    <w:rsid w:val="00CC3121"/>
    <w:rsid w:val="00CC3225"/>
    <w:rsid w:val="00CC32A8"/>
    <w:rsid w:val="00CC3369"/>
    <w:rsid w:val="00CC354E"/>
    <w:rsid w:val="00CC3636"/>
    <w:rsid w:val="00CC3918"/>
    <w:rsid w:val="00CC3D09"/>
    <w:rsid w:val="00CC40EC"/>
    <w:rsid w:val="00CC4280"/>
    <w:rsid w:val="00CC42E2"/>
    <w:rsid w:val="00CC44A5"/>
    <w:rsid w:val="00CC464E"/>
    <w:rsid w:val="00CC48F1"/>
    <w:rsid w:val="00CC492E"/>
    <w:rsid w:val="00CC4C35"/>
    <w:rsid w:val="00CC4CD8"/>
    <w:rsid w:val="00CC5014"/>
    <w:rsid w:val="00CC517F"/>
    <w:rsid w:val="00CC5233"/>
    <w:rsid w:val="00CC5444"/>
    <w:rsid w:val="00CC5540"/>
    <w:rsid w:val="00CC5583"/>
    <w:rsid w:val="00CC55CB"/>
    <w:rsid w:val="00CC5647"/>
    <w:rsid w:val="00CC58C7"/>
    <w:rsid w:val="00CC5C56"/>
    <w:rsid w:val="00CC5C63"/>
    <w:rsid w:val="00CC63D3"/>
    <w:rsid w:val="00CC646D"/>
    <w:rsid w:val="00CC6869"/>
    <w:rsid w:val="00CC6CA2"/>
    <w:rsid w:val="00CC6CDC"/>
    <w:rsid w:val="00CC6DAB"/>
    <w:rsid w:val="00CC6F69"/>
    <w:rsid w:val="00CC7050"/>
    <w:rsid w:val="00CC7161"/>
    <w:rsid w:val="00CC74E7"/>
    <w:rsid w:val="00CC755D"/>
    <w:rsid w:val="00CC7592"/>
    <w:rsid w:val="00CC76DE"/>
    <w:rsid w:val="00CC76E2"/>
    <w:rsid w:val="00CC7817"/>
    <w:rsid w:val="00CC787A"/>
    <w:rsid w:val="00CC7910"/>
    <w:rsid w:val="00CC798C"/>
    <w:rsid w:val="00CC7AA5"/>
    <w:rsid w:val="00CC7BEE"/>
    <w:rsid w:val="00CC7C4C"/>
    <w:rsid w:val="00CC7CAD"/>
    <w:rsid w:val="00CC7D10"/>
    <w:rsid w:val="00CC7E10"/>
    <w:rsid w:val="00CC7E8E"/>
    <w:rsid w:val="00CC7FA2"/>
    <w:rsid w:val="00CD0771"/>
    <w:rsid w:val="00CD0D32"/>
    <w:rsid w:val="00CD0EF8"/>
    <w:rsid w:val="00CD1307"/>
    <w:rsid w:val="00CD142B"/>
    <w:rsid w:val="00CD14E0"/>
    <w:rsid w:val="00CD16F9"/>
    <w:rsid w:val="00CD1732"/>
    <w:rsid w:val="00CD19DC"/>
    <w:rsid w:val="00CD1ABB"/>
    <w:rsid w:val="00CD1D89"/>
    <w:rsid w:val="00CD1D9F"/>
    <w:rsid w:val="00CD2361"/>
    <w:rsid w:val="00CD273D"/>
    <w:rsid w:val="00CD2816"/>
    <w:rsid w:val="00CD2892"/>
    <w:rsid w:val="00CD29EA"/>
    <w:rsid w:val="00CD2A7A"/>
    <w:rsid w:val="00CD2A9F"/>
    <w:rsid w:val="00CD2ACC"/>
    <w:rsid w:val="00CD2D67"/>
    <w:rsid w:val="00CD2FA3"/>
    <w:rsid w:val="00CD306A"/>
    <w:rsid w:val="00CD3122"/>
    <w:rsid w:val="00CD323C"/>
    <w:rsid w:val="00CD330A"/>
    <w:rsid w:val="00CD3346"/>
    <w:rsid w:val="00CD35C9"/>
    <w:rsid w:val="00CD35F2"/>
    <w:rsid w:val="00CD3C2B"/>
    <w:rsid w:val="00CD3D35"/>
    <w:rsid w:val="00CD3DA9"/>
    <w:rsid w:val="00CD3EBA"/>
    <w:rsid w:val="00CD3FCE"/>
    <w:rsid w:val="00CD4271"/>
    <w:rsid w:val="00CD4289"/>
    <w:rsid w:val="00CD4389"/>
    <w:rsid w:val="00CD458A"/>
    <w:rsid w:val="00CD4B16"/>
    <w:rsid w:val="00CD4EA3"/>
    <w:rsid w:val="00CD4F1B"/>
    <w:rsid w:val="00CD5156"/>
    <w:rsid w:val="00CD53DC"/>
    <w:rsid w:val="00CD5503"/>
    <w:rsid w:val="00CD551F"/>
    <w:rsid w:val="00CD5ABB"/>
    <w:rsid w:val="00CD5D09"/>
    <w:rsid w:val="00CD5D5F"/>
    <w:rsid w:val="00CD5DBD"/>
    <w:rsid w:val="00CD5F02"/>
    <w:rsid w:val="00CD5F8B"/>
    <w:rsid w:val="00CD607E"/>
    <w:rsid w:val="00CD627F"/>
    <w:rsid w:val="00CD63DB"/>
    <w:rsid w:val="00CD675E"/>
    <w:rsid w:val="00CD6790"/>
    <w:rsid w:val="00CD67CC"/>
    <w:rsid w:val="00CD6934"/>
    <w:rsid w:val="00CD6AC1"/>
    <w:rsid w:val="00CD6B2C"/>
    <w:rsid w:val="00CD6B84"/>
    <w:rsid w:val="00CD6BB4"/>
    <w:rsid w:val="00CD6D1E"/>
    <w:rsid w:val="00CD6E7C"/>
    <w:rsid w:val="00CD70CB"/>
    <w:rsid w:val="00CD7203"/>
    <w:rsid w:val="00CD756B"/>
    <w:rsid w:val="00CD76A2"/>
    <w:rsid w:val="00CD78BC"/>
    <w:rsid w:val="00CD7D11"/>
    <w:rsid w:val="00CD7E64"/>
    <w:rsid w:val="00CE009E"/>
    <w:rsid w:val="00CE053A"/>
    <w:rsid w:val="00CE069B"/>
    <w:rsid w:val="00CE0705"/>
    <w:rsid w:val="00CE0861"/>
    <w:rsid w:val="00CE0A88"/>
    <w:rsid w:val="00CE0CBA"/>
    <w:rsid w:val="00CE1108"/>
    <w:rsid w:val="00CE112E"/>
    <w:rsid w:val="00CE1187"/>
    <w:rsid w:val="00CE19F4"/>
    <w:rsid w:val="00CE1D3C"/>
    <w:rsid w:val="00CE1D77"/>
    <w:rsid w:val="00CE1F80"/>
    <w:rsid w:val="00CE1F96"/>
    <w:rsid w:val="00CE2182"/>
    <w:rsid w:val="00CE2B0A"/>
    <w:rsid w:val="00CE2CB1"/>
    <w:rsid w:val="00CE2D5E"/>
    <w:rsid w:val="00CE3320"/>
    <w:rsid w:val="00CE3358"/>
    <w:rsid w:val="00CE36DE"/>
    <w:rsid w:val="00CE375B"/>
    <w:rsid w:val="00CE38A2"/>
    <w:rsid w:val="00CE3997"/>
    <w:rsid w:val="00CE3D1C"/>
    <w:rsid w:val="00CE3D1F"/>
    <w:rsid w:val="00CE4273"/>
    <w:rsid w:val="00CE44FE"/>
    <w:rsid w:val="00CE4500"/>
    <w:rsid w:val="00CE4683"/>
    <w:rsid w:val="00CE46B3"/>
    <w:rsid w:val="00CE4A51"/>
    <w:rsid w:val="00CE4A67"/>
    <w:rsid w:val="00CE4C5F"/>
    <w:rsid w:val="00CE4EBD"/>
    <w:rsid w:val="00CE4FB6"/>
    <w:rsid w:val="00CE5484"/>
    <w:rsid w:val="00CE5A60"/>
    <w:rsid w:val="00CE60E9"/>
    <w:rsid w:val="00CE6211"/>
    <w:rsid w:val="00CE66A5"/>
    <w:rsid w:val="00CE6834"/>
    <w:rsid w:val="00CE685C"/>
    <w:rsid w:val="00CE6E0F"/>
    <w:rsid w:val="00CE72D3"/>
    <w:rsid w:val="00CE79A5"/>
    <w:rsid w:val="00CE7C6F"/>
    <w:rsid w:val="00CE7F40"/>
    <w:rsid w:val="00CE7F4F"/>
    <w:rsid w:val="00CF008F"/>
    <w:rsid w:val="00CF00D0"/>
    <w:rsid w:val="00CF0154"/>
    <w:rsid w:val="00CF0219"/>
    <w:rsid w:val="00CF040E"/>
    <w:rsid w:val="00CF05CF"/>
    <w:rsid w:val="00CF069F"/>
    <w:rsid w:val="00CF06C5"/>
    <w:rsid w:val="00CF08A6"/>
    <w:rsid w:val="00CF0B08"/>
    <w:rsid w:val="00CF0B78"/>
    <w:rsid w:val="00CF1184"/>
    <w:rsid w:val="00CF12F0"/>
    <w:rsid w:val="00CF132D"/>
    <w:rsid w:val="00CF1498"/>
    <w:rsid w:val="00CF1509"/>
    <w:rsid w:val="00CF167F"/>
    <w:rsid w:val="00CF16AC"/>
    <w:rsid w:val="00CF1871"/>
    <w:rsid w:val="00CF1DBF"/>
    <w:rsid w:val="00CF2096"/>
    <w:rsid w:val="00CF213E"/>
    <w:rsid w:val="00CF21EA"/>
    <w:rsid w:val="00CF24C8"/>
    <w:rsid w:val="00CF28DB"/>
    <w:rsid w:val="00CF2918"/>
    <w:rsid w:val="00CF2D88"/>
    <w:rsid w:val="00CF2E52"/>
    <w:rsid w:val="00CF3558"/>
    <w:rsid w:val="00CF368F"/>
    <w:rsid w:val="00CF369F"/>
    <w:rsid w:val="00CF3819"/>
    <w:rsid w:val="00CF388B"/>
    <w:rsid w:val="00CF398B"/>
    <w:rsid w:val="00CF3D2E"/>
    <w:rsid w:val="00CF3D5D"/>
    <w:rsid w:val="00CF43BC"/>
    <w:rsid w:val="00CF4484"/>
    <w:rsid w:val="00CF4A3A"/>
    <w:rsid w:val="00CF4C38"/>
    <w:rsid w:val="00CF4E71"/>
    <w:rsid w:val="00CF4F3C"/>
    <w:rsid w:val="00CF549C"/>
    <w:rsid w:val="00CF5554"/>
    <w:rsid w:val="00CF55C2"/>
    <w:rsid w:val="00CF56CC"/>
    <w:rsid w:val="00CF5848"/>
    <w:rsid w:val="00CF5E60"/>
    <w:rsid w:val="00CF60E0"/>
    <w:rsid w:val="00CF63A0"/>
    <w:rsid w:val="00CF63BF"/>
    <w:rsid w:val="00CF63F3"/>
    <w:rsid w:val="00CF644D"/>
    <w:rsid w:val="00CF64CD"/>
    <w:rsid w:val="00CF66BE"/>
    <w:rsid w:val="00CF66FE"/>
    <w:rsid w:val="00CF6760"/>
    <w:rsid w:val="00CF69D9"/>
    <w:rsid w:val="00CF6C63"/>
    <w:rsid w:val="00CF6C99"/>
    <w:rsid w:val="00CF75A9"/>
    <w:rsid w:val="00CF75AB"/>
    <w:rsid w:val="00CF7600"/>
    <w:rsid w:val="00CF7795"/>
    <w:rsid w:val="00CF7FC1"/>
    <w:rsid w:val="00D00010"/>
    <w:rsid w:val="00D00081"/>
    <w:rsid w:val="00D00165"/>
    <w:rsid w:val="00D0018D"/>
    <w:rsid w:val="00D005CD"/>
    <w:rsid w:val="00D00705"/>
    <w:rsid w:val="00D0080E"/>
    <w:rsid w:val="00D00B51"/>
    <w:rsid w:val="00D00F40"/>
    <w:rsid w:val="00D0143F"/>
    <w:rsid w:val="00D014EC"/>
    <w:rsid w:val="00D01631"/>
    <w:rsid w:val="00D01647"/>
    <w:rsid w:val="00D016B3"/>
    <w:rsid w:val="00D0172A"/>
    <w:rsid w:val="00D01A97"/>
    <w:rsid w:val="00D01AD1"/>
    <w:rsid w:val="00D01C64"/>
    <w:rsid w:val="00D01D38"/>
    <w:rsid w:val="00D01DE4"/>
    <w:rsid w:val="00D020CC"/>
    <w:rsid w:val="00D022FF"/>
    <w:rsid w:val="00D02331"/>
    <w:rsid w:val="00D02407"/>
    <w:rsid w:val="00D0268A"/>
    <w:rsid w:val="00D026A0"/>
    <w:rsid w:val="00D0280F"/>
    <w:rsid w:val="00D0291D"/>
    <w:rsid w:val="00D02A07"/>
    <w:rsid w:val="00D02F80"/>
    <w:rsid w:val="00D0304B"/>
    <w:rsid w:val="00D0314B"/>
    <w:rsid w:val="00D031E1"/>
    <w:rsid w:val="00D0323F"/>
    <w:rsid w:val="00D0369C"/>
    <w:rsid w:val="00D036EE"/>
    <w:rsid w:val="00D03743"/>
    <w:rsid w:val="00D0393E"/>
    <w:rsid w:val="00D03CDD"/>
    <w:rsid w:val="00D03F76"/>
    <w:rsid w:val="00D0402B"/>
    <w:rsid w:val="00D042D5"/>
    <w:rsid w:val="00D04663"/>
    <w:rsid w:val="00D04A9D"/>
    <w:rsid w:val="00D04D1E"/>
    <w:rsid w:val="00D04E4C"/>
    <w:rsid w:val="00D05250"/>
    <w:rsid w:val="00D055A7"/>
    <w:rsid w:val="00D055D5"/>
    <w:rsid w:val="00D05706"/>
    <w:rsid w:val="00D057F7"/>
    <w:rsid w:val="00D05928"/>
    <w:rsid w:val="00D05931"/>
    <w:rsid w:val="00D05AB9"/>
    <w:rsid w:val="00D05C5C"/>
    <w:rsid w:val="00D05EB2"/>
    <w:rsid w:val="00D05EE1"/>
    <w:rsid w:val="00D0621F"/>
    <w:rsid w:val="00D064EE"/>
    <w:rsid w:val="00D06623"/>
    <w:rsid w:val="00D066EC"/>
    <w:rsid w:val="00D066FB"/>
    <w:rsid w:val="00D06D21"/>
    <w:rsid w:val="00D06D65"/>
    <w:rsid w:val="00D06EAA"/>
    <w:rsid w:val="00D06F1A"/>
    <w:rsid w:val="00D07595"/>
    <w:rsid w:val="00D0765F"/>
    <w:rsid w:val="00D07994"/>
    <w:rsid w:val="00D07F0F"/>
    <w:rsid w:val="00D10094"/>
    <w:rsid w:val="00D10126"/>
    <w:rsid w:val="00D10264"/>
    <w:rsid w:val="00D102B2"/>
    <w:rsid w:val="00D1042A"/>
    <w:rsid w:val="00D1043B"/>
    <w:rsid w:val="00D10763"/>
    <w:rsid w:val="00D1081C"/>
    <w:rsid w:val="00D10B25"/>
    <w:rsid w:val="00D10CF8"/>
    <w:rsid w:val="00D11186"/>
    <w:rsid w:val="00D11250"/>
    <w:rsid w:val="00D116DC"/>
    <w:rsid w:val="00D11726"/>
    <w:rsid w:val="00D11ADC"/>
    <w:rsid w:val="00D11C47"/>
    <w:rsid w:val="00D11E70"/>
    <w:rsid w:val="00D11EB9"/>
    <w:rsid w:val="00D11F20"/>
    <w:rsid w:val="00D11F80"/>
    <w:rsid w:val="00D1234E"/>
    <w:rsid w:val="00D12508"/>
    <w:rsid w:val="00D12526"/>
    <w:rsid w:val="00D1253C"/>
    <w:rsid w:val="00D12B25"/>
    <w:rsid w:val="00D12D8D"/>
    <w:rsid w:val="00D12F34"/>
    <w:rsid w:val="00D13075"/>
    <w:rsid w:val="00D1308A"/>
    <w:rsid w:val="00D13220"/>
    <w:rsid w:val="00D13298"/>
    <w:rsid w:val="00D13671"/>
    <w:rsid w:val="00D13936"/>
    <w:rsid w:val="00D13AA1"/>
    <w:rsid w:val="00D13C3F"/>
    <w:rsid w:val="00D13C59"/>
    <w:rsid w:val="00D13F1E"/>
    <w:rsid w:val="00D13F3E"/>
    <w:rsid w:val="00D14176"/>
    <w:rsid w:val="00D14291"/>
    <w:rsid w:val="00D14860"/>
    <w:rsid w:val="00D14B76"/>
    <w:rsid w:val="00D14D3E"/>
    <w:rsid w:val="00D14ECD"/>
    <w:rsid w:val="00D1502B"/>
    <w:rsid w:val="00D15367"/>
    <w:rsid w:val="00D153A1"/>
    <w:rsid w:val="00D157E9"/>
    <w:rsid w:val="00D1580C"/>
    <w:rsid w:val="00D158C5"/>
    <w:rsid w:val="00D15949"/>
    <w:rsid w:val="00D15BCF"/>
    <w:rsid w:val="00D15BFF"/>
    <w:rsid w:val="00D15D83"/>
    <w:rsid w:val="00D15E07"/>
    <w:rsid w:val="00D16117"/>
    <w:rsid w:val="00D16153"/>
    <w:rsid w:val="00D161E3"/>
    <w:rsid w:val="00D16307"/>
    <w:rsid w:val="00D164D8"/>
    <w:rsid w:val="00D164F6"/>
    <w:rsid w:val="00D165F3"/>
    <w:rsid w:val="00D16A78"/>
    <w:rsid w:val="00D16B4F"/>
    <w:rsid w:val="00D16BB4"/>
    <w:rsid w:val="00D16C9D"/>
    <w:rsid w:val="00D16E09"/>
    <w:rsid w:val="00D16ED9"/>
    <w:rsid w:val="00D17116"/>
    <w:rsid w:val="00D17253"/>
    <w:rsid w:val="00D174EB"/>
    <w:rsid w:val="00D17574"/>
    <w:rsid w:val="00D1762A"/>
    <w:rsid w:val="00D177F5"/>
    <w:rsid w:val="00D17856"/>
    <w:rsid w:val="00D17945"/>
    <w:rsid w:val="00D17B65"/>
    <w:rsid w:val="00D17B73"/>
    <w:rsid w:val="00D17EC2"/>
    <w:rsid w:val="00D17F69"/>
    <w:rsid w:val="00D17FA8"/>
    <w:rsid w:val="00D2035F"/>
    <w:rsid w:val="00D2069D"/>
    <w:rsid w:val="00D207EC"/>
    <w:rsid w:val="00D20837"/>
    <w:rsid w:val="00D2090D"/>
    <w:rsid w:val="00D20998"/>
    <w:rsid w:val="00D20A02"/>
    <w:rsid w:val="00D20A0D"/>
    <w:rsid w:val="00D20C73"/>
    <w:rsid w:val="00D20C7A"/>
    <w:rsid w:val="00D20C90"/>
    <w:rsid w:val="00D20E0E"/>
    <w:rsid w:val="00D212BD"/>
    <w:rsid w:val="00D213D9"/>
    <w:rsid w:val="00D214EA"/>
    <w:rsid w:val="00D2168E"/>
    <w:rsid w:val="00D21908"/>
    <w:rsid w:val="00D21A16"/>
    <w:rsid w:val="00D21E26"/>
    <w:rsid w:val="00D21E95"/>
    <w:rsid w:val="00D21F9D"/>
    <w:rsid w:val="00D22173"/>
    <w:rsid w:val="00D22222"/>
    <w:rsid w:val="00D2237A"/>
    <w:rsid w:val="00D223D6"/>
    <w:rsid w:val="00D22431"/>
    <w:rsid w:val="00D22587"/>
    <w:rsid w:val="00D225DD"/>
    <w:rsid w:val="00D22736"/>
    <w:rsid w:val="00D22854"/>
    <w:rsid w:val="00D22871"/>
    <w:rsid w:val="00D228B5"/>
    <w:rsid w:val="00D22B06"/>
    <w:rsid w:val="00D22BAB"/>
    <w:rsid w:val="00D22CF9"/>
    <w:rsid w:val="00D22F9C"/>
    <w:rsid w:val="00D23059"/>
    <w:rsid w:val="00D230CB"/>
    <w:rsid w:val="00D2379F"/>
    <w:rsid w:val="00D237FF"/>
    <w:rsid w:val="00D238B7"/>
    <w:rsid w:val="00D23C46"/>
    <w:rsid w:val="00D23DCD"/>
    <w:rsid w:val="00D2469A"/>
    <w:rsid w:val="00D246F5"/>
    <w:rsid w:val="00D2474B"/>
    <w:rsid w:val="00D24943"/>
    <w:rsid w:val="00D249F0"/>
    <w:rsid w:val="00D24C54"/>
    <w:rsid w:val="00D24F81"/>
    <w:rsid w:val="00D251D8"/>
    <w:rsid w:val="00D25217"/>
    <w:rsid w:val="00D25251"/>
    <w:rsid w:val="00D2535D"/>
    <w:rsid w:val="00D25387"/>
    <w:rsid w:val="00D2557E"/>
    <w:rsid w:val="00D256F1"/>
    <w:rsid w:val="00D25E2C"/>
    <w:rsid w:val="00D26271"/>
    <w:rsid w:val="00D26279"/>
    <w:rsid w:val="00D26399"/>
    <w:rsid w:val="00D263DA"/>
    <w:rsid w:val="00D2641A"/>
    <w:rsid w:val="00D268EE"/>
    <w:rsid w:val="00D26AD8"/>
    <w:rsid w:val="00D26C24"/>
    <w:rsid w:val="00D26DD2"/>
    <w:rsid w:val="00D26EB1"/>
    <w:rsid w:val="00D26F61"/>
    <w:rsid w:val="00D270E2"/>
    <w:rsid w:val="00D272AB"/>
    <w:rsid w:val="00D272AF"/>
    <w:rsid w:val="00D27525"/>
    <w:rsid w:val="00D276B4"/>
    <w:rsid w:val="00D27727"/>
    <w:rsid w:val="00D27821"/>
    <w:rsid w:val="00D2783D"/>
    <w:rsid w:val="00D27872"/>
    <w:rsid w:val="00D27934"/>
    <w:rsid w:val="00D27D33"/>
    <w:rsid w:val="00D27D4F"/>
    <w:rsid w:val="00D27EB4"/>
    <w:rsid w:val="00D27F41"/>
    <w:rsid w:val="00D30051"/>
    <w:rsid w:val="00D30075"/>
    <w:rsid w:val="00D30560"/>
    <w:rsid w:val="00D305B3"/>
    <w:rsid w:val="00D30A4D"/>
    <w:rsid w:val="00D30AA1"/>
    <w:rsid w:val="00D30DAA"/>
    <w:rsid w:val="00D30FED"/>
    <w:rsid w:val="00D31152"/>
    <w:rsid w:val="00D3128E"/>
    <w:rsid w:val="00D313D3"/>
    <w:rsid w:val="00D313DA"/>
    <w:rsid w:val="00D31460"/>
    <w:rsid w:val="00D314EB"/>
    <w:rsid w:val="00D3150C"/>
    <w:rsid w:val="00D31538"/>
    <w:rsid w:val="00D315EA"/>
    <w:rsid w:val="00D316BE"/>
    <w:rsid w:val="00D31957"/>
    <w:rsid w:val="00D3197A"/>
    <w:rsid w:val="00D31AE4"/>
    <w:rsid w:val="00D31F47"/>
    <w:rsid w:val="00D3207A"/>
    <w:rsid w:val="00D3217B"/>
    <w:rsid w:val="00D32268"/>
    <w:rsid w:val="00D322C8"/>
    <w:rsid w:val="00D3238F"/>
    <w:rsid w:val="00D3269F"/>
    <w:rsid w:val="00D328BE"/>
    <w:rsid w:val="00D32A61"/>
    <w:rsid w:val="00D32B52"/>
    <w:rsid w:val="00D32C82"/>
    <w:rsid w:val="00D32F0E"/>
    <w:rsid w:val="00D330BD"/>
    <w:rsid w:val="00D3330D"/>
    <w:rsid w:val="00D3351B"/>
    <w:rsid w:val="00D33562"/>
    <w:rsid w:val="00D33609"/>
    <w:rsid w:val="00D339BF"/>
    <w:rsid w:val="00D33A2C"/>
    <w:rsid w:val="00D33A71"/>
    <w:rsid w:val="00D33D5E"/>
    <w:rsid w:val="00D3480A"/>
    <w:rsid w:val="00D34A81"/>
    <w:rsid w:val="00D34C79"/>
    <w:rsid w:val="00D34DB5"/>
    <w:rsid w:val="00D34E4E"/>
    <w:rsid w:val="00D35002"/>
    <w:rsid w:val="00D35374"/>
    <w:rsid w:val="00D35501"/>
    <w:rsid w:val="00D3566C"/>
    <w:rsid w:val="00D358BB"/>
    <w:rsid w:val="00D35A48"/>
    <w:rsid w:val="00D35A9B"/>
    <w:rsid w:val="00D35AA2"/>
    <w:rsid w:val="00D35B1D"/>
    <w:rsid w:val="00D35DAD"/>
    <w:rsid w:val="00D35F1F"/>
    <w:rsid w:val="00D360FF"/>
    <w:rsid w:val="00D36183"/>
    <w:rsid w:val="00D3668E"/>
    <w:rsid w:val="00D36725"/>
    <w:rsid w:val="00D36B30"/>
    <w:rsid w:val="00D36B32"/>
    <w:rsid w:val="00D36D4B"/>
    <w:rsid w:val="00D36F69"/>
    <w:rsid w:val="00D3703F"/>
    <w:rsid w:val="00D372AE"/>
    <w:rsid w:val="00D374F0"/>
    <w:rsid w:val="00D377D8"/>
    <w:rsid w:val="00D37C11"/>
    <w:rsid w:val="00D37CE2"/>
    <w:rsid w:val="00D37CFE"/>
    <w:rsid w:val="00D37DAC"/>
    <w:rsid w:val="00D37E45"/>
    <w:rsid w:val="00D406CE"/>
    <w:rsid w:val="00D408F9"/>
    <w:rsid w:val="00D4095F"/>
    <w:rsid w:val="00D409E8"/>
    <w:rsid w:val="00D41530"/>
    <w:rsid w:val="00D41558"/>
    <w:rsid w:val="00D41696"/>
    <w:rsid w:val="00D41714"/>
    <w:rsid w:val="00D41828"/>
    <w:rsid w:val="00D41B82"/>
    <w:rsid w:val="00D41E9C"/>
    <w:rsid w:val="00D4225A"/>
    <w:rsid w:val="00D422EE"/>
    <w:rsid w:val="00D425AB"/>
    <w:rsid w:val="00D4268A"/>
    <w:rsid w:val="00D42710"/>
    <w:rsid w:val="00D42723"/>
    <w:rsid w:val="00D42996"/>
    <w:rsid w:val="00D42BFF"/>
    <w:rsid w:val="00D43179"/>
    <w:rsid w:val="00D431BD"/>
    <w:rsid w:val="00D431F6"/>
    <w:rsid w:val="00D43286"/>
    <w:rsid w:val="00D43402"/>
    <w:rsid w:val="00D43627"/>
    <w:rsid w:val="00D43722"/>
    <w:rsid w:val="00D437F4"/>
    <w:rsid w:val="00D43AB3"/>
    <w:rsid w:val="00D43C42"/>
    <w:rsid w:val="00D43C44"/>
    <w:rsid w:val="00D43DE8"/>
    <w:rsid w:val="00D43E2F"/>
    <w:rsid w:val="00D43E5C"/>
    <w:rsid w:val="00D43E88"/>
    <w:rsid w:val="00D43EBA"/>
    <w:rsid w:val="00D43F43"/>
    <w:rsid w:val="00D43F7C"/>
    <w:rsid w:val="00D4406F"/>
    <w:rsid w:val="00D440AB"/>
    <w:rsid w:val="00D440CE"/>
    <w:rsid w:val="00D441E3"/>
    <w:rsid w:val="00D44580"/>
    <w:rsid w:val="00D446B7"/>
    <w:rsid w:val="00D44814"/>
    <w:rsid w:val="00D44BD1"/>
    <w:rsid w:val="00D44EA4"/>
    <w:rsid w:val="00D44F26"/>
    <w:rsid w:val="00D4512B"/>
    <w:rsid w:val="00D45A88"/>
    <w:rsid w:val="00D45AC8"/>
    <w:rsid w:val="00D45B19"/>
    <w:rsid w:val="00D45C88"/>
    <w:rsid w:val="00D45D63"/>
    <w:rsid w:val="00D45F70"/>
    <w:rsid w:val="00D46027"/>
    <w:rsid w:val="00D463E9"/>
    <w:rsid w:val="00D46BF0"/>
    <w:rsid w:val="00D46CCF"/>
    <w:rsid w:val="00D46CE9"/>
    <w:rsid w:val="00D46FA4"/>
    <w:rsid w:val="00D474EE"/>
    <w:rsid w:val="00D476EC"/>
    <w:rsid w:val="00D47716"/>
    <w:rsid w:val="00D477DF"/>
    <w:rsid w:val="00D4787E"/>
    <w:rsid w:val="00D47893"/>
    <w:rsid w:val="00D478E7"/>
    <w:rsid w:val="00D479D4"/>
    <w:rsid w:val="00D47B69"/>
    <w:rsid w:val="00D47F3B"/>
    <w:rsid w:val="00D47F61"/>
    <w:rsid w:val="00D5000B"/>
    <w:rsid w:val="00D50414"/>
    <w:rsid w:val="00D5064A"/>
    <w:rsid w:val="00D506F9"/>
    <w:rsid w:val="00D50A02"/>
    <w:rsid w:val="00D50A39"/>
    <w:rsid w:val="00D50E90"/>
    <w:rsid w:val="00D50FC2"/>
    <w:rsid w:val="00D510BF"/>
    <w:rsid w:val="00D511C4"/>
    <w:rsid w:val="00D5129D"/>
    <w:rsid w:val="00D512FD"/>
    <w:rsid w:val="00D51849"/>
    <w:rsid w:val="00D51AB9"/>
    <w:rsid w:val="00D51B52"/>
    <w:rsid w:val="00D51C45"/>
    <w:rsid w:val="00D51C68"/>
    <w:rsid w:val="00D51DB1"/>
    <w:rsid w:val="00D51EED"/>
    <w:rsid w:val="00D52287"/>
    <w:rsid w:val="00D522A6"/>
    <w:rsid w:val="00D523EE"/>
    <w:rsid w:val="00D525D4"/>
    <w:rsid w:val="00D5299F"/>
    <w:rsid w:val="00D52AFF"/>
    <w:rsid w:val="00D52F2E"/>
    <w:rsid w:val="00D5306E"/>
    <w:rsid w:val="00D5358F"/>
    <w:rsid w:val="00D53863"/>
    <w:rsid w:val="00D53AC1"/>
    <w:rsid w:val="00D54105"/>
    <w:rsid w:val="00D54258"/>
    <w:rsid w:val="00D54267"/>
    <w:rsid w:val="00D5452D"/>
    <w:rsid w:val="00D547C1"/>
    <w:rsid w:val="00D547E7"/>
    <w:rsid w:val="00D54AF7"/>
    <w:rsid w:val="00D54B01"/>
    <w:rsid w:val="00D54C80"/>
    <w:rsid w:val="00D54CE1"/>
    <w:rsid w:val="00D54D0B"/>
    <w:rsid w:val="00D54F20"/>
    <w:rsid w:val="00D54F21"/>
    <w:rsid w:val="00D54F91"/>
    <w:rsid w:val="00D550C5"/>
    <w:rsid w:val="00D554F6"/>
    <w:rsid w:val="00D55617"/>
    <w:rsid w:val="00D556A5"/>
    <w:rsid w:val="00D55749"/>
    <w:rsid w:val="00D55A70"/>
    <w:rsid w:val="00D55EEE"/>
    <w:rsid w:val="00D560E0"/>
    <w:rsid w:val="00D5627A"/>
    <w:rsid w:val="00D562D5"/>
    <w:rsid w:val="00D5653D"/>
    <w:rsid w:val="00D5669F"/>
    <w:rsid w:val="00D567DF"/>
    <w:rsid w:val="00D56C5F"/>
    <w:rsid w:val="00D56EE8"/>
    <w:rsid w:val="00D5725C"/>
    <w:rsid w:val="00D574E4"/>
    <w:rsid w:val="00D5777A"/>
    <w:rsid w:val="00D57A12"/>
    <w:rsid w:val="00D57B64"/>
    <w:rsid w:val="00D57C46"/>
    <w:rsid w:val="00D57DAE"/>
    <w:rsid w:val="00D57F1B"/>
    <w:rsid w:val="00D57F5A"/>
    <w:rsid w:val="00D60053"/>
    <w:rsid w:val="00D602E1"/>
    <w:rsid w:val="00D606A7"/>
    <w:rsid w:val="00D606B9"/>
    <w:rsid w:val="00D6070C"/>
    <w:rsid w:val="00D60A85"/>
    <w:rsid w:val="00D60D05"/>
    <w:rsid w:val="00D60E3D"/>
    <w:rsid w:val="00D60F18"/>
    <w:rsid w:val="00D611E2"/>
    <w:rsid w:val="00D614BE"/>
    <w:rsid w:val="00D61520"/>
    <w:rsid w:val="00D61637"/>
    <w:rsid w:val="00D61F2E"/>
    <w:rsid w:val="00D6221E"/>
    <w:rsid w:val="00D624D5"/>
    <w:rsid w:val="00D62564"/>
    <w:rsid w:val="00D625E3"/>
    <w:rsid w:val="00D626E2"/>
    <w:rsid w:val="00D62B04"/>
    <w:rsid w:val="00D62E23"/>
    <w:rsid w:val="00D630E5"/>
    <w:rsid w:val="00D63235"/>
    <w:rsid w:val="00D63486"/>
    <w:rsid w:val="00D635D4"/>
    <w:rsid w:val="00D6371C"/>
    <w:rsid w:val="00D63751"/>
    <w:rsid w:val="00D63768"/>
    <w:rsid w:val="00D63775"/>
    <w:rsid w:val="00D637A8"/>
    <w:rsid w:val="00D63A03"/>
    <w:rsid w:val="00D63B85"/>
    <w:rsid w:val="00D63D4D"/>
    <w:rsid w:val="00D63F38"/>
    <w:rsid w:val="00D63F5A"/>
    <w:rsid w:val="00D63FFD"/>
    <w:rsid w:val="00D6444E"/>
    <w:rsid w:val="00D6453C"/>
    <w:rsid w:val="00D648B1"/>
    <w:rsid w:val="00D6490B"/>
    <w:rsid w:val="00D6496D"/>
    <w:rsid w:val="00D649A8"/>
    <w:rsid w:val="00D64C0A"/>
    <w:rsid w:val="00D64D47"/>
    <w:rsid w:val="00D64D90"/>
    <w:rsid w:val="00D6534F"/>
    <w:rsid w:val="00D659D5"/>
    <w:rsid w:val="00D65A05"/>
    <w:rsid w:val="00D65A16"/>
    <w:rsid w:val="00D65BCD"/>
    <w:rsid w:val="00D65D5F"/>
    <w:rsid w:val="00D65F86"/>
    <w:rsid w:val="00D65FD7"/>
    <w:rsid w:val="00D660BF"/>
    <w:rsid w:val="00D66147"/>
    <w:rsid w:val="00D66152"/>
    <w:rsid w:val="00D66263"/>
    <w:rsid w:val="00D665E8"/>
    <w:rsid w:val="00D6675F"/>
    <w:rsid w:val="00D668B2"/>
    <w:rsid w:val="00D6698C"/>
    <w:rsid w:val="00D66AD6"/>
    <w:rsid w:val="00D66BC1"/>
    <w:rsid w:val="00D66CF1"/>
    <w:rsid w:val="00D66D82"/>
    <w:rsid w:val="00D66F2A"/>
    <w:rsid w:val="00D66F4A"/>
    <w:rsid w:val="00D67037"/>
    <w:rsid w:val="00D67103"/>
    <w:rsid w:val="00D67584"/>
    <w:rsid w:val="00D67872"/>
    <w:rsid w:val="00D679E1"/>
    <w:rsid w:val="00D67A59"/>
    <w:rsid w:val="00D67B5D"/>
    <w:rsid w:val="00D67CFC"/>
    <w:rsid w:val="00D67E39"/>
    <w:rsid w:val="00D67EA8"/>
    <w:rsid w:val="00D70035"/>
    <w:rsid w:val="00D7027E"/>
    <w:rsid w:val="00D70538"/>
    <w:rsid w:val="00D70591"/>
    <w:rsid w:val="00D705BA"/>
    <w:rsid w:val="00D71018"/>
    <w:rsid w:val="00D71093"/>
    <w:rsid w:val="00D711FE"/>
    <w:rsid w:val="00D712DF"/>
    <w:rsid w:val="00D7199B"/>
    <w:rsid w:val="00D71A25"/>
    <w:rsid w:val="00D71BA2"/>
    <w:rsid w:val="00D720B1"/>
    <w:rsid w:val="00D72109"/>
    <w:rsid w:val="00D7224E"/>
    <w:rsid w:val="00D722AD"/>
    <w:rsid w:val="00D7270A"/>
    <w:rsid w:val="00D72BE3"/>
    <w:rsid w:val="00D72C1D"/>
    <w:rsid w:val="00D72F96"/>
    <w:rsid w:val="00D72FDB"/>
    <w:rsid w:val="00D730EB"/>
    <w:rsid w:val="00D73119"/>
    <w:rsid w:val="00D73448"/>
    <w:rsid w:val="00D734CF"/>
    <w:rsid w:val="00D735C0"/>
    <w:rsid w:val="00D73747"/>
    <w:rsid w:val="00D7386C"/>
    <w:rsid w:val="00D73BEB"/>
    <w:rsid w:val="00D74084"/>
    <w:rsid w:val="00D740EA"/>
    <w:rsid w:val="00D74168"/>
    <w:rsid w:val="00D74181"/>
    <w:rsid w:val="00D743FB"/>
    <w:rsid w:val="00D7457A"/>
    <w:rsid w:val="00D74A07"/>
    <w:rsid w:val="00D74B00"/>
    <w:rsid w:val="00D74D67"/>
    <w:rsid w:val="00D74FA9"/>
    <w:rsid w:val="00D75100"/>
    <w:rsid w:val="00D751B8"/>
    <w:rsid w:val="00D75381"/>
    <w:rsid w:val="00D754C8"/>
    <w:rsid w:val="00D75BA5"/>
    <w:rsid w:val="00D76019"/>
    <w:rsid w:val="00D7640E"/>
    <w:rsid w:val="00D766B4"/>
    <w:rsid w:val="00D76B3B"/>
    <w:rsid w:val="00D77265"/>
    <w:rsid w:val="00D77758"/>
    <w:rsid w:val="00D7785B"/>
    <w:rsid w:val="00D77871"/>
    <w:rsid w:val="00D778C0"/>
    <w:rsid w:val="00D77A92"/>
    <w:rsid w:val="00D77AF8"/>
    <w:rsid w:val="00D77B14"/>
    <w:rsid w:val="00D80326"/>
    <w:rsid w:val="00D80943"/>
    <w:rsid w:val="00D80ADE"/>
    <w:rsid w:val="00D80BBD"/>
    <w:rsid w:val="00D80C15"/>
    <w:rsid w:val="00D80EBE"/>
    <w:rsid w:val="00D80F99"/>
    <w:rsid w:val="00D810E1"/>
    <w:rsid w:val="00D81137"/>
    <w:rsid w:val="00D814FD"/>
    <w:rsid w:val="00D8154B"/>
    <w:rsid w:val="00D818F7"/>
    <w:rsid w:val="00D819D9"/>
    <w:rsid w:val="00D81BE9"/>
    <w:rsid w:val="00D81DCC"/>
    <w:rsid w:val="00D821A1"/>
    <w:rsid w:val="00D822AC"/>
    <w:rsid w:val="00D8256B"/>
    <w:rsid w:val="00D826B9"/>
    <w:rsid w:val="00D82CF8"/>
    <w:rsid w:val="00D82E2A"/>
    <w:rsid w:val="00D82FBA"/>
    <w:rsid w:val="00D82FC5"/>
    <w:rsid w:val="00D83082"/>
    <w:rsid w:val="00D830AC"/>
    <w:rsid w:val="00D830BE"/>
    <w:rsid w:val="00D831D2"/>
    <w:rsid w:val="00D8323D"/>
    <w:rsid w:val="00D83683"/>
    <w:rsid w:val="00D83861"/>
    <w:rsid w:val="00D83B09"/>
    <w:rsid w:val="00D84227"/>
    <w:rsid w:val="00D8436E"/>
    <w:rsid w:val="00D843C1"/>
    <w:rsid w:val="00D84666"/>
    <w:rsid w:val="00D846DD"/>
    <w:rsid w:val="00D84894"/>
    <w:rsid w:val="00D84A27"/>
    <w:rsid w:val="00D84CA6"/>
    <w:rsid w:val="00D84FC7"/>
    <w:rsid w:val="00D85309"/>
    <w:rsid w:val="00D8532A"/>
    <w:rsid w:val="00D8540C"/>
    <w:rsid w:val="00D85446"/>
    <w:rsid w:val="00D8544C"/>
    <w:rsid w:val="00D85566"/>
    <w:rsid w:val="00D855E6"/>
    <w:rsid w:val="00D85749"/>
    <w:rsid w:val="00D85931"/>
    <w:rsid w:val="00D85BB4"/>
    <w:rsid w:val="00D85BDD"/>
    <w:rsid w:val="00D85C24"/>
    <w:rsid w:val="00D85DCC"/>
    <w:rsid w:val="00D85E63"/>
    <w:rsid w:val="00D85EE7"/>
    <w:rsid w:val="00D86028"/>
    <w:rsid w:val="00D8652E"/>
    <w:rsid w:val="00D86733"/>
    <w:rsid w:val="00D868CD"/>
    <w:rsid w:val="00D86C58"/>
    <w:rsid w:val="00D86CFC"/>
    <w:rsid w:val="00D86D15"/>
    <w:rsid w:val="00D86E90"/>
    <w:rsid w:val="00D87170"/>
    <w:rsid w:val="00D8745B"/>
    <w:rsid w:val="00D87739"/>
    <w:rsid w:val="00D87768"/>
    <w:rsid w:val="00D877C9"/>
    <w:rsid w:val="00D877F5"/>
    <w:rsid w:val="00D87AA8"/>
    <w:rsid w:val="00D87AD4"/>
    <w:rsid w:val="00D87B25"/>
    <w:rsid w:val="00D87BBB"/>
    <w:rsid w:val="00D87BBC"/>
    <w:rsid w:val="00D87D97"/>
    <w:rsid w:val="00D900C9"/>
    <w:rsid w:val="00D90632"/>
    <w:rsid w:val="00D906A5"/>
    <w:rsid w:val="00D90867"/>
    <w:rsid w:val="00D90A77"/>
    <w:rsid w:val="00D90AB7"/>
    <w:rsid w:val="00D90F5C"/>
    <w:rsid w:val="00D90F73"/>
    <w:rsid w:val="00D91077"/>
    <w:rsid w:val="00D912F8"/>
    <w:rsid w:val="00D9149E"/>
    <w:rsid w:val="00D914B5"/>
    <w:rsid w:val="00D91721"/>
    <w:rsid w:val="00D9179D"/>
    <w:rsid w:val="00D91A9F"/>
    <w:rsid w:val="00D91AC7"/>
    <w:rsid w:val="00D91B5A"/>
    <w:rsid w:val="00D91C78"/>
    <w:rsid w:val="00D91E1C"/>
    <w:rsid w:val="00D91FBF"/>
    <w:rsid w:val="00D925AB"/>
    <w:rsid w:val="00D92ADD"/>
    <w:rsid w:val="00D92B13"/>
    <w:rsid w:val="00D92B25"/>
    <w:rsid w:val="00D934DE"/>
    <w:rsid w:val="00D9358A"/>
    <w:rsid w:val="00D937FB"/>
    <w:rsid w:val="00D938CF"/>
    <w:rsid w:val="00D93C58"/>
    <w:rsid w:val="00D93CB4"/>
    <w:rsid w:val="00D93D26"/>
    <w:rsid w:val="00D94216"/>
    <w:rsid w:val="00D94346"/>
    <w:rsid w:val="00D945A2"/>
    <w:rsid w:val="00D94792"/>
    <w:rsid w:val="00D948CD"/>
    <w:rsid w:val="00D94D26"/>
    <w:rsid w:val="00D95144"/>
    <w:rsid w:val="00D95656"/>
    <w:rsid w:val="00D95695"/>
    <w:rsid w:val="00D95CD4"/>
    <w:rsid w:val="00D95E16"/>
    <w:rsid w:val="00D9604D"/>
    <w:rsid w:val="00D96083"/>
    <w:rsid w:val="00D9679E"/>
    <w:rsid w:val="00D967AB"/>
    <w:rsid w:val="00D96AD0"/>
    <w:rsid w:val="00D96DED"/>
    <w:rsid w:val="00D96E16"/>
    <w:rsid w:val="00D96F30"/>
    <w:rsid w:val="00D97081"/>
    <w:rsid w:val="00D97392"/>
    <w:rsid w:val="00D97551"/>
    <w:rsid w:val="00D97613"/>
    <w:rsid w:val="00D9779A"/>
    <w:rsid w:val="00D977AA"/>
    <w:rsid w:val="00D9780F"/>
    <w:rsid w:val="00D978BA"/>
    <w:rsid w:val="00D97BD5"/>
    <w:rsid w:val="00D97C6E"/>
    <w:rsid w:val="00D97EC7"/>
    <w:rsid w:val="00DA025A"/>
    <w:rsid w:val="00DA033C"/>
    <w:rsid w:val="00DA0730"/>
    <w:rsid w:val="00DA073E"/>
    <w:rsid w:val="00DA0CE7"/>
    <w:rsid w:val="00DA0E02"/>
    <w:rsid w:val="00DA1019"/>
    <w:rsid w:val="00DA102B"/>
    <w:rsid w:val="00DA13F1"/>
    <w:rsid w:val="00DA14F2"/>
    <w:rsid w:val="00DA15D1"/>
    <w:rsid w:val="00DA16C1"/>
    <w:rsid w:val="00DA1771"/>
    <w:rsid w:val="00DA1784"/>
    <w:rsid w:val="00DA1D37"/>
    <w:rsid w:val="00DA1D5B"/>
    <w:rsid w:val="00DA1F84"/>
    <w:rsid w:val="00DA1F9F"/>
    <w:rsid w:val="00DA2730"/>
    <w:rsid w:val="00DA2772"/>
    <w:rsid w:val="00DA27A1"/>
    <w:rsid w:val="00DA29DA"/>
    <w:rsid w:val="00DA2AB5"/>
    <w:rsid w:val="00DA2C80"/>
    <w:rsid w:val="00DA2DFF"/>
    <w:rsid w:val="00DA3002"/>
    <w:rsid w:val="00DA3436"/>
    <w:rsid w:val="00DA38C7"/>
    <w:rsid w:val="00DA39F3"/>
    <w:rsid w:val="00DA3C23"/>
    <w:rsid w:val="00DA40E3"/>
    <w:rsid w:val="00DA4518"/>
    <w:rsid w:val="00DA4581"/>
    <w:rsid w:val="00DA46AC"/>
    <w:rsid w:val="00DA4C2A"/>
    <w:rsid w:val="00DA4FE3"/>
    <w:rsid w:val="00DA50D2"/>
    <w:rsid w:val="00DA51E3"/>
    <w:rsid w:val="00DA53C8"/>
    <w:rsid w:val="00DA55A4"/>
    <w:rsid w:val="00DA56C8"/>
    <w:rsid w:val="00DA5AB2"/>
    <w:rsid w:val="00DA5B27"/>
    <w:rsid w:val="00DA5CAA"/>
    <w:rsid w:val="00DA5D56"/>
    <w:rsid w:val="00DA5EF7"/>
    <w:rsid w:val="00DA5F1C"/>
    <w:rsid w:val="00DA5F61"/>
    <w:rsid w:val="00DA60B1"/>
    <w:rsid w:val="00DA61A9"/>
    <w:rsid w:val="00DA630F"/>
    <w:rsid w:val="00DA6360"/>
    <w:rsid w:val="00DA6422"/>
    <w:rsid w:val="00DA66C5"/>
    <w:rsid w:val="00DA6979"/>
    <w:rsid w:val="00DA6B07"/>
    <w:rsid w:val="00DA6D66"/>
    <w:rsid w:val="00DA72E9"/>
    <w:rsid w:val="00DA77E5"/>
    <w:rsid w:val="00DA7960"/>
    <w:rsid w:val="00DA7A11"/>
    <w:rsid w:val="00DA7BC5"/>
    <w:rsid w:val="00DA7C00"/>
    <w:rsid w:val="00DA7E52"/>
    <w:rsid w:val="00DA7F8F"/>
    <w:rsid w:val="00DB00A9"/>
    <w:rsid w:val="00DB06D0"/>
    <w:rsid w:val="00DB0857"/>
    <w:rsid w:val="00DB0A16"/>
    <w:rsid w:val="00DB0CB4"/>
    <w:rsid w:val="00DB1071"/>
    <w:rsid w:val="00DB11FF"/>
    <w:rsid w:val="00DB1BCD"/>
    <w:rsid w:val="00DB1CDE"/>
    <w:rsid w:val="00DB1ED6"/>
    <w:rsid w:val="00DB2060"/>
    <w:rsid w:val="00DB21B9"/>
    <w:rsid w:val="00DB21F4"/>
    <w:rsid w:val="00DB2534"/>
    <w:rsid w:val="00DB2642"/>
    <w:rsid w:val="00DB266B"/>
    <w:rsid w:val="00DB2790"/>
    <w:rsid w:val="00DB27E4"/>
    <w:rsid w:val="00DB2A7A"/>
    <w:rsid w:val="00DB2BC5"/>
    <w:rsid w:val="00DB2D7F"/>
    <w:rsid w:val="00DB3026"/>
    <w:rsid w:val="00DB329B"/>
    <w:rsid w:val="00DB33DB"/>
    <w:rsid w:val="00DB35FF"/>
    <w:rsid w:val="00DB39E0"/>
    <w:rsid w:val="00DB3C94"/>
    <w:rsid w:val="00DB3CA5"/>
    <w:rsid w:val="00DB3DB7"/>
    <w:rsid w:val="00DB3F2E"/>
    <w:rsid w:val="00DB445C"/>
    <w:rsid w:val="00DB466D"/>
    <w:rsid w:val="00DB4F70"/>
    <w:rsid w:val="00DB5107"/>
    <w:rsid w:val="00DB5197"/>
    <w:rsid w:val="00DB530C"/>
    <w:rsid w:val="00DB5491"/>
    <w:rsid w:val="00DB5552"/>
    <w:rsid w:val="00DB55F7"/>
    <w:rsid w:val="00DB5C7D"/>
    <w:rsid w:val="00DB604C"/>
    <w:rsid w:val="00DB606C"/>
    <w:rsid w:val="00DB62EC"/>
    <w:rsid w:val="00DB698D"/>
    <w:rsid w:val="00DB6B63"/>
    <w:rsid w:val="00DB6C6D"/>
    <w:rsid w:val="00DB7176"/>
    <w:rsid w:val="00DB71CD"/>
    <w:rsid w:val="00DB73E1"/>
    <w:rsid w:val="00DB7476"/>
    <w:rsid w:val="00DB749C"/>
    <w:rsid w:val="00DB74FB"/>
    <w:rsid w:val="00DB754E"/>
    <w:rsid w:val="00DB75B1"/>
    <w:rsid w:val="00DB75CC"/>
    <w:rsid w:val="00DB7ABD"/>
    <w:rsid w:val="00DB7C41"/>
    <w:rsid w:val="00DB7CA7"/>
    <w:rsid w:val="00DB7D85"/>
    <w:rsid w:val="00DB7D8F"/>
    <w:rsid w:val="00DB7E0C"/>
    <w:rsid w:val="00DC011B"/>
    <w:rsid w:val="00DC016B"/>
    <w:rsid w:val="00DC01AE"/>
    <w:rsid w:val="00DC020D"/>
    <w:rsid w:val="00DC027E"/>
    <w:rsid w:val="00DC03EF"/>
    <w:rsid w:val="00DC048F"/>
    <w:rsid w:val="00DC06FB"/>
    <w:rsid w:val="00DC09D9"/>
    <w:rsid w:val="00DC0A2B"/>
    <w:rsid w:val="00DC0B90"/>
    <w:rsid w:val="00DC0EF9"/>
    <w:rsid w:val="00DC131B"/>
    <w:rsid w:val="00DC1454"/>
    <w:rsid w:val="00DC177C"/>
    <w:rsid w:val="00DC199C"/>
    <w:rsid w:val="00DC19E7"/>
    <w:rsid w:val="00DC1C5B"/>
    <w:rsid w:val="00DC1E78"/>
    <w:rsid w:val="00DC1F8B"/>
    <w:rsid w:val="00DC20EC"/>
    <w:rsid w:val="00DC2804"/>
    <w:rsid w:val="00DC2AE7"/>
    <w:rsid w:val="00DC2B8B"/>
    <w:rsid w:val="00DC2CDB"/>
    <w:rsid w:val="00DC2D2E"/>
    <w:rsid w:val="00DC2DA1"/>
    <w:rsid w:val="00DC2E08"/>
    <w:rsid w:val="00DC30C9"/>
    <w:rsid w:val="00DC32C8"/>
    <w:rsid w:val="00DC33C6"/>
    <w:rsid w:val="00DC37C9"/>
    <w:rsid w:val="00DC37E5"/>
    <w:rsid w:val="00DC3940"/>
    <w:rsid w:val="00DC39FE"/>
    <w:rsid w:val="00DC4045"/>
    <w:rsid w:val="00DC40C5"/>
    <w:rsid w:val="00DC44DC"/>
    <w:rsid w:val="00DC44E7"/>
    <w:rsid w:val="00DC4653"/>
    <w:rsid w:val="00DC46B0"/>
    <w:rsid w:val="00DC46E6"/>
    <w:rsid w:val="00DC4799"/>
    <w:rsid w:val="00DC47DA"/>
    <w:rsid w:val="00DC4834"/>
    <w:rsid w:val="00DC4A96"/>
    <w:rsid w:val="00DC4B58"/>
    <w:rsid w:val="00DC4F2E"/>
    <w:rsid w:val="00DC51E2"/>
    <w:rsid w:val="00DC54FA"/>
    <w:rsid w:val="00DC5500"/>
    <w:rsid w:val="00DC562B"/>
    <w:rsid w:val="00DC5630"/>
    <w:rsid w:val="00DC57FF"/>
    <w:rsid w:val="00DC5B51"/>
    <w:rsid w:val="00DC5C09"/>
    <w:rsid w:val="00DC60E9"/>
    <w:rsid w:val="00DC66ED"/>
    <w:rsid w:val="00DC6867"/>
    <w:rsid w:val="00DC687B"/>
    <w:rsid w:val="00DC6BD4"/>
    <w:rsid w:val="00DC6CE9"/>
    <w:rsid w:val="00DC6D18"/>
    <w:rsid w:val="00DC6F00"/>
    <w:rsid w:val="00DC735E"/>
    <w:rsid w:val="00DC7385"/>
    <w:rsid w:val="00DC739E"/>
    <w:rsid w:val="00DC74FF"/>
    <w:rsid w:val="00DC773F"/>
    <w:rsid w:val="00DC78A7"/>
    <w:rsid w:val="00DC7931"/>
    <w:rsid w:val="00DC7BB6"/>
    <w:rsid w:val="00DC7CDE"/>
    <w:rsid w:val="00DC7D6E"/>
    <w:rsid w:val="00DC7E04"/>
    <w:rsid w:val="00DC7EDA"/>
    <w:rsid w:val="00DD0235"/>
    <w:rsid w:val="00DD0296"/>
    <w:rsid w:val="00DD02F6"/>
    <w:rsid w:val="00DD0597"/>
    <w:rsid w:val="00DD065D"/>
    <w:rsid w:val="00DD06D9"/>
    <w:rsid w:val="00DD0738"/>
    <w:rsid w:val="00DD0982"/>
    <w:rsid w:val="00DD0CAC"/>
    <w:rsid w:val="00DD0CD0"/>
    <w:rsid w:val="00DD0DED"/>
    <w:rsid w:val="00DD0E8F"/>
    <w:rsid w:val="00DD1ACF"/>
    <w:rsid w:val="00DD1BE9"/>
    <w:rsid w:val="00DD1CAA"/>
    <w:rsid w:val="00DD1E2F"/>
    <w:rsid w:val="00DD1E53"/>
    <w:rsid w:val="00DD1E59"/>
    <w:rsid w:val="00DD1EB7"/>
    <w:rsid w:val="00DD1F66"/>
    <w:rsid w:val="00DD1F8E"/>
    <w:rsid w:val="00DD2078"/>
    <w:rsid w:val="00DD2744"/>
    <w:rsid w:val="00DD2772"/>
    <w:rsid w:val="00DD2991"/>
    <w:rsid w:val="00DD305B"/>
    <w:rsid w:val="00DD307A"/>
    <w:rsid w:val="00DD30E1"/>
    <w:rsid w:val="00DD333E"/>
    <w:rsid w:val="00DD3400"/>
    <w:rsid w:val="00DD344C"/>
    <w:rsid w:val="00DD3658"/>
    <w:rsid w:val="00DD3B0C"/>
    <w:rsid w:val="00DD3BB9"/>
    <w:rsid w:val="00DD3C12"/>
    <w:rsid w:val="00DD3EA7"/>
    <w:rsid w:val="00DD3ED1"/>
    <w:rsid w:val="00DD3F87"/>
    <w:rsid w:val="00DD4047"/>
    <w:rsid w:val="00DD4062"/>
    <w:rsid w:val="00DD4150"/>
    <w:rsid w:val="00DD41CC"/>
    <w:rsid w:val="00DD4285"/>
    <w:rsid w:val="00DD42BB"/>
    <w:rsid w:val="00DD4455"/>
    <w:rsid w:val="00DD4934"/>
    <w:rsid w:val="00DD500A"/>
    <w:rsid w:val="00DD511B"/>
    <w:rsid w:val="00DD51B6"/>
    <w:rsid w:val="00DD5219"/>
    <w:rsid w:val="00DD52F9"/>
    <w:rsid w:val="00DD55C0"/>
    <w:rsid w:val="00DD5611"/>
    <w:rsid w:val="00DD56D7"/>
    <w:rsid w:val="00DD5781"/>
    <w:rsid w:val="00DD5802"/>
    <w:rsid w:val="00DD5EBE"/>
    <w:rsid w:val="00DD6272"/>
    <w:rsid w:val="00DD66CD"/>
    <w:rsid w:val="00DD6889"/>
    <w:rsid w:val="00DD6A55"/>
    <w:rsid w:val="00DD6AD4"/>
    <w:rsid w:val="00DD6BA2"/>
    <w:rsid w:val="00DD6CA8"/>
    <w:rsid w:val="00DD6DB2"/>
    <w:rsid w:val="00DD6EBD"/>
    <w:rsid w:val="00DD6F96"/>
    <w:rsid w:val="00DD70CC"/>
    <w:rsid w:val="00DD726E"/>
    <w:rsid w:val="00DD7283"/>
    <w:rsid w:val="00DD74DD"/>
    <w:rsid w:val="00DD758B"/>
    <w:rsid w:val="00DD79F3"/>
    <w:rsid w:val="00DD7CDE"/>
    <w:rsid w:val="00DD7D59"/>
    <w:rsid w:val="00DD7E0D"/>
    <w:rsid w:val="00DE00A2"/>
    <w:rsid w:val="00DE043F"/>
    <w:rsid w:val="00DE0542"/>
    <w:rsid w:val="00DE0E36"/>
    <w:rsid w:val="00DE11E5"/>
    <w:rsid w:val="00DE131A"/>
    <w:rsid w:val="00DE155C"/>
    <w:rsid w:val="00DE15C3"/>
    <w:rsid w:val="00DE181C"/>
    <w:rsid w:val="00DE19FF"/>
    <w:rsid w:val="00DE1B8F"/>
    <w:rsid w:val="00DE2001"/>
    <w:rsid w:val="00DE2069"/>
    <w:rsid w:val="00DE20B9"/>
    <w:rsid w:val="00DE2380"/>
    <w:rsid w:val="00DE27F8"/>
    <w:rsid w:val="00DE2898"/>
    <w:rsid w:val="00DE2D1F"/>
    <w:rsid w:val="00DE30BB"/>
    <w:rsid w:val="00DE3434"/>
    <w:rsid w:val="00DE3722"/>
    <w:rsid w:val="00DE38E0"/>
    <w:rsid w:val="00DE39E6"/>
    <w:rsid w:val="00DE3AD0"/>
    <w:rsid w:val="00DE3B2E"/>
    <w:rsid w:val="00DE3C10"/>
    <w:rsid w:val="00DE3EAB"/>
    <w:rsid w:val="00DE41D9"/>
    <w:rsid w:val="00DE4AFB"/>
    <w:rsid w:val="00DE4D1F"/>
    <w:rsid w:val="00DE4D6E"/>
    <w:rsid w:val="00DE51A4"/>
    <w:rsid w:val="00DE5289"/>
    <w:rsid w:val="00DE5752"/>
    <w:rsid w:val="00DE5B4B"/>
    <w:rsid w:val="00DE5C34"/>
    <w:rsid w:val="00DE5D1E"/>
    <w:rsid w:val="00DE5EEF"/>
    <w:rsid w:val="00DE5FBC"/>
    <w:rsid w:val="00DE60CB"/>
    <w:rsid w:val="00DE61F1"/>
    <w:rsid w:val="00DE61F4"/>
    <w:rsid w:val="00DE65DD"/>
    <w:rsid w:val="00DE660B"/>
    <w:rsid w:val="00DE6E90"/>
    <w:rsid w:val="00DE6F01"/>
    <w:rsid w:val="00DE73F9"/>
    <w:rsid w:val="00DE7C45"/>
    <w:rsid w:val="00DE7FD7"/>
    <w:rsid w:val="00DE7FDE"/>
    <w:rsid w:val="00DF04A2"/>
    <w:rsid w:val="00DF04E9"/>
    <w:rsid w:val="00DF0797"/>
    <w:rsid w:val="00DF0949"/>
    <w:rsid w:val="00DF0AF5"/>
    <w:rsid w:val="00DF0B02"/>
    <w:rsid w:val="00DF0CE9"/>
    <w:rsid w:val="00DF122E"/>
    <w:rsid w:val="00DF131C"/>
    <w:rsid w:val="00DF1399"/>
    <w:rsid w:val="00DF13C3"/>
    <w:rsid w:val="00DF1466"/>
    <w:rsid w:val="00DF157E"/>
    <w:rsid w:val="00DF15EA"/>
    <w:rsid w:val="00DF15F3"/>
    <w:rsid w:val="00DF161B"/>
    <w:rsid w:val="00DF16DF"/>
    <w:rsid w:val="00DF17B4"/>
    <w:rsid w:val="00DF1B0D"/>
    <w:rsid w:val="00DF1B98"/>
    <w:rsid w:val="00DF2054"/>
    <w:rsid w:val="00DF2100"/>
    <w:rsid w:val="00DF21C7"/>
    <w:rsid w:val="00DF2297"/>
    <w:rsid w:val="00DF27B0"/>
    <w:rsid w:val="00DF2D1B"/>
    <w:rsid w:val="00DF303E"/>
    <w:rsid w:val="00DF3046"/>
    <w:rsid w:val="00DF31E4"/>
    <w:rsid w:val="00DF3360"/>
    <w:rsid w:val="00DF339A"/>
    <w:rsid w:val="00DF33C1"/>
    <w:rsid w:val="00DF342A"/>
    <w:rsid w:val="00DF3446"/>
    <w:rsid w:val="00DF3660"/>
    <w:rsid w:val="00DF37C5"/>
    <w:rsid w:val="00DF3A40"/>
    <w:rsid w:val="00DF3AFF"/>
    <w:rsid w:val="00DF3F90"/>
    <w:rsid w:val="00DF4026"/>
    <w:rsid w:val="00DF4128"/>
    <w:rsid w:val="00DF44E1"/>
    <w:rsid w:val="00DF45A5"/>
    <w:rsid w:val="00DF46B6"/>
    <w:rsid w:val="00DF4B31"/>
    <w:rsid w:val="00DF4C6A"/>
    <w:rsid w:val="00DF5463"/>
    <w:rsid w:val="00DF5B72"/>
    <w:rsid w:val="00DF5C1A"/>
    <w:rsid w:val="00DF601B"/>
    <w:rsid w:val="00DF606D"/>
    <w:rsid w:val="00DF628D"/>
    <w:rsid w:val="00DF63AB"/>
    <w:rsid w:val="00DF63E2"/>
    <w:rsid w:val="00DF65AC"/>
    <w:rsid w:val="00DF65F8"/>
    <w:rsid w:val="00DF67D1"/>
    <w:rsid w:val="00DF67E2"/>
    <w:rsid w:val="00DF688A"/>
    <w:rsid w:val="00DF6D6A"/>
    <w:rsid w:val="00DF6F10"/>
    <w:rsid w:val="00DF6F97"/>
    <w:rsid w:val="00DF7631"/>
    <w:rsid w:val="00DF782D"/>
    <w:rsid w:val="00DF7E36"/>
    <w:rsid w:val="00DF7E69"/>
    <w:rsid w:val="00DF7F05"/>
    <w:rsid w:val="00E00049"/>
    <w:rsid w:val="00E00075"/>
    <w:rsid w:val="00E0018F"/>
    <w:rsid w:val="00E005FC"/>
    <w:rsid w:val="00E008CA"/>
    <w:rsid w:val="00E00BCF"/>
    <w:rsid w:val="00E00C26"/>
    <w:rsid w:val="00E00C99"/>
    <w:rsid w:val="00E01613"/>
    <w:rsid w:val="00E01774"/>
    <w:rsid w:val="00E01AB1"/>
    <w:rsid w:val="00E01ABD"/>
    <w:rsid w:val="00E01B7B"/>
    <w:rsid w:val="00E01C86"/>
    <w:rsid w:val="00E01D42"/>
    <w:rsid w:val="00E01EA7"/>
    <w:rsid w:val="00E01EDE"/>
    <w:rsid w:val="00E01F38"/>
    <w:rsid w:val="00E01F6A"/>
    <w:rsid w:val="00E01FE1"/>
    <w:rsid w:val="00E01FF2"/>
    <w:rsid w:val="00E0223E"/>
    <w:rsid w:val="00E023E4"/>
    <w:rsid w:val="00E024AF"/>
    <w:rsid w:val="00E0286D"/>
    <w:rsid w:val="00E0292D"/>
    <w:rsid w:val="00E029C9"/>
    <w:rsid w:val="00E02AFC"/>
    <w:rsid w:val="00E02EF0"/>
    <w:rsid w:val="00E03321"/>
    <w:rsid w:val="00E039F6"/>
    <w:rsid w:val="00E03C53"/>
    <w:rsid w:val="00E03C72"/>
    <w:rsid w:val="00E03CB8"/>
    <w:rsid w:val="00E03D46"/>
    <w:rsid w:val="00E03D51"/>
    <w:rsid w:val="00E04097"/>
    <w:rsid w:val="00E04101"/>
    <w:rsid w:val="00E0446A"/>
    <w:rsid w:val="00E0446D"/>
    <w:rsid w:val="00E04773"/>
    <w:rsid w:val="00E04791"/>
    <w:rsid w:val="00E04A1C"/>
    <w:rsid w:val="00E04E81"/>
    <w:rsid w:val="00E0562B"/>
    <w:rsid w:val="00E05BE6"/>
    <w:rsid w:val="00E05D7D"/>
    <w:rsid w:val="00E05DD7"/>
    <w:rsid w:val="00E05DE8"/>
    <w:rsid w:val="00E05E43"/>
    <w:rsid w:val="00E05EEF"/>
    <w:rsid w:val="00E06303"/>
    <w:rsid w:val="00E0652C"/>
    <w:rsid w:val="00E06652"/>
    <w:rsid w:val="00E067B8"/>
    <w:rsid w:val="00E06839"/>
    <w:rsid w:val="00E068F3"/>
    <w:rsid w:val="00E06DD0"/>
    <w:rsid w:val="00E06E4F"/>
    <w:rsid w:val="00E06F9C"/>
    <w:rsid w:val="00E07352"/>
    <w:rsid w:val="00E073B3"/>
    <w:rsid w:val="00E075C1"/>
    <w:rsid w:val="00E0773B"/>
    <w:rsid w:val="00E07807"/>
    <w:rsid w:val="00E07A7F"/>
    <w:rsid w:val="00E07BE2"/>
    <w:rsid w:val="00E07D3D"/>
    <w:rsid w:val="00E07FE0"/>
    <w:rsid w:val="00E1004B"/>
    <w:rsid w:val="00E106D1"/>
    <w:rsid w:val="00E1091E"/>
    <w:rsid w:val="00E109C4"/>
    <w:rsid w:val="00E10A9B"/>
    <w:rsid w:val="00E10DAD"/>
    <w:rsid w:val="00E1129F"/>
    <w:rsid w:val="00E112AD"/>
    <w:rsid w:val="00E11501"/>
    <w:rsid w:val="00E1152C"/>
    <w:rsid w:val="00E11634"/>
    <w:rsid w:val="00E11A88"/>
    <w:rsid w:val="00E11F0F"/>
    <w:rsid w:val="00E11F2C"/>
    <w:rsid w:val="00E12221"/>
    <w:rsid w:val="00E12388"/>
    <w:rsid w:val="00E12434"/>
    <w:rsid w:val="00E12842"/>
    <w:rsid w:val="00E12A5A"/>
    <w:rsid w:val="00E12C3C"/>
    <w:rsid w:val="00E13086"/>
    <w:rsid w:val="00E13308"/>
    <w:rsid w:val="00E1332A"/>
    <w:rsid w:val="00E13405"/>
    <w:rsid w:val="00E134FD"/>
    <w:rsid w:val="00E1357E"/>
    <w:rsid w:val="00E1358F"/>
    <w:rsid w:val="00E13648"/>
    <w:rsid w:val="00E1387F"/>
    <w:rsid w:val="00E13AEF"/>
    <w:rsid w:val="00E13B16"/>
    <w:rsid w:val="00E13DB5"/>
    <w:rsid w:val="00E13EDA"/>
    <w:rsid w:val="00E14284"/>
    <w:rsid w:val="00E144BB"/>
    <w:rsid w:val="00E144BC"/>
    <w:rsid w:val="00E144CB"/>
    <w:rsid w:val="00E144FE"/>
    <w:rsid w:val="00E14B9E"/>
    <w:rsid w:val="00E14BA2"/>
    <w:rsid w:val="00E14BFC"/>
    <w:rsid w:val="00E14C29"/>
    <w:rsid w:val="00E14E80"/>
    <w:rsid w:val="00E14F54"/>
    <w:rsid w:val="00E15096"/>
    <w:rsid w:val="00E151AC"/>
    <w:rsid w:val="00E15207"/>
    <w:rsid w:val="00E15211"/>
    <w:rsid w:val="00E15248"/>
    <w:rsid w:val="00E154B4"/>
    <w:rsid w:val="00E159FE"/>
    <w:rsid w:val="00E15B7A"/>
    <w:rsid w:val="00E15C6B"/>
    <w:rsid w:val="00E15D0A"/>
    <w:rsid w:val="00E15E28"/>
    <w:rsid w:val="00E1633D"/>
    <w:rsid w:val="00E16394"/>
    <w:rsid w:val="00E164E3"/>
    <w:rsid w:val="00E16531"/>
    <w:rsid w:val="00E16587"/>
    <w:rsid w:val="00E1666C"/>
    <w:rsid w:val="00E16758"/>
    <w:rsid w:val="00E16859"/>
    <w:rsid w:val="00E169AC"/>
    <w:rsid w:val="00E16CDE"/>
    <w:rsid w:val="00E16CFD"/>
    <w:rsid w:val="00E1702E"/>
    <w:rsid w:val="00E173AC"/>
    <w:rsid w:val="00E17568"/>
    <w:rsid w:val="00E17641"/>
    <w:rsid w:val="00E176B2"/>
    <w:rsid w:val="00E176DE"/>
    <w:rsid w:val="00E1771F"/>
    <w:rsid w:val="00E17732"/>
    <w:rsid w:val="00E17794"/>
    <w:rsid w:val="00E178EE"/>
    <w:rsid w:val="00E17984"/>
    <w:rsid w:val="00E17A9E"/>
    <w:rsid w:val="00E17BEA"/>
    <w:rsid w:val="00E17D84"/>
    <w:rsid w:val="00E17FF8"/>
    <w:rsid w:val="00E20055"/>
    <w:rsid w:val="00E2033B"/>
    <w:rsid w:val="00E2038F"/>
    <w:rsid w:val="00E20615"/>
    <w:rsid w:val="00E20CE5"/>
    <w:rsid w:val="00E20D6C"/>
    <w:rsid w:val="00E20F6B"/>
    <w:rsid w:val="00E21069"/>
    <w:rsid w:val="00E2137D"/>
    <w:rsid w:val="00E2166E"/>
    <w:rsid w:val="00E216F5"/>
    <w:rsid w:val="00E21BE4"/>
    <w:rsid w:val="00E220FB"/>
    <w:rsid w:val="00E22550"/>
    <w:rsid w:val="00E2259B"/>
    <w:rsid w:val="00E225D8"/>
    <w:rsid w:val="00E22B06"/>
    <w:rsid w:val="00E22BC2"/>
    <w:rsid w:val="00E22D8B"/>
    <w:rsid w:val="00E22F29"/>
    <w:rsid w:val="00E2304C"/>
    <w:rsid w:val="00E2360B"/>
    <w:rsid w:val="00E237EC"/>
    <w:rsid w:val="00E239B9"/>
    <w:rsid w:val="00E23A90"/>
    <w:rsid w:val="00E23C93"/>
    <w:rsid w:val="00E23E55"/>
    <w:rsid w:val="00E23F58"/>
    <w:rsid w:val="00E24196"/>
    <w:rsid w:val="00E24216"/>
    <w:rsid w:val="00E24453"/>
    <w:rsid w:val="00E2470A"/>
    <w:rsid w:val="00E24DC0"/>
    <w:rsid w:val="00E254EF"/>
    <w:rsid w:val="00E257AB"/>
    <w:rsid w:val="00E2592F"/>
    <w:rsid w:val="00E259E8"/>
    <w:rsid w:val="00E25A3B"/>
    <w:rsid w:val="00E2606B"/>
    <w:rsid w:val="00E2608E"/>
    <w:rsid w:val="00E260E1"/>
    <w:rsid w:val="00E26193"/>
    <w:rsid w:val="00E264A0"/>
    <w:rsid w:val="00E266D8"/>
    <w:rsid w:val="00E26752"/>
    <w:rsid w:val="00E26790"/>
    <w:rsid w:val="00E26BD2"/>
    <w:rsid w:val="00E270C5"/>
    <w:rsid w:val="00E2716F"/>
    <w:rsid w:val="00E271E5"/>
    <w:rsid w:val="00E273A9"/>
    <w:rsid w:val="00E27965"/>
    <w:rsid w:val="00E30012"/>
    <w:rsid w:val="00E30518"/>
    <w:rsid w:val="00E30729"/>
    <w:rsid w:val="00E3091F"/>
    <w:rsid w:val="00E309E7"/>
    <w:rsid w:val="00E30ADE"/>
    <w:rsid w:val="00E30B5E"/>
    <w:rsid w:val="00E30DD5"/>
    <w:rsid w:val="00E30E2A"/>
    <w:rsid w:val="00E30F63"/>
    <w:rsid w:val="00E310B0"/>
    <w:rsid w:val="00E3151E"/>
    <w:rsid w:val="00E31880"/>
    <w:rsid w:val="00E31AAD"/>
    <w:rsid w:val="00E31CF5"/>
    <w:rsid w:val="00E31DC4"/>
    <w:rsid w:val="00E32262"/>
    <w:rsid w:val="00E32389"/>
    <w:rsid w:val="00E32555"/>
    <w:rsid w:val="00E32853"/>
    <w:rsid w:val="00E329C6"/>
    <w:rsid w:val="00E33111"/>
    <w:rsid w:val="00E33291"/>
    <w:rsid w:val="00E3386C"/>
    <w:rsid w:val="00E33A29"/>
    <w:rsid w:val="00E33A4C"/>
    <w:rsid w:val="00E33ACD"/>
    <w:rsid w:val="00E33B84"/>
    <w:rsid w:val="00E33D40"/>
    <w:rsid w:val="00E33E23"/>
    <w:rsid w:val="00E33E49"/>
    <w:rsid w:val="00E33EDD"/>
    <w:rsid w:val="00E3409A"/>
    <w:rsid w:val="00E340DA"/>
    <w:rsid w:val="00E343FF"/>
    <w:rsid w:val="00E34466"/>
    <w:rsid w:val="00E34675"/>
    <w:rsid w:val="00E348C8"/>
    <w:rsid w:val="00E34B04"/>
    <w:rsid w:val="00E34B53"/>
    <w:rsid w:val="00E34D13"/>
    <w:rsid w:val="00E354A0"/>
    <w:rsid w:val="00E3553C"/>
    <w:rsid w:val="00E355BC"/>
    <w:rsid w:val="00E3565C"/>
    <w:rsid w:val="00E35693"/>
    <w:rsid w:val="00E35A43"/>
    <w:rsid w:val="00E35B5B"/>
    <w:rsid w:val="00E35B5C"/>
    <w:rsid w:val="00E35C9F"/>
    <w:rsid w:val="00E35D10"/>
    <w:rsid w:val="00E35D7C"/>
    <w:rsid w:val="00E36018"/>
    <w:rsid w:val="00E36588"/>
    <w:rsid w:val="00E366E0"/>
    <w:rsid w:val="00E36737"/>
    <w:rsid w:val="00E36C92"/>
    <w:rsid w:val="00E36CC6"/>
    <w:rsid w:val="00E36F90"/>
    <w:rsid w:val="00E37135"/>
    <w:rsid w:val="00E37148"/>
    <w:rsid w:val="00E375CB"/>
    <w:rsid w:val="00E375F7"/>
    <w:rsid w:val="00E375FC"/>
    <w:rsid w:val="00E37A6C"/>
    <w:rsid w:val="00E37BC8"/>
    <w:rsid w:val="00E4053E"/>
    <w:rsid w:val="00E4063F"/>
    <w:rsid w:val="00E40722"/>
    <w:rsid w:val="00E4083B"/>
    <w:rsid w:val="00E40A46"/>
    <w:rsid w:val="00E40B02"/>
    <w:rsid w:val="00E40C96"/>
    <w:rsid w:val="00E40D4E"/>
    <w:rsid w:val="00E4131B"/>
    <w:rsid w:val="00E413B0"/>
    <w:rsid w:val="00E4151A"/>
    <w:rsid w:val="00E416B9"/>
    <w:rsid w:val="00E4174C"/>
    <w:rsid w:val="00E41780"/>
    <w:rsid w:val="00E41824"/>
    <w:rsid w:val="00E41895"/>
    <w:rsid w:val="00E41A87"/>
    <w:rsid w:val="00E41B3A"/>
    <w:rsid w:val="00E41CB4"/>
    <w:rsid w:val="00E41EFE"/>
    <w:rsid w:val="00E41F75"/>
    <w:rsid w:val="00E423A4"/>
    <w:rsid w:val="00E425A1"/>
    <w:rsid w:val="00E42695"/>
    <w:rsid w:val="00E4275E"/>
    <w:rsid w:val="00E42932"/>
    <w:rsid w:val="00E429DE"/>
    <w:rsid w:val="00E431B6"/>
    <w:rsid w:val="00E4326A"/>
    <w:rsid w:val="00E433B3"/>
    <w:rsid w:val="00E43407"/>
    <w:rsid w:val="00E434FD"/>
    <w:rsid w:val="00E435A4"/>
    <w:rsid w:val="00E4360E"/>
    <w:rsid w:val="00E4366A"/>
    <w:rsid w:val="00E437AE"/>
    <w:rsid w:val="00E43910"/>
    <w:rsid w:val="00E43978"/>
    <w:rsid w:val="00E43A06"/>
    <w:rsid w:val="00E43E05"/>
    <w:rsid w:val="00E43E58"/>
    <w:rsid w:val="00E43F91"/>
    <w:rsid w:val="00E4404B"/>
    <w:rsid w:val="00E440C4"/>
    <w:rsid w:val="00E4418B"/>
    <w:rsid w:val="00E441AD"/>
    <w:rsid w:val="00E444F8"/>
    <w:rsid w:val="00E445E3"/>
    <w:rsid w:val="00E445FB"/>
    <w:rsid w:val="00E44624"/>
    <w:rsid w:val="00E446B2"/>
    <w:rsid w:val="00E44AE9"/>
    <w:rsid w:val="00E44BDE"/>
    <w:rsid w:val="00E44CE2"/>
    <w:rsid w:val="00E44E8E"/>
    <w:rsid w:val="00E44F4F"/>
    <w:rsid w:val="00E45104"/>
    <w:rsid w:val="00E4510A"/>
    <w:rsid w:val="00E45255"/>
    <w:rsid w:val="00E45282"/>
    <w:rsid w:val="00E454E6"/>
    <w:rsid w:val="00E4550E"/>
    <w:rsid w:val="00E4573C"/>
    <w:rsid w:val="00E457EF"/>
    <w:rsid w:val="00E458C9"/>
    <w:rsid w:val="00E45A85"/>
    <w:rsid w:val="00E45BFD"/>
    <w:rsid w:val="00E45F8D"/>
    <w:rsid w:val="00E46318"/>
    <w:rsid w:val="00E46591"/>
    <w:rsid w:val="00E46691"/>
    <w:rsid w:val="00E4695B"/>
    <w:rsid w:val="00E473C1"/>
    <w:rsid w:val="00E47474"/>
    <w:rsid w:val="00E47503"/>
    <w:rsid w:val="00E475F9"/>
    <w:rsid w:val="00E477FF"/>
    <w:rsid w:val="00E47846"/>
    <w:rsid w:val="00E47881"/>
    <w:rsid w:val="00E47CE4"/>
    <w:rsid w:val="00E47F23"/>
    <w:rsid w:val="00E50064"/>
    <w:rsid w:val="00E5034E"/>
    <w:rsid w:val="00E50459"/>
    <w:rsid w:val="00E50462"/>
    <w:rsid w:val="00E50804"/>
    <w:rsid w:val="00E50BCB"/>
    <w:rsid w:val="00E50C7C"/>
    <w:rsid w:val="00E50DCD"/>
    <w:rsid w:val="00E50DE2"/>
    <w:rsid w:val="00E50F61"/>
    <w:rsid w:val="00E510A2"/>
    <w:rsid w:val="00E51143"/>
    <w:rsid w:val="00E5132D"/>
    <w:rsid w:val="00E51509"/>
    <w:rsid w:val="00E5172F"/>
    <w:rsid w:val="00E51884"/>
    <w:rsid w:val="00E518F2"/>
    <w:rsid w:val="00E51B5C"/>
    <w:rsid w:val="00E51CC6"/>
    <w:rsid w:val="00E522A7"/>
    <w:rsid w:val="00E525BA"/>
    <w:rsid w:val="00E52834"/>
    <w:rsid w:val="00E52AB7"/>
    <w:rsid w:val="00E52CE5"/>
    <w:rsid w:val="00E52D61"/>
    <w:rsid w:val="00E52D88"/>
    <w:rsid w:val="00E52EF2"/>
    <w:rsid w:val="00E52EF8"/>
    <w:rsid w:val="00E530EC"/>
    <w:rsid w:val="00E5314A"/>
    <w:rsid w:val="00E53159"/>
    <w:rsid w:val="00E53352"/>
    <w:rsid w:val="00E5335C"/>
    <w:rsid w:val="00E533DD"/>
    <w:rsid w:val="00E53529"/>
    <w:rsid w:val="00E5353F"/>
    <w:rsid w:val="00E53A15"/>
    <w:rsid w:val="00E53CA9"/>
    <w:rsid w:val="00E53CFD"/>
    <w:rsid w:val="00E53D5D"/>
    <w:rsid w:val="00E53D7F"/>
    <w:rsid w:val="00E53DFF"/>
    <w:rsid w:val="00E53E4F"/>
    <w:rsid w:val="00E53EB1"/>
    <w:rsid w:val="00E53EC5"/>
    <w:rsid w:val="00E53F07"/>
    <w:rsid w:val="00E54092"/>
    <w:rsid w:val="00E5420D"/>
    <w:rsid w:val="00E5435C"/>
    <w:rsid w:val="00E54670"/>
    <w:rsid w:val="00E54BDA"/>
    <w:rsid w:val="00E54E3D"/>
    <w:rsid w:val="00E552F3"/>
    <w:rsid w:val="00E55588"/>
    <w:rsid w:val="00E55B56"/>
    <w:rsid w:val="00E55B5A"/>
    <w:rsid w:val="00E55C62"/>
    <w:rsid w:val="00E55FC2"/>
    <w:rsid w:val="00E5601A"/>
    <w:rsid w:val="00E56070"/>
    <w:rsid w:val="00E5638E"/>
    <w:rsid w:val="00E56406"/>
    <w:rsid w:val="00E56BEA"/>
    <w:rsid w:val="00E570EF"/>
    <w:rsid w:val="00E5737F"/>
    <w:rsid w:val="00E575EB"/>
    <w:rsid w:val="00E5773F"/>
    <w:rsid w:val="00E5779B"/>
    <w:rsid w:val="00E578FA"/>
    <w:rsid w:val="00E5798A"/>
    <w:rsid w:val="00E57B8F"/>
    <w:rsid w:val="00E57D04"/>
    <w:rsid w:val="00E57D05"/>
    <w:rsid w:val="00E60001"/>
    <w:rsid w:val="00E60173"/>
    <w:rsid w:val="00E6036A"/>
    <w:rsid w:val="00E6050F"/>
    <w:rsid w:val="00E60662"/>
    <w:rsid w:val="00E607D8"/>
    <w:rsid w:val="00E60AEF"/>
    <w:rsid w:val="00E60B88"/>
    <w:rsid w:val="00E60BE0"/>
    <w:rsid w:val="00E60CA2"/>
    <w:rsid w:val="00E60CC7"/>
    <w:rsid w:val="00E60DB9"/>
    <w:rsid w:val="00E60DBF"/>
    <w:rsid w:val="00E60DE5"/>
    <w:rsid w:val="00E60E50"/>
    <w:rsid w:val="00E616D1"/>
    <w:rsid w:val="00E61BD1"/>
    <w:rsid w:val="00E61C60"/>
    <w:rsid w:val="00E61DB2"/>
    <w:rsid w:val="00E627A9"/>
    <w:rsid w:val="00E62A83"/>
    <w:rsid w:val="00E62B43"/>
    <w:rsid w:val="00E62BC1"/>
    <w:rsid w:val="00E62DB7"/>
    <w:rsid w:val="00E62E09"/>
    <w:rsid w:val="00E62E22"/>
    <w:rsid w:val="00E62E7D"/>
    <w:rsid w:val="00E631C0"/>
    <w:rsid w:val="00E63554"/>
    <w:rsid w:val="00E63562"/>
    <w:rsid w:val="00E63572"/>
    <w:rsid w:val="00E6358F"/>
    <w:rsid w:val="00E635F1"/>
    <w:rsid w:val="00E6367A"/>
    <w:rsid w:val="00E638C3"/>
    <w:rsid w:val="00E63AE5"/>
    <w:rsid w:val="00E63DE8"/>
    <w:rsid w:val="00E64465"/>
    <w:rsid w:val="00E645BC"/>
    <w:rsid w:val="00E64612"/>
    <w:rsid w:val="00E6473F"/>
    <w:rsid w:val="00E648D4"/>
    <w:rsid w:val="00E648D7"/>
    <w:rsid w:val="00E64982"/>
    <w:rsid w:val="00E64B50"/>
    <w:rsid w:val="00E64FCA"/>
    <w:rsid w:val="00E65480"/>
    <w:rsid w:val="00E6556A"/>
    <w:rsid w:val="00E65592"/>
    <w:rsid w:val="00E65828"/>
    <w:rsid w:val="00E65B80"/>
    <w:rsid w:val="00E65DE4"/>
    <w:rsid w:val="00E65F4E"/>
    <w:rsid w:val="00E662E9"/>
    <w:rsid w:val="00E66432"/>
    <w:rsid w:val="00E664A9"/>
    <w:rsid w:val="00E6662F"/>
    <w:rsid w:val="00E66A2B"/>
    <w:rsid w:val="00E66A99"/>
    <w:rsid w:val="00E66E72"/>
    <w:rsid w:val="00E66F51"/>
    <w:rsid w:val="00E67160"/>
    <w:rsid w:val="00E6748A"/>
    <w:rsid w:val="00E6786F"/>
    <w:rsid w:val="00E6792D"/>
    <w:rsid w:val="00E67CA1"/>
    <w:rsid w:val="00E67CE0"/>
    <w:rsid w:val="00E67DA8"/>
    <w:rsid w:val="00E7018C"/>
    <w:rsid w:val="00E70337"/>
    <w:rsid w:val="00E7041E"/>
    <w:rsid w:val="00E704F4"/>
    <w:rsid w:val="00E70AB0"/>
    <w:rsid w:val="00E70AD9"/>
    <w:rsid w:val="00E71216"/>
    <w:rsid w:val="00E715C7"/>
    <w:rsid w:val="00E7166C"/>
    <w:rsid w:val="00E71694"/>
    <w:rsid w:val="00E71823"/>
    <w:rsid w:val="00E71873"/>
    <w:rsid w:val="00E71913"/>
    <w:rsid w:val="00E7194D"/>
    <w:rsid w:val="00E71BA5"/>
    <w:rsid w:val="00E71D9F"/>
    <w:rsid w:val="00E71F04"/>
    <w:rsid w:val="00E7224F"/>
    <w:rsid w:val="00E728A0"/>
    <w:rsid w:val="00E728A5"/>
    <w:rsid w:val="00E729F5"/>
    <w:rsid w:val="00E72A20"/>
    <w:rsid w:val="00E72AB5"/>
    <w:rsid w:val="00E72CB5"/>
    <w:rsid w:val="00E72D5B"/>
    <w:rsid w:val="00E72E94"/>
    <w:rsid w:val="00E72EBD"/>
    <w:rsid w:val="00E72F35"/>
    <w:rsid w:val="00E7340A"/>
    <w:rsid w:val="00E735A7"/>
    <w:rsid w:val="00E73825"/>
    <w:rsid w:val="00E73972"/>
    <w:rsid w:val="00E73B28"/>
    <w:rsid w:val="00E73E75"/>
    <w:rsid w:val="00E73FC1"/>
    <w:rsid w:val="00E73FFF"/>
    <w:rsid w:val="00E740B2"/>
    <w:rsid w:val="00E7417C"/>
    <w:rsid w:val="00E7419D"/>
    <w:rsid w:val="00E7424D"/>
    <w:rsid w:val="00E74402"/>
    <w:rsid w:val="00E74473"/>
    <w:rsid w:val="00E7451D"/>
    <w:rsid w:val="00E7458C"/>
    <w:rsid w:val="00E747D8"/>
    <w:rsid w:val="00E74C7D"/>
    <w:rsid w:val="00E74C95"/>
    <w:rsid w:val="00E74CEE"/>
    <w:rsid w:val="00E74E34"/>
    <w:rsid w:val="00E753A1"/>
    <w:rsid w:val="00E75645"/>
    <w:rsid w:val="00E757BB"/>
    <w:rsid w:val="00E758D5"/>
    <w:rsid w:val="00E75947"/>
    <w:rsid w:val="00E75AC3"/>
    <w:rsid w:val="00E75AC5"/>
    <w:rsid w:val="00E75C2E"/>
    <w:rsid w:val="00E75D53"/>
    <w:rsid w:val="00E75E3F"/>
    <w:rsid w:val="00E75E9F"/>
    <w:rsid w:val="00E765F4"/>
    <w:rsid w:val="00E769E4"/>
    <w:rsid w:val="00E76A28"/>
    <w:rsid w:val="00E76A95"/>
    <w:rsid w:val="00E76F47"/>
    <w:rsid w:val="00E77241"/>
    <w:rsid w:val="00E773A3"/>
    <w:rsid w:val="00E775C4"/>
    <w:rsid w:val="00E7776A"/>
    <w:rsid w:val="00E778AF"/>
    <w:rsid w:val="00E778B7"/>
    <w:rsid w:val="00E77987"/>
    <w:rsid w:val="00E77B15"/>
    <w:rsid w:val="00E77EE1"/>
    <w:rsid w:val="00E77FEC"/>
    <w:rsid w:val="00E80089"/>
    <w:rsid w:val="00E800BF"/>
    <w:rsid w:val="00E801D3"/>
    <w:rsid w:val="00E80319"/>
    <w:rsid w:val="00E804C0"/>
    <w:rsid w:val="00E80561"/>
    <w:rsid w:val="00E807A1"/>
    <w:rsid w:val="00E8081F"/>
    <w:rsid w:val="00E8090E"/>
    <w:rsid w:val="00E80AC2"/>
    <w:rsid w:val="00E80B4B"/>
    <w:rsid w:val="00E80C4C"/>
    <w:rsid w:val="00E80D32"/>
    <w:rsid w:val="00E80D3C"/>
    <w:rsid w:val="00E80E45"/>
    <w:rsid w:val="00E810BC"/>
    <w:rsid w:val="00E811A2"/>
    <w:rsid w:val="00E81283"/>
    <w:rsid w:val="00E813EE"/>
    <w:rsid w:val="00E81816"/>
    <w:rsid w:val="00E818E5"/>
    <w:rsid w:val="00E819B4"/>
    <w:rsid w:val="00E819C5"/>
    <w:rsid w:val="00E81DF4"/>
    <w:rsid w:val="00E81E02"/>
    <w:rsid w:val="00E81E17"/>
    <w:rsid w:val="00E820B8"/>
    <w:rsid w:val="00E827B7"/>
    <w:rsid w:val="00E827DA"/>
    <w:rsid w:val="00E827EC"/>
    <w:rsid w:val="00E82B4E"/>
    <w:rsid w:val="00E82BD0"/>
    <w:rsid w:val="00E82C3E"/>
    <w:rsid w:val="00E82C4A"/>
    <w:rsid w:val="00E8347B"/>
    <w:rsid w:val="00E835EF"/>
    <w:rsid w:val="00E83629"/>
    <w:rsid w:val="00E83A67"/>
    <w:rsid w:val="00E83ADC"/>
    <w:rsid w:val="00E83B24"/>
    <w:rsid w:val="00E83BFF"/>
    <w:rsid w:val="00E83E1B"/>
    <w:rsid w:val="00E83FF8"/>
    <w:rsid w:val="00E84082"/>
    <w:rsid w:val="00E84163"/>
    <w:rsid w:val="00E845F5"/>
    <w:rsid w:val="00E84619"/>
    <w:rsid w:val="00E848C3"/>
    <w:rsid w:val="00E84A8C"/>
    <w:rsid w:val="00E84BD5"/>
    <w:rsid w:val="00E84D81"/>
    <w:rsid w:val="00E84F2C"/>
    <w:rsid w:val="00E84F7B"/>
    <w:rsid w:val="00E8502C"/>
    <w:rsid w:val="00E8531B"/>
    <w:rsid w:val="00E85448"/>
    <w:rsid w:val="00E854C1"/>
    <w:rsid w:val="00E856A5"/>
    <w:rsid w:val="00E857F9"/>
    <w:rsid w:val="00E8596C"/>
    <w:rsid w:val="00E85B0E"/>
    <w:rsid w:val="00E85C5F"/>
    <w:rsid w:val="00E85CCD"/>
    <w:rsid w:val="00E85D95"/>
    <w:rsid w:val="00E85EE6"/>
    <w:rsid w:val="00E86073"/>
    <w:rsid w:val="00E860F5"/>
    <w:rsid w:val="00E8613F"/>
    <w:rsid w:val="00E8625B"/>
    <w:rsid w:val="00E86264"/>
    <w:rsid w:val="00E86332"/>
    <w:rsid w:val="00E865AE"/>
    <w:rsid w:val="00E86739"/>
    <w:rsid w:val="00E86B4A"/>
    <w:rsid w:val="00E872F5"/>
    <w:rsid w:val="00E87620"/>
    <w:rsid w:val="00E8771B"/>
    <w:rsid w:val="00E87796"/>
    <w:rsid w:val="00E87861"/>
    <w:rsid w:val="00E87952"/>
    <w:rsid w:val="00E87B3E"/>
    <w:rsid w:val="00E87E70"/>
    <w:rsid w:val="00E900BA"/>
    <w:rsid w:val="00E904DE"/>
    <w:rsid w:val="00E90798"/>
    <w:rsid w:val="00E907B0"/>
    <w:rsid w:val="00E90C25"/>
    <w:rsid w:val="00E90ECC"/>
    <w:rsid w:val="00E912E5"/>
    <w:rsid w:val="00E913BB"/>
    <w:rsid w:val="00E918A7"/>
    <w:rsid w:val="00E91A97"/>
    <w:rsid w:val="00E92494"/>
    <w:rsid w:val="00E924B7"/>
    <w:rsid w:val="00E9251F"/>
    <w:rsid w:val="00E92798"/>
    <w:rsid w:val="00E928F6"/>
    <w:rsid w:val="00E929C6"/>
    <w:rsid w:val="00E92AA8"/>
    <w:rsid w:val="00E92C1C"/>
    <w:rsid w:val="00E92CAF"/>
    <w:rsid w:val="00E92CD9"/>
    <w:rsid w:val="00E92D5B"/>
    <w:rsid w:val="00E936A9"/>
    <w:rsid w:val="00E939E2"/>
    <w:rsid w:val="00E93AC0"/>
    <w:rsid w:val="00E93B72"/>
    <w:rsid w:val="00E93BEF"/>
    <w:rsid w:val="00E93BF5"/>
    <w:rsid w:val="00E94379"/>
    <w:rsid w:val="00E9474B"/>
    <w:rsid w:val="00E948C5"/>
    <w:rsid w:val="00E949AF"/>
    <w:rsid w:val="00E94BF1"/>
    <w:rsid w:val="00E95282"/>
    <w:rsid w:val="00E952F9"/>
    <w:rsid w:val="00E95490"/>
    <w:rsid w:val="00E95519"/>
    <w:rsid w:val="00E95544"/>
    <w:rsid w:val="00E95783"/>
    <w:rsid w:val="00E957D9"/>
    <w:rsid w:val="00E95A77"/>
    <w:rsid w:val="00E95C53"/>
    <w:rsid w:val="00E95D06"/>
    <w:rsid w:val="00E95D54"/>
    <w:rsid w:val="00E95FB1"/>
    <w:rsid w:val="00E96336"/>
    <w:rsid w:val="00E96484"/>
    <w:rsid w:val="00E96879"/>
    <w:rsid w:val="00E96A7D"/>
    <w:rsid w:val="00E96B06"/>
    <w:rsid w:val="00E96F1E"/>
    <w:rsid w:val="00E96F8A"/>
    <w:rsid w:val="00E96FEF"/>
    <w:rsid w:val="00E9706D"/>
    <w:rsid w:val="00E9739A"/>
    <w:rsid w:val="00E973DB"/>
    <w:rsid w:val="00E97405"/>
    <w:rsid w:val="00E974C2"/>
    <w:rsid w:val="00E976D1"/>
    <w:rsid w:val="00E97A0B"/>
    <w:rsid w:val="00E97AAA"/>
    <w:rsid w:val="00E97AD0"/>
    <w:rsid w:val="00E97B35"/>
    <w:rsid w:val="00E97C90"/>
    <w:rsid w:val="00E97D2D"/>
    <w:rsid w:val="00E97EB2"/>
    <w:rsid w:val="00EA01AF"/>
    <w:rsid w:val="00EA0240"/>
    <w:rsid w:val="00EA039D"/>
    <w:rsid w:val="00EA03EF"/>
    <w:rsid w:val="00EA041A"/>
    <w:rsid w:val="00EA0874"/>
    <w:rsid w:val="00EA0B8C"/>
    <w:rsid w:val="00EA0B98"/>
    <w:rsid w:val="00EA0C73"/>
    <w:rsid w:val="00EA0DE2"/>
    <w:rsid w:val="00EA1108"/>
    <w:rsid w:val="00EA1460"/>
    <w:rsid w:val="00EA17E8"/>
    <w:rsid w:val="00EA1B2C"/>
    <w:rsid w:val="00EA1E8B"/>
    <w:rsid w:val="00EA1F04"/>
    <w:rsid w:val="00EA1FC7"/>
    <w:rsid w:val="00EA23D2"/>
    <w:rsid w:val="00EA25EA"/>
    <w:rsid w:val="00EA25EF"/>
    <w:rsid w:val="00EA26B8"/>
    <w:rsid w:val="00EA2964"/>
    <w:rsid w:val="00EA2BE7"/>
    <w:rsid w:val="00EA2C29"/>
    <w:rsid w:val="00EA2EA2"/>
    <w:rsid w:val="00EA321B"/>
    <w:rsid w:val="00EA3519"/>
    <w:rsid w:val="00EA37BE"/>
    <w:rsid w:val="00EA389F"/>
    <w:rsid w:val="00EA3A60"/>
    <w:rsid w:val="00EA3ACD"/>
    <w:rsid w:val="00EA3B7C"/>
    <w:rsid w:val="00EA3FB1"/>
    <w:rsid w:val="00EA4018"/>
    <w:rsid w:val="00EA4113"/>
    <w:rsid w:val="00EA4318"/>
    <w:rsid w:val="00EA4448"/>
    <w:rsid w:val="00EA448A"/>
    <w:rsid w:val="00EA4949"/>
    <w:rsid w:val="00EA498A"/>
    <w:rsid w:val="00EA4B16"/>
    <w:rsid w:val="00EA54BF"/>
    <w:rsid w:val="00EA5763"/>
    <w:rsid w:val="00EA5776"/>
    <w:rsid w:val="00EA58E7"/>
    <w:rsid w:val="00EA5921"/>
    <w:rsid w:val="00EA5AC6"/>
    <w:rsid w:val="00EA5BEF"/>
    <w:rsid w:val="00EA5F72"/>
    <w:rsid w:val="00EA604F"/>
    <w:rsid w:val="00EA6A97"/>
    <w:rsid w:val="00EA6F84"/>
    <w:rsid w:val="00EA70C5"/>
    <w:rsid w:val="00EA70FA"/>
    <w:rsid w:val="00EA712C"/>
    <w:rsid w:val="00EA7203"/>
    <w:rsid w:val="00EA76E9"/>
    <w:rsid w:val="00EA7C23"/>
    <w:rsid w:val="00EA7CAC"/>
    <w:rsid w:val="00EB00B8"/>
    <w:rsid w:val="00EB01C4"/>
    <w:rsid w:val="00EB021E"/>
    <w:rsid w:val="00EB0439"/>
    <w:rsid w:val="00EB04FB"/>
    <w:rsid w:val="00EB056F"/>
    <w:rsid w:val="00EB06A6"/>
    <w:rsid w:val="00EB0752"/>
    <w:rsid w:val="00EB087F"/>
    <w:rsid w:val="00EB0C40"/>
    <w:rsid w:val="00EB0F28"/>
    <w:rsid w:val="00EB109B"/>
    <w:rsid w:val="00EB11FB"/>
    <w:rsid w:val="00EB1A12"/>
    <w:rsid w:val="00EB1C03"/>
    <w:rsid w:val="00EB1D50"/>
    <w:rsid w:val="00EB1EA3"/>
    <w:rsid w:val="00EB20EF"/>
    <w:rsid w:val="00EB2110"/>
    <w:rsid w:val="00EB2453"/>
    <w:rsid w:val="00EB2725"/>
    <w:rsid w:val="00EB2906"/>
    <w:rsid w:val="00EB2A65"/>
    <w:rsid w:val="00EB31D8"/>
    <w:rsid w:val="00EB3332"/>
    <w:rsid w:val="00EB3392"/>
    <w:rsid w:val="00EB33C0"/>
    <w:rsid w:val="00EB341C"/>
    <w:rsid w:val="00EB3785"/>
    <w:rsid w:val="00EB3897"/>
    <w:rsid w:val="00EB39C3"/>
    <w:rsid w:val="00EB3A17"/>
    <w:rsid w:val="00EB3DAF"/>
    <w:rsid w:val="00EB4721"/>
    <w:rsid w:val="00EB4974"/>
    <w:rsid w:val="00EB49C9"/>
    <w:rsid w:val="00EB4A8D"/>
    <w:rsid w:val="00EB4D70"/>
    <w:rsid w:val="00EB4DB2"/>
    <w:rsid w:val="00EB4F19"/>
    <w:rsid w:val="00EB5330"/>
    <w:rsid w:val="00EB54A0"/>
    <w:rsid w:val="00EB56D4"/>
    <w:rsid w:val="00EB57C9"/>
    <w:rsid w:val="00EB5861"/>
    <w:rsid w:val="00EB5C03"/>
    <w:rsid w:val="00EB5DAD"/>
    <w:rsid w:val="00EB5E19"/>
    <w:rsid w:val="00EB60FA"/>
    <w:rsid w:val="00EB6517"/>
    <w:rsid w:val="00EB6548"/>
    <w:rsid w:val="00EB66B9"/>
    <w:rsid w:val="00EB671A"/>
    <w:rsid w:val="00EB6843"/>
    <w:rsid w:val="00EB68F7"/>
    <w:rsid w:val="00EB6A0D"/>
    <w:rsid w:val="00EB6BB4"/>
    <w:rsid w:val="00EB6C40"/>
    <w:rsid w:val="00EB70FB"/>
    <w:rsid w:val="00EB74C4"/>
    <w:rsid w:val="00EB7509"/>
    <w:rsid w:val="00EB76D8"/>
    <w:rsid w:val="00EB7776"/>
    <w:rsid w:val="00EB7C70"/>
    <w:rsid w:val="00EB7D55"/>
    <w:rsid w:val="00EC0211"/>
    <w:rsid w:val="00EC058A"/>
    <w:rsid w:val="00EC07CB"/>
    <w:rsid w:val="00EC095C"/>
    <w:rsid w:val="00EC0A92"/>
    <w:rsid w:val="00EC0B54"/>
    <w:rsid w:val="00EC0E3E"/>
    <w:rsid w:val="00EC1055"/>
    <w:rsid w:val="00EC1214"/>
    <w:rsid w:val="00EC12C0"/>
    <w:rsid w:val="00EC1376"/>
    <w:rsid w:val="00EC16FB"/>
    <w:rsid w:val="00EC1867"/>
    <w:rsid w:val="00EC1EBD"/>
    <w:rsid w:val="00EC1F58"/>
    <w:rsid w:val="00EC1FFD"/>
    <w:rsid w:val="00EC207C"/>
    <w:rsid w:val="00EC20AC"/>
    <w:rsid w:val="00EC2206"/>
    <w:rsid w:val="00EC22BB"/>
    <w:rsid w:val="00EC2549"/>
    <w:rsid w:val="00EC2772"/>
    <w:rsid w:val="00EC29BD"/>
    <w:rsid w:val="00EC2ABE"/>
    <w:rsid w:val="00EC2AEF"/>
    <w:rsid w:val="00EC2BC9"/>
    <w:rsid w:val="00EC2EA9"/>
    <w:rsid w:val="00EC2F0C"/>
    <w:rsid w:val="00EC3073"/>
    <w:rsid w:val="00EC34E2"/>
    <w:rsid w:val="00EC36CF"/>
    <w:rsid w:val="00EC3925"/>
    <w:rsid w:val="00EC39E7"/>
    <w:rsid w:val="00EC3D43"/>
    <w:rsid w:val="00EC4086"/>
    <w:rsid w:val="00EC40E6"/>
    <w:rsid w:val="00EC4130"/>
    <w:rsid w:val="00EC473D"/>
    <w:rsid w:val="00EC4AAE"/>
    <w:rsid w:val="00EC4B86"/>
    <w:rsid w:val="00EC5149"/>
    <w:rsid w:val="00EC5285"/>
    <w:rsid w:val="00EC529F"/>
    <w:rsid w:val="00EC53B9"/>
    <w:rsid w:val="00EC5492"/>
    <w:rsid w:val="00EC5624"/>
    <w:rsid w:val="00EC5766"/>
    <w:rsid w:val="00EC5943"/>
    <w:rsid w:val="00EC5F3B"/>
    <w:rsid w:val="00EC6626"/>
    <w:rsid w:val="00EC6643"/>
    <w:rsid w:val="00EC6747"/>
    <w:rsid w:val="00EC6AC0"/>
    <w:rsid w:val="00EC6DD6"/>
    <w:rsid w:val="00EC6E84"/>
    <w:rsid w:val="00EC73BF"/>
    <w:rsid w:val="00EC76AE"/>
    <w:rsid w:val="00EC7A59"/>
    <w:rsid w:val="00EC7EC6"/>
    <w:rsid w:val="00ED017D"/>
    <w:rsid w:val="00ED035D"/>
    <w:rsid w:val="00ED0393"/>
    <w:rsid w:val="00ED0397"/>
    <w:rsid w:val="00ED040F"/>
    <w:rsid w:val="00ED094A"/>
    <w:rsid w:val="00ED0B8C"/>
    <w:rsid w:val="00ED1136"/>
    <w:rsid w:val="00ED1178"/>
    <w:rsid w:val="00ED141F"/>
    <w:rsid w:val="00ED152F"/>
    <w:rsid w:val="00ED15F7"/>
    <w:rsid w:val="00ED160B"/>
    <w:rsid w:val="00ED1985"/>
    <w:rsid w:val="00ED1A85"/>
    <w:rsid w:val="00ED1AB6"/>
    <w:rsid w:val="00ED1E06"/>
    <w:rsid w:val="00ED22E1"/>
    <w:rsid w:val="00ED2407"/>
    <w:rsid w:val="00ED2570"/>
    <w:rsid w:val="00ED29F2"/>
    <w:rsid w:val="00ED2B1A"/>
    <w:rsid w:val="00ED2D88"/>
    <w:rsid w:val="00ED2E42"/>
    <w:rsid w:val="00ED3027"/>
    <w:rsid w:val="00ED3526"/>
    <w:rsid w:val="00ED3628"/>
    <w:rsid w:val="00ED3A5A"/>
    <w:rsid w:val="00ED3BE6"/>
    <w:rsid w:val="00ED3C30"/>
    <w:rsid w:val="00ED3CA5"/>
    <w:rsid w:val="00ED3D21"/>
    <w:rsid w:val="00ED433F"/>
    <w:rsid w:val="00ED44C2"/>
    <w:rsid w:val="00ED497F"/>
    <w:rsid w:val="00ED4C94"/>
    <w:rsid w:val="00ED4FA7"/>
    <w:rsid w:val="00ED5201"/>
    <w:rsid w:val="00ED5401"/>
    <w:rsid w:val="00ED5513"/>
    <w:rsid w:val="00ED558D"/>
    <w:rsid w:val="00ED59C4"/>
    <w:rsid w:val="00ED59C5"/>
    <w:rsid w:val="00ED5A9D"/>
    <w:rsid w:val="00ED611F"/>
    <w:rsid w:val="00ED61EB"/>
    <w:rsid w:val="00ED6280"/>
    <w:rsid w:val="00ED62CE"/>
    <w:rsid w:val="00ED63FB"/>
    <w:rsid w:val="00ED6534"/>
    <w:rsid w:val="00ED65BC"/>
    <w:rsid w:val="00ED6B54"/>
    <w:rsid w:val="00ED6C7E"/>
    <w:rsid w:val="00ED6D0F"/>
    <w:rsid w:val="00ED6D9D"/>
    <w:rsid w:val="00ED6F5B"/>
    <w:rsid w:val="00ED6FBE"/>
    <w:rsid w:val="00ED7067"/>
    <w:rsid w:val="00ED7320"/>
    <w:rsid w:val="00ED7544"/>
    <w:rsid w:val="00ED75FE"/>
    <w:rsid w:val="00ED7623"/>
    <w:rsid w:val="00ED763A"/>
    <w:rsid w:val="00ED7681"/>
    <w:rsid w:val="00ED7B03"/>
    <w:rsid w:val="00ED7D79"/>
    <w:rsid w:val="00ED7EB9"/>
    <w:rsid w:val="00EE0511"/>
    <w:rsid w:val="00EE0562"/>
    <w:rsid w:val="00EE0713"/>
    <w:rsid w:val="00EE0898"/>
    <w:rsid w:val="00EE08AF"/>
    <w:rsid w:val="00EE0AE9"/>
    <w:rsid w:val="00EE0DF6"/>
    <w:rsid w:val="00EE0E69"/>
    <w:rsid w:val="00EE1251"/>
    <w:rsid w:val="00EE134A"/>
    <w:rsid w:val="00EE1411"/>
    <w:rsid w:val="00EE173D"/>
    <w:rsid w:val="00EE1F06"/>
    <w:rsid w:val="00EE1FBD"/>
    <w:rsid w:val="00EE2018"/>
    <w:rsid w:val="00EE253A"/>
    <w:rsid w:val="00EE278A"/>
    <w:rsid w:val="00EE2C51"/>
    <w:rsid w:val="00EE30E0"/>
    <w:rsid w:val="00EE31B4"/>
    <w:rsid w:val="00EE31B6"/>
    <w:rsid w:val="00EE31F1"/>
    <w:rsid w:val="00EE332A"/>
    <w:rsid w:val="00EE34B3"/>
    <w:rsid w:val="00EE3A6C"/>
    <w:rsid w:val="00EE3A90"/>
    <w:rsid w:val="00EE3E3A"/>
    <w:rsid w:val="00EE3F01"/>
    <w:rsid w:val="00EE40B2"/>
    <w:rsid w:val="00EE40F8"/>
    <w:rsid w:val="00EE416A"/>
    <w:rsid w:val="00EE4172"/>
    <w:rsid w:val="00EE42DF"/>
    <w:rsid w:val="00EE42F7"/>
    <w:rsid w:val="00EE43DB"/>
    <w:rsid w:val="00EE445C"/>
    <w:rsid w:val="00EE446C"/>
    <w:rsid w:val="00EE464E"/>
    <w:rsid w:val="00EE46C4"/>
    <w:rsid w:val="00EE482D"/>
    <w:rsid w:val="00EE4882"/>
    <w:rsid w:val="00EE49F4"/>
    <w:rsid w:val="00EE4EAE"/>
    <w:rsid w:val="00EE554D"/>
    <w:rsid w:val="00EE55EB"/>
    <w:rsid w:val="00EE5BAB"/>
    <w:rsid w:val="00EE5C15"/>
    <w:rsid w:val="00EE5C41"/>
    <w:rsid w:val="00EE5C82"/>
    <w:rsid w:val="00EE5CE1"/>
    <w:rsid w:val="00EE5E73"/>
    <w:rsid w:val="00EE5EA9"/>
    <w:rsid w:val="00EE615E"/>
    <w:rsid w:val="00EE6213"/>
    <w:rsid w:val="00EE62B5"/>
    <w:rsid w:val="00EE65C4"/>
    <w:rsid w:val="00EE6723"/>
    <w:rsid w:val="00EE6788"/>
    <w:rsid w:val="00EE6C5F"/>
    <w:rsid w:val="00EE6D35"/>
    <w:rsid w:val="00EE6EFC"/>
    <w:rsid w:val="00EE6F34"/>
    <w:rsid w:val="00EE725D"/>
    <w:rsid w:val="00EE735A"/>
    <w:rsid w:val="00EE754B"/>
    <w:rsid w:val="00EE766F"/>
    <w:rsid w:val="00EE779C"/>
    <w:rsid w:val="00EE7860"/>
    <w:rsid w:val="00EE7B4F"/>
    <w:rsid w:val="00EE7F68"/>
    <w:rsid w:val="00EE7FDE"/>
    <w:rsid w:val="00EF0063"/>
    <w:rsid w:val="00EF02BB"/>
    <w:rsid w:val="00EF0381"/>
    <w:rsid w:val="00EF0455"/>
    <w:rsid w:val="00EF0464"/>
    <w:rsid w:val="00EF0664"/>
    <w:rsid w:val="00EF0CA2"/>
    <w:rsid w:val="00EF0E33"/>
    <w:rsid w:val="00EF0F37"/>
    <w:rsid w:val="00EF10AD"/>
    <w:rsid w:val="00EF1318"/>
    <w:rsid w:val="00EF1911"/>
    <w:rsid w:val="00EF1D80"/>
    <w:rsid w:val="00EF1E1A"/>
    <w:rsid w:val="00EF201F"/>
    <w:rsid w:val="00EF230C"/>
    <w:rsid w:val="00EF23B2"/>
    <w:rsid w:val="00EF23F5"/>
    <w:rsid w:val="00EF2501"/>
    <w:rsid w:val="00EF257E"/>
    <w:rsid w:val="00EF2620"/>
    <w:rsid w:val="00EF2853"/>
    <w:rsid w:val="00EF2B87"/>
    <w:rsid w:val="00EF2CD3"/>
    <w:rsid w:val="00EF2D4F"/>
    <w:rsid w:val="00EF2E6F"/>
    <w:rsid w:val="00EF3403"/>
    <w:rsid w:val="00EF3433"/>
    <w:rsid w:val="00EF3578"/>
    <w:rsid w:val="00EF3713"/>
    <w:rsid w:val="00EF389A"/>
    <w:rsid w:val="00EF3A75"/>
    <w:rsid w:val="00EF3D3A"/>
    <w:rsid w:val="00EF3F20"/>
    <w:rsid w:val="00EF3FB9"/>
    <w:rsid w:val="00EF40EB"/>
    <w:rsid w:val="00EF41AE"/>
    <w:rsid w:val="00EF4234"/>
    <w:rsid w:val="00EF4551"/>
    <w:rsid w:val="00EF496F"/>
    <w:rsid w:val="00EF49A2"/>
    <w:rsid w:val="00EF4B8C"/>
    <w:rsid w:val="00EF4B95"/>
    <w:rsid w:val="00EF4DAE"/>
    <w:rsid w:val="00EF4E17"/>
    <w:rsid w:val="00EF4FAD"/>
    <w:rsid w:val="00EF5172"/>
    <w:rsid w:val="00EF529B"/>
    <w:rsid w:val="00EF5398"/>
    <w:rsid w:val="00EF5858"/>
    <w:rsid w:val="00EF5A29"/>
    <w:rsid w:val="00EF5A3D"/>
    <w:rsid w:val="00EF5C0C"/>
    <w:rsid w:val="00EF5D4D"/>
    <w:rsid w:val="00EF5D87"/>
    <w:rsid w:val="00EF5F60"/>
    <w:rsid w:val="00EF6027"/>
    <w:rsid w:val="00EF6079"/>
    <w:rsid w:val="00EF6166"/>
    <w:rsid w:val="00EF61C9"/>
    <w:rsid w:val="00EF62CD"/>
    <w:rsid w:val="00EF62EC"/>
    <w:rsid w:val="00EF638C"/>
    <w:rsid w:val="00EF6522"/>
    <w:rsid w:val="00EF6766"/>
    <w:rsid w:val="00EF6AC6"/>
    <w:rsid w:val="00EF6B29"/>
    <w:rsid w:val="00EF6B97"/>
    <w:rsid w:val="00EF6D82"/>
    <w:rsid w:val="00EF6E3B"/>
    <w:rsid w:val="00EF6EA8"/>
    <w:rsid w:val="00EF71E3"/>
    <w:rsid w:val="00EF7302"/>
    <w:rsid w:val="00EF73FA"/>
    <w:rsid w:val="00EF7694"/>
    <w:rsid w:val="00EF7715"/>
    <w:rsid w:val="00EF7971"/>
    <w:rsid w:val="00EF7A0D"/>
    <w:rsid w:val="00EF7C2A"/>
    <w:rsid w:val="00EF7C61"/>
    <w:rsid w:val="00EF7E84"/>
    <w:rsid w:val="00F00445"/>
    <w:rsid w:val="00F00641"/>
    <w:rsid w:val="00F00691"/>
    <w:rsid w:val="00F00A52"/>
    <w:rsid w:val="00F00BE8"/>
    <w:rsid w:val="00F00D64"/>
    <w:rsid w:val="00F00F1F"/>
    <w:rsid w:val="00F010AC"/>
    <w:rsid w:val="00F011C2"/>
    <w:rsid w:val="00F0129F"/>
    <w:rsid w:val="00F0163D"/>
    <w:rsid w:val="00F016EF"/>
    <w:rsid w:val="00F01778"/>
    <w:rsid w:val="00F01805"/>
    <w:rsid w:val="00F01887"/>
    <w:rsid w:val="00F01D0E"/>
    <w:rsid w:val="00F01DAC"/>
    <w:rsid w:val="00F01E06"/>
    <w:rsid w:val="00F01E42"/>
    <w:rsid w:val="00F02012"/>
    <w:rsid w:val="00F0230C"/>
    <w:rsid w:val="00F0255D"/>
    <w:rsid w:val="00F02742"/>
    <w:rsid w:val="00F02827"/>
    <w:rsid w:val="00F02A6F"/>
    <w:rsid w:val="00F02ACE"/>
    <w:rsid w:val="00F02B65"/>
    <w:rsid w:val="00F02DD0"/>
    <w:rsid w:val="00F02E2A"/>
    <w:rsid w:val="00F02FDB"/>
    <w:rsid w:val="00F031D0"/>
    <w:rsid w:val="00F03366"/>
    <w:rsid w:val="00F0346C"/>
    <w:rsid w:val="00F0349A"/>
    <w:rsid w:val="00F034E1"/>
    <w:rsid w:val="00F03555"/>
    <w:rsid w:val="00F03699"/>
    <w:rsid w:val="00F0384D"/>
    <w:rsid w:val="00F039DE"/>
    <w:rsid w:val="00F03AB4"/>
    <w:rsid w:val="00F03D31"/>
    <w:rsid w:val="00F03DD7"/>
    <w:rsid w:val="00F0408B"/>
    <w:rsid w:val="00F041E7"/>
    <w:rsid w:val="00F043B8"/>
    <w:rsid w:val="00F04586"/>
    <w:rsid w:val="00F04729"/>
    <w:rsid w:val="00F048B4"/>
    <w:rsid w:val="00F04920"/>
    <w:rsid w:val="00F04951"/>
    <w:rsid w:val="00F049FD"/>
    <w:rsid w:val="00F04BFB"/>
    <w:rsid w:val="00F05307"/>
    <w:rsid w:val="00F05342"/>
    <w:rsid w:val="00F053CA"/>
    <w:rsid w:val="00F05481"/>
    <w:rsid w:val="00F0549F"/>
    <w:rsid w:val="00F056E1"/>
    <w:rsid w:val="00F05844"/>
    <w:rsid w:val="00F058BE"/>
    <w:rsid w:val="00F05BDC"/>
    <w:rsid w:val="00F05EFB"/>
    <w:rsid w:val="00F05F80"/>
    <w:rsid w:val="00F0602D"/>
    <w:rsid w:val="00F060AF"/>
    <w:rsid w:val="00F0616C"/>
    <w:rsid w:val="00F0617D"/>
    <w:rsid w:val="00F06188"/>
    <w:rsid w:val="00F061FD"/>
    <w:rsid w:val="00F062A3"/>
    <w:rsid w:val="00F062E0"/>
    <w:rsid w:val="00F062EB"/>
    <w:rsid w:val="00F062FE"/>
    <w:rsid w:val="00F0646B"/>
    <w:rsid w:val="00F06571"/>
    <w:rsid w:val="00F068D4"/>
    <w:rsid w:val="00F06966"/>
    <w:rsid w:val="00F06C1E"/>
    <w:rsid w:val="00F06EB4"/>
    <w:rsid w:val="00F07334"/>
    <w:rsid w:val="00F0734C"/>
    <w:rsid w:val="00F073BE"/>
    <w:rsid w:val="00F07905"/>
    <w:rsid w:val="00F07AF1"/>
    <w:rsid w:val="00F07B67"/>
    <w:rsid w:val="00F07CF7"/>
    <w:rsid w:val="00F07DB6"/>
    <w:rsid w:val="00F07DDD"/>
    <w:rsid w:val="00F1005D"/>
    <w:rsid w:val="00F100EC"/>
    <w:rsid w:val="00F101B6"/>
    <w:rsid w:val="00F101C2"/>
    <w:rsid w:val="00F10347"/>
    <w:rsid w:val="00F103C9"/>
    <w:rsid w:val="00F10492"/>
    <w:rsid w:val="00F109EB"/>
    <w:rsid w:val="00F10BB8"/>
    <w:rsid w:val="00F10D19"/>
    <w:rsid w:val="00F10D42"/>
    <w:rsid w:val="00F10DDE"/>
    <w:rsid w:val="00F10E27"/>
    <w:rsid w:val="00F10FEE"/>
    <w:rsid w:val="00F110C3"/>
    <w:rsid w:val="00F11240"/>
    <w:rsid w:val="00F112DC"/>
    <w:rsid w:val="00F11494"/>
    <w:rsid w:val="00F11511"/>
    <w:rsid w:val="00F11519"/>
    <w:rsid w:val="00F1186B"/>
    <w:rsid w:val="00F120A1"/>
    <w:rsid w:val="00F120E7"/>
    <w:rsid w:val="00F1228E"/>
    <w:rsid w:val="00F12402"/>
    <w:rsid w:val="00F124B2"/>
    <w:rsid w:val="00F127E2"/>
    <w:rsid w:val="00F12B68"/>
    <w:rsid w:val="00F12C78"/>
    <w:rsid w:val="00F12E46"/>
    <w:rsid w:val="00F12F5D"/>
    <w:rsid w:val="00F13162"/>
    <w:rsid w:val="00F138AC"/>
    <w:rsid w:val="00F13B41"/>
    <w:rsid w:val="00F13C2B"/>
    <w:rsid w:val="00F13CDF"/>
    <w:rsid w:val="00F13E8F"/>
    <w:rsid w:val="00F13FA3"/>
    <w:rsid w:val="00F1426D"/>
    <w:rsid w:val="00F1453F"/>
    <w:rsid w:val="00F1476B"/>
    <w:rsid w:val="00F14EAC"/>
    <w:rsid w:val="00F150D9"/>
    <w:rsid w:val="00F15109"/>
    <w:rsid w:val="00F157C9"/>
    <w:rsid w:val="00F15843"/>
    <w:rsid w:val="00F158D9"/>
    <w:rsid w:val="00F15A02"/>
    <w:rsid w:val="00F15ED8"/>
    <w:rsid w:val="00F16417"/>
    <w:rsid w:val="00F1679F"/>
    <w:rsid w:val="00F16CC2"/>
    <w:rsid w:val="00F16F06"/>
    <w:rsid w:val="00F16F92"/>
    <w:rsid w:val="00F1700A"/>
    <w:rsid w:val="00F170F2"/>
    <w:rsid w:val="00F17403"/>
    <w:rsid w:val="00F17434"/>
    <w:rsid w:val="00F174B6"/>
    <w:rsid w:val="00F1773B"/>
    <w:rsid w:val="00F200E6"/>
    <w:rsid w:val="00F2027D"/>
    <w:rsid w:val="00F207D3"/>
    <w:rsid w:val="00F2085B"/>
    <w:rsid w:val="00F20A31"/>
    <w:rsid w:val="00F20C05"/>
    <w:rsid w:val="00F20F3E"/>
    <w:rsid w:val="00F21025"/>
    <w:rsid w:val="00F21040"/>
    <w:rsid w:val="00F211E3"/>
    <w:rsid w:val="00F2174A"/>
    <w:rsid w:val="00F2179B"/>
    <w:rsid w:val="00F21C0E"/>
    <w:rsid w:val="00F21D20"/>
    <w:rsid w:val="00F21DC4"/>
    <w:rsid w:val="00F21EBD"/>
    <w:rsid w:val="00F2225D"/>
    <w:rsid w:val="00F224C3"/>
    <w:rsid w:val="00F224C8"/>
    <w:rsid w:val="00F22535"/>
    <w:rsid w:val="00F225CB"/>
    <w:rsid w:val="00F229CF"/>
    <w:rsid w:val="00F22D37"/>
    <w:rsid w:val="00F22F90"/>
    <w:rsid w:val="00F23107"/>
    <w:rsid w:val="00F231EA"/>
    <w:rsid w:val="00F2355E"/>
    <w:rsid w:val="00F2368C"/>
    <w:rsid w:val="00F2386C"/>
    <w:rsid w:val="00F23918"/>
    <w:rsid w:val="00F23A97"/>
    <w:rsid w:val="00F23AA3"/>
    <w:rsid w:val="00F23BC3"/>
    <w:rsid w:val="00F245CC"/>
    <w:rsid w:val="00F2488D"/>
    <w:rsid w:val="00F2490A"/>
    <w:rsid w:val="00F24977"/>
    <w:rsid w:val="00F24DBA"/>
    <w:rsid w:val="00F24E02"/>
    <w:rsid w:val="00F250B5"/>
    <w:rsid w:val="00F25168"/>
    <w:rsid w:val="00F2582C"/>
    <w:rsid w:val="00F2585B"/>
    <w:rsid w:val="00F25898"/>
    <w:rsid w:val="00F25946"/>
    <w:rsid w:val="00F25AE7"/>
    <w:rsid w:val="00F25B0D"/>
    <w:rsid w:val="00F25BD2"/>
    <w:rsid w:val="00F25BE6"/>
    <w:rsid w:val="00F25E83"/>
    <w:rsid w:val="00F261AA"/>
    <w:rsid w:val="00F26254"/>
    <w:rsid w:val="00F264CC"/>
    <w:rsid w:val="00F2657D"/>
    <w:rsid w:val="00F2669A"/>
    <w:rsid w:val="00F266DD"/>
    <w:rsid w:val="00F2677C"/>
    <w:rsid w:val="00F2679F"/>
    <w:rsid w:val="00F26997"/>
    <w:rsid w:val="00F26ACA"/>
    <w:rsid w:val="00F26B43"/>
    <w:rsid w:val="00F26E02"/>
    <w:rsid w:val="00F26EBE"/>
    <w:rsid w:val="00F27130"/>
    <w:rsid w:val="00F27184"/>
    <w:rsid w:val="00F2737A"/>
    <w:rsid w:val="00F2739D"/>
    <w:rsid w:val="00F2769B"/>
    <w:rsid w:val="00F278D9"/>
    <w:rsid w:val="00F27C9C"/>
    <w:rsid w:val="00F27E44"/>
    <w:rsid w:val="00F27E86"/>
    <w:rsid w:val="00F27F58"/>
    <w:rsid w:val="00F27FAE"/>
    <w:rsid w:val="00F3001E"/>
    <w:rsid w:val="00F300DB"/>
    <w:rsid w:val="00F30233"/>
    <w:rsid w:val="00F3047C"/>
    <w:rsid w:val="00F30C5E"/>
    <w:rsid w:val="00F30E4E"/>
    <w:rsid w:val="00F312A1"/>
    <w:rsid w:val="00F3151E"/>
    <w:rsid w:val="00F319F2"/>
    <w:rsid w:val="00F31A0A"/>
    <w:rsid w:val="00F31B0A"/>
    <w:rsid w:val="00F31CFD"/>
    <w:rsid w:val="00F31D86"/>
    <w:rsid w:val="00F31F38"/>
    <w:rsid w:val="00F31FF8"/>
    <w:rsid w:val="00F32049"/>
    <w:rsid w:val="00F32093"/>
    <w:rsid w:val="00F32221"/>
    <w:rsid w:val="00F3223A"/>
    <w:rsid w:val="00F32641"/>
    <w:rsid w:val="00F32876"/>
    <w:rsid w:val="00F3295B"/>
    <w:rsid w:val="00F329B8"/>
    <w:rsid w:val="00F32A9C"/>
    <w:rsid w:val="00F32CA4"/>
    <w:rsid w:val="00F32E03"/>
    <w:rsid w:val="00F32F01"/>
    <w:rsid w:val="00F33100"/>
    <w:rsid w:val="00F33209"/>
    <w:rsid w:val="00F33571"/>
    <w:rsid w:val="00F33583"/>
    <w:rsid w:val="00F335BE"/>
    <w:rsid w:val="00F33718"/>
    <w:rsid w:val="00F3377C"/>
    <w:rsid w:val="00F33A9A"/>
    <w:rsid w:val="00F33A9E"/>
    <w:rsid w:val="00F33D23"/>
    <w:rsid w:val="00F34044"/>
    <w:rsid w:val="00F3431A"/>
    <w:rsid w:val="00F3460D"/>
    <w:rsid w:val="00F34669"/>
    <w:rsid w:val="00F3471C"/>
    <w:rsid w:val="00F34C7C"/>
    <w:rsid w:val="00F34D23"/>
    <w:rsid w:val="00F34DD7"/>
    <w:rsid w:val="00F34ED3"/>
    <w:rsid w:val="00F34F24"/>
    <w:rsid w:val="00F35543"/>
    <w:rsid w:val="00F356A9"/>
    <w:rsid w:val="00F359AD"/>
    <w:rsid w:val="00F35AD6"/>
    <w:rsid w:val="00F35E59"/>
    <w:rsid w:val="00F35E8A"/>
    <w:rsid w:val="00F36286"/>
    <w:rsid w:val="00F36493"/>
    <w:rsid w:val="00F36590"/>
    <w:rsid w:val="00F369D4"/>
    <w:rsid w:val="00F36B92"/>
    <w:rsid w:val="00F36DC3"/>
    <w:rsid w:val="00F36EC0"/>
    <w:rsid w:val="00F36EFF"/>
    <w:rsid w:val="00F36F29"/>
    <w:rsid w:val="00F3700B"/>
    <w:rsid w:val="00F3723D"/>
    <w:rsid w:val="00F3724E"/>
    <w:rsid w:val="00F3728E"/>
    <w:rsid w:val="00F372C0"/>
    <w:rsid w:val="00F37878"/>
    <w:rsid w:val="00F37967"/>
    <w:rsid w:val="00F379DA"/>
    <w:rsid w:val="00F37B81"/>
    <w:rsid w:val="00F37B97"/>
    <w:rsid w:val="00F37BB9"/>
    <w:rsid w:val="00F37CBD"/>
    <w:rsid w:val="00F37EC5"/>
    <w:rsid w:val="00F37F12"/>
    <w:rsid w:val="00F4025A"/>
    <w:rsid w:val="00F40486"/>
    <w:rsid w:val="00F4057E"/>
    <w:rsid w:val="00F405A7"/>
    <w:rsid w:val="00F405C0"/>
    <w:rsid w:val="00F40625"/>
    <w:rsid w:val="00F4118C"/>
    <w:rsid w:val="00F41539"/>
    <w:rsid w:val="00F415EB"/>
    <w:rsid w:val="00F41680"/>
    <w:rsid w:val="00F41E64"/>
    <w:rsid w:val="00F42017"/>
    <w:rsid w:val="00F420D8"/>
    <w:rsid w:val="00F4210C"/>
    <w:rsid w:val="00F422D6"/>
    <w:rsid w:val="00F422EA"/>
    <w:rsid w:val="00F42683"/>
    <w:rsid w:val="00F427E5"/>
    <w:rsid w:val="00F43073"/>
    <w:rsid w:val="00F43153"/>
    <w:rsid w:val="00F43374"/>
    <w:rsid w:val="00F435A0"/>
    <w:rsid w:val="00F43831"/>
    <w:rsid w:val="00F439A4"/>
    <w:rsid w:val="00F439F5"/>
    <w:rsid w:val="00F43BFD"/>
    <w:rsid w:val="00F43C61"/>
    <w:rsid w:val="00F43DE1"/>
    <w:rsid w:val="00F43ED5"/>
    <w:rsid w:val="00F43F20"/>
    <w:rsid w:val="00F4401D"/>
    <w:rsid w:val="00F4476C"/>
    <w:rsid w:val="00F44987"/>
    <w:rsid w:val="00F44AE4"/>
    <w:rsid w:val="00F44C09"/>
    <w:rsid w:val="00F44C3A"/>
    <w:rsid w:val="00F44D9C"/>
    <w:rsid w:val="00F451D4"/>
    <w:rsid w:val="00F4549D"/>
    <w:rsid w:val="00F45563"/>
    <w:rsid w:val="00F45813"/>
    <w:rsid w:val="00F458CC"/>
    <w:rsid w:val="00F458FB"/>
    <w:rsid w:val="00F45D4E"/>
    <w:rsid w:val="00F46008"/>
    <w:rsid w:val="00F461F1"/>
    <w:rsid w:val="00F46294"/>
    <w:rsid w:val="00F462D2"/>
    <w:rsid w:val="00F463CE"/>
    <w:rsid w:val="00F463E6"/>
    <w:rsid w:val="00F4648D"/>
    <w:rsid w:val="00F46C42"/>
    <w:rsid w:val="00F46CB4"/>
    <w:rsid w:val="00F46DA1"/>
    <w:rsid w:val="00F46EEA"/>
    <w:rsid w:val="00F46EEE"/>
    <w:rsid w:val="00F47110"/>
    <w:rsid w:val="00F471F3"/>
    <w:rsid w:val="00F472A5"/>
    <w:rsid w:val="00F472BB"/>
    <w:rsid w:val="00F47520"/>
    <w:rsid w:val="00F4777D"/>
    <w:rsid w:val="00F479F4"/>
    <w:rsid w:val="00F47AA0"/>
    <w:rsid w:val="00F47DE3"/>
    <w:rsid w:val="00F47F9D"/>
    <w:rsid w:val="00F47FD3"/>
    <w:rsid w:val="00F5015C"/>
    <w:rsid w:val="00F50430"/>
    <w:rsid w:val="00F505AB"/>
    <w:rsid w:val="00F507C9"/>
    <w:rsid w:val="00F50859"/>
    <w:rsid w:val="00F508AA"/>
    <w:rsid w:val="00F50E2F"/>
    <w:rsid w:val="00F50EE7"/>
    <w:rsid w:val="00F51087"/>
    <w:rsid w:val="00F510DB"/>
    <w:rsid w:val="00F5134C"/>
    <w:rsid w:val="00F518C2"/>
    <w:rsid w:val="00F51B95"/>
    <w:rsid w:val="00F51BF3"/>
    <w:rsid w:val="00F51F38"/>
    <w:rsid w:val="00F52059"/>
    <w:rsid w:val="00F522BD"/>
    <w:rsid w:val="00F5235E"/>
    <w:rsid w:val="00F5270E"/>
    <w:rsid w:val="00F528F2"/>
    <w:rsid w:val="00F53309"/>
    <w:rsid w:val="00F53529"/>
    <w:rsid w:val="00F535A3"/>
    <w:rsid w:val="00F53819"/>
    <w:rsid w:val="00F5393B"/>
    <w:rsid w:val="00F539A6"/>
    <w:rsid w:val="00F53A2B"/>
    <w:rsid w:val="00F53B85"/>
    <w:rsid w:val="00F53E2F"/>
    <w:rsid w:val="00F53E4C"/>
    <w:rsid w:val="00F53EF6"/>
    <w:rsid w:val="00F53F7B"/>
    <w:rsid w:val="00F5431A"/>
    <w:rsid w:val="00F5469E"/>
    <w:rsid w:val="00F5476A"/>
    <w:rsid w:val="00F54C11"/>
    <w:rsid w:val="00F54D90"/>
    <w:rsid w:val="00F54F32"/>
    <w:rsid w:val="00F552C0"/>
    <w:rsid w:val="00F55755"/>
    <w:rsid w:val="00F55CF5"/>
    <w:rsid w:val="00F55F15"/>
    <w:rsid w:val="00F55F3D"/>
    <w:rsid w:val="00F56154"/>
    <w:rsid w:val="00F56713"/>
    <w:rsid w:val="00F56820"/>
    <w:rsid w:val="00F56C29"/>
    <w:rsid w:val="00F56CD7"/>
    <w:rsid w:val="00F56E3F"/>
    <w:rsid w:val="00F57012"/>
    <w:rsid w:val="00F57038"/>
    <w:rsid w:val="00F5715A"/>
    <w:rsid w:val="00F57311"/>
    <w:rsid w:val="00F573D0"/>
    <w:rsid w:val="00F57415"/>
    <w:rsid w:val="00F574CA"/>
    <w:rsid w:val="00F57836"/>
    <w:rsid w:val="00F57BE2"/>
    <w:rsid w:val="00F57E6E"/>
    <w:rsid w:val="00F57E79"/>
    <w:rsid w:val="00F57E7E"/>
    <w:rsid w:val="00F57E9C"/>
    <w:rsid w:val="00F57FA9"/>
    <w:rsid w:val="00F604BB"/>
    <w:rsid w:val="00F60739"/>
    <w:rsid w:val="00F60890"/>
    <w:rsid w:val="00F60B9C"/>
    <w:rsid w:val="00F60C1A"/>
    <w:rsid w:val="00F60C32"/>
    <w:rsid w:val="00F60DA3"/>
    <w:rsid w:val="00F60FE6"/>
    <w:rsid w:val="00F6124C"/>
    <w:rsid w:val="00F6125C"/>
    <w:rsid w:val="00F613AE"/>
    <w:rsid w:val="00F614B5"/>
    <w:rsid w:val="00F614C1"/>
    <w:rsid w:val="00F61822"/>
    <w:rsid w:val="00F61971"/>
    <w:rsid w:val="00F619B5"/>
    <w:rsid w:val="00F61BC3"/>
    <w:rsid w:val="00F621B6"/>
    <w:rsid w:val="00F62454"/>
    <w:rsid w:val="00F625BD"/>
    <w:rsid w:val="00F626FC"/>
    <w:rsid w:val="00F62741"/>
    <w:rsid w:val="00F628ED"/>
    <w:rsid w:val="00F62A62"/>
    <w:rsid w:val="00F62C1B"/>
    <w:rsid w:val="00F62C57"/>
    <w:rsid w:val="00F62CB7"/>
    <w:rsid w:val="00F62EBA"/>
    <w:rsid w:val="00F62F0C"/>
    <w:rsid w:val="00F62F78"/>
    <w:rsid w:val="00F63253"/>
    <w:rsid w:val="00F63387"/>
    <w:rsid w:val="00F63456"/>
    <w:rsid w:val="00F6358B"/>
    <w:rsid w:val="00F635F8"/>
    <w:rsid w:val="00F6390C"/>
    <w:rsid w:val="00F639E4"/>
    <w:rsid w:val="00F63B57"/>
    <w:rsid w:val="00F63EBA"/>
    <w:rsid w:val="00F63F2D"/>
    <w:rsid w:val="00F64097"/>
    <w:rsid w:val="00F6433E"/>
    <w:rsid w:val="00F64370"/>
    <w:rsid w:val="00F643DC"/>
    <w:rsid w:val="00F64655"/>
    <w:rsid w:val="00F64711"/>
    <w:rsid w:val="00F648F5"/>
    <w:rsid w:val="00F64C0E"/>
    <w:rsid w:val="00F650A9"/>
    <w:rsid w:val="00F6517E"/>
    <w:rsid w:val="00F65450"/>
    <w:rsid w:val="00F6584A"/>
    <w:rsid w:val="00F658F8"/>
    <w:rsid w:val="00F6596C"/>
    <w:rsid w:val="00F65A0E"/>
    <w:rsid w:val="00F65A2C"/>
    <w:rsid w:val="00F65A4A"/>
    <w:rsid w:val="00F65AA6"/>
    <w:rsid w:val="00F65BA6"/>
    <w:rsid w:val="00F65C22"/>
    <w:rsid w:val="00F65E39"/>
    <w:rsid w:val="00F662C6"/>
    <w:rsid w:val="00F662D6"/>
    <w:rsid w:val="00F66487"/>
    <w:rsid w:val="00F66A5E"/>
    <w:rsid w:val="00F66BC7"/>
    <w:rsid w:val="00F66CB5"/>
    <w:rsid w:val="00F6702B"/>
    <w:rsid w:val="00F67192"/>
    <w:rsid w:val="00F6720C"/>
    <w:rsid w:val="00F675A4"/>
    <w:rsid w:val="00F675FD"/>
    <w:rsid w:val="00F67922"/>
    <w:rsid w:val="00F67B0E"/>
    <w:rsid w:val="00F67E63"/>
    <w:rsid w:val="00F67E87"/>
    <w:rsid w:val="00F67ED7"/>
    <w:rsid w:val="00F67FCE"/>
    <w:rsid w:val="00F700E3"/>
    <w:rsid w:val="00F703D3"/>
    <w:rsid w:val="00F70542"/>
    <w:rsid w:val="00F705A4"/>
    <w:rsid w:val="00F707BD"/>
    <w:rsid w:val="00F70988"/>
    <w:rsid w:val="00F70A5C"/>
    <w:rsid w:val="00F70CB8"/>
    <w:rsid w:val="00F70E36"/>
    <w:rsid w:val="00F710AA"/>
    <w:rsid w:val="00F7116E"/>
    <w:rsid w:val="00F71240"/>
    <w:rsid w:val="00F71473"/>
    <w:rsid w:val="00F716A2"/>
    <w:rsid w:val="00F716BA"/>
    <w:rsid w:val="00F7172F"/>
    <w:rsid w:val="00F71B42"/>
    <w:rsid w:val="00F71BFE"/>
    <w:rsid w:val="00F71D83"/>
    <w:rsid w:val="00F71DDE"/>
    <w:rsid w:val="00F7205E"/>
    <w:rsid w:val="00F721EE"/>
    <w:rsid w:val="00F72215"/>
    <w:rsid w:val="00F72445"/>
    <w:rsid w:val="00F72479"/>
    <w:rsid w:val="00F724B5"/>
    <w:rsid w:val="00F72743"/>
    <w:rsid w:val="00F72908"/>
    <w:rsid w:val="00F72954"/>
    <w:rsid w:val="00F72AA3"/>
    <w:rsid w:val="00F72AF4"/>
    <w:rsid w:val="00F72BB9"/>
    <w:rsid w:val="00F72CAE"/>
    <w:rsid w:val="00F72CE8"/>
    <w:rsid w:val="00F72F21"/>
    <w:rsid w:val="00F730C6"/>
    <w:rsid w:val="00F730DC"/>
    <w:rsid w:val="00F734F0"/>
    <w:rsid w:val="00F735F7"/>
    <w:rsid w:val="00F73CFD"/>
    <w:rsid w:val="00F73F8E"/>
    <w:rsid w:val="00F74087"/>
    <w:rsid w:val="00F740FF"/>
    <w:rsid w:val="00F74129"/>
    <w:rsid w:val="00F7425E"/>
    <w:rsid w:val="00F7427C"/>
    <w:rsid w:val="00F7457C"/>
    <w:rsid w:val="00F745E1"/>
    <w:rsid w:val="00F74959"/>
    <w:rsid w:val="00F74A2C"/>
    <w:rsid w:val="00F74BF6"/>
    <w:rsid w:val="00F75456"/>
    <w:rsid w:val="00F756FC"/>
    <w:rsid w:val="00F757D9"/>
    <w:rsid w:val="00F75AAF"/>
    <w:rsid w:val="00F75ACB"/>
    <w:rsid w:val="00F75B5F"/>
    <w:rsid w:val="00F75BFB"/>
    <w:rsid w:val="00F75F28"/>
    <w:rsid w:val="00F76298"/>
    <w:rsid w:val="00F7657F"/>
    <w:rsid w:val="00F7662D"/>
    <w:rsid w:val="00F76D91"/>
    <w:rsid w:val="00F76FCD"/>
    <w:rsid w:val="00F77199"/>
    <w:rsid w:val="00F77473"/>
    <w:rsid w:val="00F77545"/>
    <w:rsid w:val="00F77BBA"/>
    <w:rsid w:val="00F77D72"/>
    <w:rsid w:val="00F8020F"/>
    <w:rsid w:val="00F8026F"/>
    <w:rsid w:val="00F802D2"/>
    <w:rsid w:val="00F8035C"/>
    <w:rsid w:val="00F804D9"/>
    <w:rsid w:val="00F8070E"/>
    <w:rsid w:val="00F80969"/>
    <w:rsid w:val="00F80C05"/>
    <w:rsid w:val="00F80D02"/>
    <w:rsid w:val="00F80F66"/>
    <w:rsid w:val="00F81072"/>
    <w:rsid w:val="00F811F0"/>
    <w:rsid w:val="00F81260"/>
    <w:rsid w:val="00F81368"/>
    <w:rsid w:val="00F814C4"/>
    <w:rsid w:val="00F8150D"/>
    <w:rsid w:val="00F81548"/>
    <w:rsid w:val="00F816A3"/>
    <w:rsid w:val="00F819A0"/>
    <w:rsid w:val="00F8203B"/>
    <w:rsid w:val="00F82199"/>
    <w:rsid w:val="00F8219D"/>
    <w:rsid w:val="00F8220F"/>
    <w:rsid w:val="00F8225F"/>
    <w:rsid w:val="00F82475"/>
    <w:rsid w:val="00F824C8"/>
    <w:rsid w:val="00F824D2"/>
    <w:rsid w:val="00F82564"/>
    <w:rsid w:val="00F82611"/>
    <w:rsid w:val="00F8263A"/>
    <w:rsid w:val="00F82653"/>
    <w:rsid w:val="00F82755"/>
    <w:rsid w:val="00F82A67"/>
    <w:rsid w:val="00F82A73"/>
    <w:rsid w:val="00F82B69"/>
    <w:rsid w:val="00F82C57"/>
    <w:rsid w:val="00F82D39"/>
    <w:rsid w:val="00F83361"/>
    <w:rsid w:val="00F83450"/>
    <w:rsid w:val="00F836D7"/>
    <w:rsid w:val="00F837C5"/>
    <w:rsid w:val="00F83B10"/>
    <w:rsid w:val="00F83C00"/>
    <w:rsid w:val="00F83DD7"/>
    <w:rsid w:val="00F84000"/>
    <w:rsid w:val="00F84677"/>
    <w:rsid w:val="00F84685"/>
    <w:rsid w:val="00F8495C"/>
    <w:rsid w:val="00F84F2D"/>
    <w:rsid w:val="00F84FC0"/>
    <w:rsid w:val="00F858B5"/>
    <w:rsid w:val="00F85936"/>
    <w:rsid w:val="00F85A52"/>
    <w:rsid w:val="00F85AE5"/>
    <w:rsid w:val="00F85F00"/>
    <w:rsid w:val="00F86242"/>
    <w:rsid w:val="00F8634F"/>
    <w:rsid w:val="00F8643F"/>
    <w:rsid w:val="00F866DD"/>
    <w:rsid w:val="00F86704"/>
    <w:rsid w:val="00F86898"/>
    <w:rsid w:val="00F868FD"/>
    <w:rsid w:val="00F86BEE"/>
    <w:rsid w:val="00F86F30"/>
    <w:rsid w:val="00F87314"/>
    <w:rsid w:val="00F87627"/>
    <w:rsid w:val="00F8767B"/>
    <w:rsid w:val="00F876B9"/>
    <w:rsid w:val="00F876F4"/>
    <w:rsid w:val="00F87928"/>
    <w:rsid w:val="00F87938"/>
    <w:rsid w:val="00F87E13"/>
    <w:rsid w:val="00F87E1E"/>
    <w:rsid w:val="00F87FE6"/>
    <w:rsid w:val="00F901D2"/>
    <w:rsid w:val="00F90403"/>
    <w:rsid w:val="00F904B6"/>
    <w:rsid w:val="00F905FA"/>
    <w:rsid w:val="00F9086E"/>
    <w:rsid w:val="00F908E8"/>
    <w:rsid w:val="00F90A96"/>
    <w:rsid w:val="00F90E6C"/>
    <w:rsid w:val="00F91379"/>
    <w:rsid w:val="00F91645"/>
    <w:rsid w:val="00F91729"/>
    <w:rsid w:val="00F917B7"/>
    <w:rsid w:val="00F917D9"/>
    <w:rsid w:val="00F9181B"/>
    <w:rsid w:val="00F918E8"/>
    <w:rsid w:val="00F91AB9"/>
    <w:rsid w:val="00F91F8B"/>
    <w:rsid w:val="00F91FC3"/>
    <w:rsid w:val="00F92086"/>
    <w:rsid w:val="00F922DC"/>
    <w:rsid w:val="00F92725"/>
    <w:rsid w:val="00F92997"/>
    <w:rsid w:val="00F92A2D"/>
    <w:rsid w:val="00F92DE2"/>
    <w:rsid w:val="00F92F97"/>
    <w:rsid w:val="00F930F3"/>
    <w:rsid w:val="00F933EF"/>
    <w:rsid w:val="00F93598"/>
    <w:rsid w:val="00F93619"/>
    <w:rsid w:val="00F93706"/>
    <w:rsid w:val="00F9392D"/>
    <w:rsid w:val="00F939A1"/>
    <w:rsid w:val="00F93C40"/>
    <w:rsid w:val="00F93D9C"/>
    <w:rsid w:val="00F93E74"/>
    <w:rsid w:val="00F93FD5"/>
    <w:rsid w:val="00F94024"/>
    <w:rsid w:val="00F94169"/>
    <w:rsid w:val="00F94182"/>
    <w:rsid w:val="00F94343"/>
    <w:rsid w:val="00F9440F"/>
    <w:rsid w:val="00F94487"/>
    <w:rsid w:val="00F9480C"/>
    <w:rsid w:val="00F94864"/>
    <w:rsid w:val="00F94ACC"/>
    <w:rsid w:val="00F94AE0"/>
    <w:rsid w:val="00F94C4A"/>
    <w:rsid w:val="00F94C9D"/>
    <w:rsid w:val="00F94D21"/>
    <w:rsid w:val="00F94D4A"/>
    <w:rsid w:val="00F94F62"/>
    <w:rsid w:val="00F95183"/>
    <w:rsid w:val="00F9518A"/>
    <w:rsid w:val="00F95445"/>
    <w:rsid w:val="00F9554B"/>
    <w:rsid w:val="00F95998"/>
    <w:rsid w:val="00F959EC"/>
    <w:rsid w:val="00F95E9C"/>
    <w:rsid w:val="00F9602B"/>
    <w:rsid w:val="00F96325"/>
    <w:rsid w:val="00F96442"/>
    <w:rsid w:val="00F96609"/>
    <w:rsid w:val="00F966A7"/>
    <w:rsid w:val="00F966BA"/>
    <w:rsid w:val="00F966EB"/>
    <w:rsid w:val="00F96704"/>
    <w:rsid w:val="00F967D0"/>
    <w:rsid w:val="00F96827"/>
    <w:rsid w:val="00F96AF0"/>
    <w:rsid w:val="00F96D83"/>
    <w:rsid w:val="00F97661"/>
    <w:rsid w:val="00F976D6"/>
    <w:rsid w:val="00F9793E"/>
    <w:rsid w:val="00F979EA"/>
    <w:rsid w:val="00F97CEB"/>
    <w:rsid w:val="00F97DFD"/>
    <w:rsid w:val="00F97EE1"/>
    <w:rsid w:val="00FA0121"/>
    <w:rsid w:val="00FA032A"/>
    <w:rsid w:val="00FA0507"/>
    <w:rsid w:val="00FA051C"/>
    <w:rsid w:val="00FA05C3"/>
    <w:rsid w:val="00FA06AA"/>
    <w:rsid w:val="00FA0745"/>
    <w:rsid w:val="00FA0952"/>
    <w:rsid w:val="00FA0B0F"/>
    <w:rsid w:val="00FA0B14"/>
    <w:rsid w:val="00FA0BAC"/>
    <w:rsid w:val="00FA0C05"/>
    <w:rsid w:val="00FA0CBE"/>
    <w:rsid w:val="00FA1056"/>
    <w:rsid w:val="00FA1264"/>
    <w:rsid w:val="00FA1656"/>
    <w:rsid w:val="00FA175B"/>
    <w:rsid w:val="00FA1B5B"/>
    <w:rsid w:val="00FA1F6D"/>
    <w:rsid w:val="00FA210B"/>
    <w:rsid w:val="00FA2484"/>
    <w:rsid w:val="00FA24BE"/>
    <w:rsid w:val="00FA271B"/>
    <w:rsid w:val="00FA286B"/>
    <w:rsid w:val="00FA2873"/>
    <w:rsid w:val="00FA2AF1"/>
    <w:rsid w:val="00FA2F87"/>
    <w:rsid w:val="00FA3152"/>
    <w:rsid w:val="00FA3384"/>
    <w:rsid w:val="00FA36F8"/>
    <w:rsid w:val="00FA3760"/>
    <w:rsid w:val="00FA399A"/>
    <w:rsid w:val="00FA3A67"/>
    <w:rsid w:val="00FA3BB3"/>
    <w:rsid w:val="00FA3BC5"/>
    <w:rsid w:val="00FA3D8F"/>
    <w:rsid w:val="00FA3E45"/>
    <w:rsid w:val="00FA3EE6"/>
    <w:rsid w:val="00FA4045"/>
    <w:rsid w:val="00FA410F"/>
    <w:rsid w:val="00FA43D5"/>
    <w:rsid w:val="00FA454F"/>
    <w:rsid w:val="00FA465C"/>
    <w:rsid w:val="00FA4856"/>
    <w:rsid w:val="00FA4C91"/>
    <w:rsid w:val="00FA4D2D"/>
    <w:rsid w:val="00FA4F04"/>
    <w:rsid w:val="00FA50DD"/>
    <w:rsid w:val="00FA5421"/>
    <w:rsid w:val="00FA54F9"/>
    <w:rsid w:val="00FA5560"/>
    <w:rsid w:val="00FA5775"/>
    <w:rsid w:val="00FA5B1C"/>
    <w:rsid w:val="00FA5BE9"/>
    <w:rsid w:val="00FA5CB3"/>
    <w:rsid w:val="00FA5DDE"/>
    <w:rsid w:val="00FA624B"/>
    <w:rsid w:val="00FA65A6"/>
    <w:rsid w:val="00FA67D8"/>
    <w:rsid w:val="00FA6BE7"/>
    <w:rsid w:val="00FA6C05"/>
    <w:rsid w:val="00FA6E91"/>
    <w:rsid w:val="00FA7381"/>
    <w:rsid w:val="00FA79BF"/>
    <w:rsid w:val="00FA7F4E"/>
    <w:rsid w:val="00FB037E"/>
    <w:rsid w:val="00FB038B"/>
    <w:rsid w:val="00FB058C"/>
    <w:rsid w:val="00FB075F"/>
    <w:rsid w:val="00FB0814"/>
    <w:rsid w:val="00FB08CA"/>
    <w:rsid w:val="00FB0E56"/>
    <w:rsid w:val="00FB1783"/>
    <w:rsid w:val="00FB18A5"/>
    <w:rsid w:val="00FB19BD"/>
    <w:rsid w:val="00FB1CB4"/>
    <w:rsid w:val="00FB2032"/>
    <w:rsid w:val="00FB2331"/>
    <w:rsid w:val="00FB250B"/>
    <w:rsid w:val="00FB26B3"/>
    <w:rsid w:val="00FB26EF"/>
    <w:rsid w:val="00FB27F2"/>
    <w:rsid w:val="00FB28D8"/>
    <w:rsid w:val="00FB2B20"/>
    <w:rsid w:val="00FB2BC4"/>
    <w:rsid w:val="00FB2C59"/>
    <w:rsid w:val="00FB2D2A"/>
    <w:rsid w:val="00FB2EA8"/>
    <w:rsid w:val="00FB2ED1"/>
    <w:rsid w:val="00FB3050"/>
    <w:rsid w:val="00FB312D"/>
    <w:rsid w:val="00FB338B"/>
    <w:rsid w:val="00FB3492"/>
    <w:rsid w:val="00FB387B"/>
    <w:rsid w:val="00FB3CBC"/>
    <w:rsid w:val="00FB3F0A"/>
    <w:rsid w:val="00FB4040"/>
    <w:rsid w:val="00FB4158"/>
    <w:rsid w:val="00FB41E8"/>
    <w:rsid w:val="00FB45A4"/>
    <w:rsid w:val="00FB46A9"/>
    <w:rsid w:val="00FB4745"/>
    <w:rsid w:val="00FB4751"/>
    <w:rsid w:val="00FB47E5"/>
    <w:rsid w:val="00FB481F"/>
    <w:rsid w:val="00FB4BCE"/>
    <w:rsid w:val="00FB4E96"/>
    <w:rsid w:val="00FB4EB7"/>
    <w:rsid w:val="00FB4EFA"/>
    <w:rsid w:val="00FB4FDE"/>
    <w:rsid w:val="00FB51AE"/>
    <w:rsid w:val="00FB5484"/>
    <w:rsid w:val="00FB5628"/>
    <w:rsid w:val="00FB56F1"/>
    <w:rsid w:val="00FB59F8"/>
    <w:rsid w:val="00FB5AC7"/>
    <w:rsid w:val="00FB5C02"/>
    <w:rsid w:val="00FB5E54"/>
    <w:rsid w:val="00FB6043"/>
    <w:rsid w:val="00FB61B2"/>
    <w:rsid w:val="00FB65BE"/>
    <w:rsid w:val="00FB6901"/>
    <w:rsid w:val="00FB6AE4"/>
    <w:rsid w:val="00FB6B22"/>
    <w:rsid w:val="00FB6B32"/>
    <w:rsid w:val="00FB6F7D"/>
    <w:rsid w:val="00FB70F4"/>
    <w:rsid w:val="00FB7788"/>
    <w:rsid w:val="00FB7BA7"/>
    <w:rsid w:val="00FB7ECE"/>
    <w:rsid w:val="00FB7FAE"/>
    <w:rsid w:val="00FC022E"/>
    <w:rsid w:val="00FC0E7D"/>
    <w:rsid w:val="00FC106A"/>
    <w:rsid w:val="00FC12EA"/>
    <w:rsid w:val="00FC14B6"/>
    <w:rsid w:val="00FC14E8"/>
    <w:rsid w:val="00FC171B"/>
    <w:rsid w:val="00FC1915"/>
    <w:rsid w:val="00FC1A76"/>
    <w:rsid w:val="00FC2162"/>
    <w:rsid w:val="00FC22EC"/>
    <w:rsid w:val="00FC23C7"/>
    <w:rsid w:val="00FC282C"/>
    <w:rsid w:val="00FC2962"/>
    <w:rsid w:val="00FC2A35"/>
    <w:rsid w:val="00FC2A6F"/>
    <w:rsid w:val="00FC2C11"/>
    <w:rsid w:val="00FC2C28"/>
    <w:rsid w:val="00FC2C8F"/>
    <w:rsid w:val="00FC2DCB"/>
    <w:rsid w:val="00FC2F32"/>
    <w:rsid w:val="00FC2F9B"/>
    <w:rsid w:val="00FC361F"/>
    <w:rsid w:val="00FC394C"/>
    <w:rsid w:val="00FC3982"/>
    <w:rsid w:val="00FC39DD"/>
    <w:rsid w:val="00FC3E4C"/>
    <w:rsid w:val="00FC3EA8"/>
    <w:rsid w:val="00FC402B"/>
    <w:rsid w:val="00FC41A2"/>
    <w:rsid w:val="00FC42C7"/>
    <w:rsid w:val="00FC4305"/>
    <w:rsid w:val="00FC444B"/>
    <w:rsid w:val="00FC4540"/>
    <w:rsid w:val="00FC492F"/>
    <w:rsid w:val="00FC4A68"/>
    <w:rsid w:val="00FC4B58"/>
    <w:rsid w:val="00FC4FBC"/>
    <w:rsid w:val="00FC508B"/>
    <w:rsid w:val="00FC5467"/>
    <w:rsid w:val="00FC5520"/>
    <w:rsid w:val="00FC555D"/>
    <w:rsid w:val="00FC55C5"/>
    <w:rsid w:val="00FC5681"/>
    <w:rsid w:val="00FC570D"/>
    <w:rsid w:val="00FC5761"/>
    <w:rsid w:val="00FC57F2"/>
    <w:rsid w:val="00FC5838"/>
    <w:rsid w:val="00FC58DD"/>
    <w:rsid w:val="00FC5951"/>
    <w:rsid w:val="00FC5E29"/>
    <w:rsid w:val="00FC5E53"/>
    <w:rsid w:val="00FC5E8C"/>
    <w:rsid w:val="00FC675A"/>
    <w:rsid w:val="00FC6E8D"/>
    <w:rsid w:val="00FC700B"/>
    <w:rsid w:val="00FC7331"/>
    <w:rsid w:val="00FC746C"/>
    <w:rsid w:val="00FC7518"/>
    <w:rsid w:val="00FC757A"/>
    <w:rsid w:val="00FC7588"/>
    <w:rsid w:val="00FC760E"/>
    <w:rsid w:val="00FC762A"/>
    <w:rsid w:val="00FC7714"/>
    <w:rsid w:val="00FC78F3"/>
    <w:rsid w:val="00FC7E70"/>
    <w:rsid w:val="00FC7EB0"/>
    <w:rsid w:val="00FC7F5B"/>
    <w:rsid w:val="00FD0271"/>
    <w:rsid w:val="00FD0368"/>
    <w:rsid w:val="00FD038C"/>
    <w:rsid w:val="00FD04E2"/>
    <w:rsid w:val="00FD0563"/>
    <w:rsid w:val="00FD08BA"/>
    <w:rsid w:val="00FD097E"/>
    <w:rsid w:val="00FD0988"/>
    <w:rsid w:val="00FD0CB8"/>
    <w:rsid w:val="00FD0EF1"/>
    <w:rsid w:val="00FD10CF"/>
    <w:rsid w:val="00FD1223"/>
    <w:rsid w:val="00FD149A"/>
    <w:rsid w:val="00FD1667"/>
    <w:rsid w:val="00FD1793"/>
    <w:rsid w:val="00FD18D3"/>
    <w:rsid w:val="00FD1A19"/>
    <w:rsid w:val="00FD1AF4"/>
    <w:rsid w:val="00FD1B69"/>
    <w:rsid w:val="00FD1EBE"/>
    <w:rsid w:val="00FD1F36"/>
    <w:rsid w:val="00FD1F76"/>
    <w:rsid w:val="00FD21BF"/>
    <w:rsid w:val="00FD231A"/>
    <w:rsid w:val="00FD24F8"/>
    <w:rsid w:val="00FD255F"/>
    <w:rsid w:val="00FD26C0"/>
    <w:rsid w:val="00FD295B"/>
    <w:rsid w:val="00FD2BAB"/>
    <w:rsid w:val="00FD2CBB"/>
    <w:rsid w:val="00FD2DB4"/>
    <w:rsid w:val="00FD2F73"/>
    <w:rsid w:val="00FD310B"/>
    <w:rsid w:val="00FD3332"/>
    <w:rsid w:val="00FD35A7"/>
    <w:rsid w:val="00FD3959"/>
    <w:rsid w:val="00FD3A1B"/>
    <w:rsid w:val="00FD3A55"/>
    <w:rsid w:val="00FD3F6C"/>
    <w:rsid w:val="00FD4072"/>
    <w:rsid w:val="00FD4403"/>
    <w:rsid w:val="00FD4428"/>
    <w:rsid w:val="00FD4744"/>
    <w:rsid w:val="00FD47D9"/>
    <w:rsid w:val="00FD4CD6"/>
    <w:rsid w:val="00FD4D77"/>
    <w:rsid w:val="00FD5022"/>
    <w:rsid w:val="00FD5284"/>
    <w:rsid w:val="00FD52CE"/>
    <w:rsid w:val="00FD5708"/>
    <w:rsid w:val="00FD58E8"/>
    <w:rsid w:val="00FD59A1"/>
    <w:rsid w:val="00FD5B8F"/>
    <w:rsid w:val="00FD5E3D"/>
    <w:rsid w:val="00FD5EFF"/>
    <w:rsid w:val="00FD5F49"/>
    <w:rsid w:val="00FD5FC5"/>
    <w:rsid w:val="00FD5FFA"/>
    <w:rsid w:val="00FD6185"/>
    <w:rsid w:val="00FD6474"/>
    <w:rsid w:val="00FD657E"/>
    <w:rsid w:val="00FD6D41"/>
    <w:rsid w:val="00FD6E2D"/>
    <w:rsid w:val="00FD6F2F"/>
    <w:rsid w:val="00FD71F3"/>
    <w:rsid w:val="00FD73EC"/>
    <w:rsid w:val="00FD7B97"/>
    <w:rsid w:val="00FD7C33"/>
    <w:rsid w:val="00FD7E29"/>
    <w:rsid w:val="00FD7ED4"/>
    <w:rsid w:val="00FD7FF5"/>
    <w:rsid w:val="00FE009F"/>
    <w:rsid w:val="00FE01FB"/>
    <w:rsid w:val="00FE037F"/>
    <w:rsid w:val="00FE04BE"/>
    <w:rsid w:val="00FE052E"/>
    <w:rsid w:val="00FE073B"/>
    <w:rsid w:val="00FE0780"/>
    <w:rsid w:val="00FE07AC"/>
    <w:rsid w:val="00FE0B1F"/>
    <w:rsid w:val="00FE0B60"/>
    <w:rsid w:val="00FE0D35"/>
    <w:rsid w:val="00FE0F98"/>
    <w:rsid w:val="00FE0FBC"/>
    <w:rsid w:val="00FE1153"/>
    <w:rsid w:val="00FE1176"/>
    <w:rsid w:val="00FE125B"/>
    <w:rsid w:val="00FE16B3"/>
    <w:rsid w:val="00FE1703"/>
    <w:rsid w:val="00FE1719"/>
    <w:rsid w:val="00FE1814"/>
    <w:rsid w:val="00FE1AED"/>
    <w:rsid w:val="00FE1C34"/>
    <w:rsid w:val="00FE1FDA"/>
    <w:rsid w:val="00FE2014"/>
    <w:rsid w:val="00FE208A"/>
    <w:rsid w:val="00FE244C"/>
    <w:rsid w:val="00FE289A"/>
    <w:rsid w:val="00FE29C5"/>
    <w:rsid w:val="00FE2B92"/>
    <w:rsid w:val="00FE2C60"/>
    <w:rsid w:val="00FE2C75"/>
    <w:rsid w:val="00FE2F70"/>
    <w:rsid w:val="00FE2FD7"/>
    <w:rsid w:val="00FE3018"/>
    <w:rsid w:val="00FE3086"/>
    <w:rsid w:val="00FE31E1"/>
    <w:rsid w:val="00FE32FA"/>
    <w:rsid w:val="00FE38D6"/>
    <w:rsid w:val="00FE3DE8"/>
    <w:rsid w:val="00FE3F29"/>
    <w:rsid w:val="00FE3FC7"/>
    <w:rsid w:val="00FE431C"/>
    <w:rsid w:val="00FE443B"/>
    <w:rsid w:val="00FE4443"/>
    <w:rsid w:val="00FE462E"/>
    <w:rsid w:val="00FE465F"/>
    <w:rsid w:val="00FE47E8"/>
    <w:rsid w:val="00FE481D"/>
    <w:rsid w:val="00FE4E01"/>
    <w:rsid w:val="00FE50FB"/>
    <w:rsid w:val="00FE518F"/>
    <w:rsid w:val="00FE51A5"/>
    <w:rsid w:val="00FE546D"/>
    <w:rsid w:val="00FE573F"/>
    <w:rsid w:val="00FE581D"/>
    <w:rsid w:val="00FE5D9E"/>
    <w:rsid w:val="00FE5DCE"/>
    <w:rsid w:val="00FE607F"/>
    <w:rsid w:val="00FE60C2"/>
    <w:rsid w:val="00FE668B"/>
    <w:rsid w:val="00FE68B0"/>
    <w:rsid w:val="00FE6B2E"/>
    <w:rsid w:val="00FE6D0D"/>
    <w:rsid w:val="00FE6D85"/>
    <w:rsid w:val="00FE6D8E"/>
    <w:rsid w:val="00FE6D98"/>
    <w:rsid w:val="00FE6FCB"/>
    <w:rsid w:val="00FE7211"/>
    <w:rsid w:val="00FE73D9"/>
    <w:rsid w:val="00FE7A0E"/>
    <w:rsid w:val="00FE7AD2"/>
    <w:rsid w:val="00FE7D5C"/>
    <w:rsid w:val="00FE7F0B"/>
    <w:rsid w:val="00FE7F68"/>
    <w:rsid w:val="00FE7FF3"/>
    <w:rsid w:val="00FF0171"/>
    <w:rsid w:val="00FF0209"/>
    <w:rsid w:val="00FF04FD"/>
    <w:rsid w:val="00FF0757"/>
    <w:rsid w:val="00FF0CF4"/>
    <w:rsid w:val="00FF0CFF"/>
    <w:rsid w:val="00FF14A0"/>
    <w:rsid w:val="00FF1649"/>
    <w:rsid w:val="00FF171A"/>
    <w:rsid w:val="00FF1BA1"/>
    <w:rsid w:val="00FF1BFD"/>
    <w:rsid w:val="00FF2061"/>
    <w:rsid w:val="00FF2257"/>
    <w:rsid w:val="00FF22BE"/>
    <w:rsid w:val="00FF22DA"/>
    <w:rsid w:val="00FF2386"/>
    <w:rsid w:val="00FF2538"/>
    <w:rsid w:val="00FF2867"/>
    <w:rsid w:val="00FF2882"/>
    <w:rsid w:val="00FF2B49"/>
    <w:rsid w:val="00FF2ED7"/>
    <w:rsid w:val="00FF2FA4"/>
    <w:rsid w:val="00FF3106"/>
    <w:rsid w:val="00FF3294"/>
    <w:rsid w:val="00FF3564"/>
    <w:rsid w:val="00FF359B"/>
    <w:rsid w:val="00FF3638"/>
    <w:rsid w:val="00FF372B"/>
    <w:rsid w:val="00FF3A88"/>
    <w:rsid w:val="00FF3FBC"/>
    <w:rsid w:val="00FF4156"/>
    <w:rsid w:val="00FF424D"/>
    <w:rsid w:val="00FF4250"/>
    <w:rsid w:val="00FF425A"/>
    <w:rsid w:val="00FF4A9D"/>
    <w:rsid w:val="00FF4E9A"/>
    <w:rsid w:val="00FF5055"/>
    <w:rsid w:val="00FF5385"/>
    <w:rsid w:val="00FF57DA"/>
    <w:rsid w:val="00FF593B"/>
    <w:rsid w:val="00FF5BC0"/>
    <w:rsid w:val="00FF5F58"/>
    <w:rsid w:val="00FF5F61"/>
    <w:rsid w:val="00FF601C"/>
    <w:rsid w:val="00FF61F4"/>
    <w:rsid w:val="00FF62D8"/>
    <w:rsid w:val="00FF6553"/>
    <w:rsid w:val="00FF6852"/>
    <w:rsid w:val="00FF6A7E"/>
    <w:rsid w:val="00FF6B5E"/>
    <w:rsid w:val="00FF6D6F"/>
    <w:rsid w:val="00FF7200"/>
    <w:rsid w:val="00FF7239"/>
    <w:rsid w:val="00FF72A4"/>
    <w:rsid w:val="00FF74B1"/>
    <w:rsid w:val="00FF74BD"/>
    <w:rsid w:val="00FF7597"/>
    <w:rsid w:val="00FF7605"/>
    <w:rsid w:val="00FF76BB"/>
    <w:rsid w:val="00FF78D2"/>
    <w:rsid w:val="00FF79B4"/>
    <w:rsid w:val="00FF7A9A"/>
    <w:rsid w:val="00FF7BA6"/>
    <w:rsid w:val="00FF7E35"/>
    <w:rsid w:val="0101B994"/>
    <w:rsid w:val="010D5DB4"/>
    <w:rsid w:val="0111CC00"/>
    <w:rsid w:val="0122C70F"/>
    <w:rsid w:val="01414BBB"/>
    <w:rsid w:val="017752EA"/>
    <w:rsid w:val="019584E5"/>
    <w:rsid w:val="0195A4B7"/>
    <w:rsid w:val="01A076A8"/>
    <w:rsid w:val="01A8B854"/>
    <w:rsid w:val="01BDA8F8"/>
    <w:rsid w:val="01C16AD3"/>
    <w:rsid w:val="01CBD645"/>
    <w:rsid w:val="01EF4E7D"/>
    <w:rsid w:val="021415F4"/>
    <w:rsid w:val="0217DACD"/>
    <w:rsid w:val="022736A7"/>
    <w:rsid w:val="02422401"/>
    <w:rsid w:val="025060EF"/>
    <w:rsid w:val="026E4F41"/>
    <w:rsid w:val="02725934"/>
    <w:rsid w:val="028584E4"/>
    <w:rsid w:val="029C83AC"/>
    <w:rsid w:val="02A2B972"/>
    <w:rsid w:val="02A7B5E5"/>
    <w:rsid w:val="02A99C50"/>
    <w:rsid w:val="02ACAEAC"/>
    <w:rsid w:val="02B57D6B"/>
    <w:rsid w:val="02D6DA26"/>
    <w:rsid w:val="02EA0C6F"/>
    <w:rsid w:val="0300BE64"/>
    <w:rsid w:val="031471B2"/>
    <w:rsid w:val="031C7F59"/>
    <w:rsid w:val="033A2EB5"/>
    <w:rsid w:val="033E40EF"/>
    <w:rsid w:val="034A7727"/>
    <w:rsid w:val="036D0269"/>
    <w:rsid w:val="037D09EB"/>
    <w:rsid w:val="03931FD5"/>
    <w:rsid w:val="03972AE6"/>
    <w:rsid w:val="03A25639"/>
    <w:rsid w:val="03B305E3"/>
    <w:rsid w:val="03BB138B"/>
    <w:rsid w:val="03C0ED64"/>
    <w:rsid w:val="03C26886"/>
    <w:rsid w:val="03D0D6C9"/>
    <w:rsid w:val="03D2A4C8"/>
    <w:rsid w:val="03E2C589"/>
    <w:rsid w:val="03F7904B"/>
    <w:rsid w:val="03FAA87B"/>
    <w:rsid w:val="04063F5D"/>
    <w:rsid w:val="04195EAA"/>
    <w:rsid w:val="044455E0"/>
    <w:rsid w:val="045FB734"/>
    <w:rsid w:val="047EE51F"/>
    <w:rsid w:val="048CF0A9"/>
    <w:rsid w:val="049BB84E"/>
    <w:rsid w:val="04D97878"/>
    <w:rsid w:val="04EE2ADA"/>
    <w:rsid w:val="050132D9"/>
    <w:rsid w:val="0503C51D"/>
    <w:rsid w:val="0504FA4B"/>
    <w:rsid w:val="05146B38"/>
    <w:rsid w:val="051F7DE6"/>
    <w:rsid w:val="052962F7"/>
    <w:rsid w:val="053B1A0A"/>
    <w:rsid w:val="054138F7"/>
    <w:rsid w:val="054D6A38"/>
    <w:rsid w:val="055C5FA4"/>
    <w:rsid w:val="05657A11"/>
    <w:rsid w:val="0565EAAA"/>
    <w:rsid w:val="0566F940"/>
    <w:rsid w:val="0569944A"/>
    <w:rsid w:val="057AA64E"/>
    <w:rsid w:val="058AB0EF"/>
    <w:rsid w:val="0592B9E9"/>
    <w:rsid w:val="059E21B8"/>
    <w:rsid w:val="05A26832"/>
    <w:rsid w:val="05B1D17F"/>
    <w:rsid w:val="05B5AEA4"/>
    <w:rsid w:val="05B8B3F4"/>
    <w:rsid w:val="05BC57A5"/>
    <w:rsid w:val="05BFF269"/>
    <w:rsid w:val="05C6DC5B"/>
    <w:rsid w:val="05CBBFCE"/>
    <w:rsid w:val="05CC61A3"/>
    <w:rsid w:val="05D0C57C"/>
    <w:rsid w:val="05E288CA"/>
    <w:rsid w:val="05EDA2DF"/>
    <w:rsid w:val="05F30696"/>
    <w:rsid w:val="05FB2CA7"/>
    <w:rsid w:val="05FB788E"/>
    <w:rsid w:val="0601997E"/>
    <w:rsid w:val="0618DB19"/>
    <w:rsid w:val="06255D62"/>
    <w:rsid w:val="062790A9"/>
    <w:rsid w:val="062CEE6F"/>
    <w:rsid w:val="064944E2"/>
    <w:rsid w:val="064E4FC5"/>
    <w:rsid w:val="065FB365"/>
    <w:rsid w:val="0671C24D"/>
    <w:rsid w:val="0673F9D1"/>
    <w:rsid w:val="067AAA36"/>
    <w:rsid w:val="067C0840"/>
    <w:rsid w:val="06862522"/>
    <w:rsid w:val="06989204"/>
    <w:rsid w:val="0698B263"/>
    <w:rsid w:val="069F4F10"/>
    <w:rsid w:val="06A5C4C3"/>
    <w:rsid w:val="06C187B9"/>
    <w:rsid w:val="06C55C78"/>
    <w:rsid w:val="06CCBBDB"/>
    <w:rsid w:val="06FA3109"/>
    <w:rsid w:val="07010DED"/>
    <w:rsid w:val="07108A3D"/>
    <w:rsid w:val="0738D8BB"/>
    <w:rsid w:val="075133CC"/>
    <w:rsid w:val="07582910"/>
    <w:rsid w:val="076EDE2D"/>
    <w:rsid w:val="0791E3B5"/>
    <w:rsid w:val="079C713F"/>
    <w:rsid w:val="07D62C87"/>
    <w:rsid w:val="07EC3602"/>
    <w:rsid w:val="07EE843D"/>
    <w:rsid w:val="08216268"/>
    <w:rsid w:val="082DA0DF"/>
    <w:rsid w:val="0830BB5A"/>
    <w:rsid w:val="0832FFE7"/>
    <w:rsid w:val="083C3190"/>
    <w:rsid w:val="083CB95A"/>
    <w:rsid w:val="083D50D9"/>
    <w:rsid w:val="08428D47"/>
    <w:rsid w:val="0846333D"/>
    <w:rsid w:val="0853D8F9"/>
    <w:rsid w:val="085D510F"/>
    <w:rsid w:val="08814526"/>
    <w:rsid w:val="08879D3F"/>
    <w:rsid w:val="089605EE"/>
    <w:rsid w:val="089B79AC"/>
    <w:rsid w:val="08A2DDF7"/>
    <w:rsid w:val="08CCFE94"/>
    <w:rsid w:val="08F12DB5"/>
    <w:rsid w:val="08F9E661"/>
    <w:rsid w:val="08FDF6BC"/>
    <w:rsid w:val="09076DAF"/>
    <w:rsid w:val="09113A20"/>
    <w:rsid w:val="09130A4B"/>
    <w:rsid w:val="091348CE"/>
    <w:rsid w:val="091FEC8E"/>
    <w:rsid w:val="095AC6A1"/>
    <w:rsid w:val="095CA1DC"/>
    <w:rsid w:val="097B1A50"/>
    <w:rsid w:val="09852018"/>
    <w:rsid w:val="0986D2A4"/>
    <w:rsid w:val="09916934"/>
    <w:rsid w:val="09984694"/>
    <w:rsid w:val="099B3587"/>
    <w:rsid w:val="099C9BAF"/>
    <w:rsid w:val="09A1F998"/>
    <w:rsid w:val="09B05A02"/>
    <w:rsid w:val="09C40D90"/>
    <w:rsid w:val="09CD5655"/>
    <w:rsid w:val="09DE4CFA"/>
    <w:rsid w:val="0A009EA5"/>
    <w:rsid w:val="0A0BDE56"/>
    <w:rsid w:val="0A0FD8FA"/>
    <w:rsid w:val="0A112ABB"/>
    <w:rsid w:val="0A21FF0E"/>
    <w:rsid w:val="0A23F689"/>
    <w:rsid w:val="0A36D6D8"/>
    <w:rsid w:val="0A44BCED"/>
    <w:rsid w:val="0A8435B8"/>
    <w:rsid w:val="0AB5952E"/>
    <w:rsid w:val="0AB9703C"/>
    <w:rsid w:val="0AD7992E"/>
    <w:rsid w:val="0ADB74A1"/>
    <w:rsid w:val="0AF72B53"/>
    <w:rsid w:val="0AF99959"/>
    <w:rsid w:val="0B0DE672"/>
    <w:rsid w:val="0B16CEB5"/>
    <w:rsid w:val="0B172DAB"/>
    <w:rsid w:val="0B2D08DD"/>
    <w:rsid w:val="0B2E62A8"/>
    <w:rsid w:val="0B46EE83"/>
    <w:rsid w:val="0B48C32F"/>
    <w:rsid w:val="0B561E2A"/>
    <w:rsid w:val="0B5E78A4"/>
    <w:rsid w:val="0B61A24F"/>
    <w:rsid w:val="0B72BD74"/>
    <w:rsid w:val="0B7C8323"/>
    <w:rsid w:val="0B7D6E4D"/>
    <w:rsid w:val="0B8A63DD"/>
    <w:rsid w:val="0B94AD3C"/>
    <w:rsid w:val="0BA761AD"/>
    <w:rsid w:val="0C0916FB"/>
    <w:rsid w:val="0C0CC68F"/>
    <w:rsid w:val="0C0D3C55"/>
    <w:rsid w:val="0C0FDDF3"/>
    <w:rsid w:val="0C1EB50B"/>
    <w:rsid w:val="0C21705F"/>
    <w:rsid w:val="0C27EBC3"/>
    <w:rsid w:val="0C2986D8"/>
    <w:rsid w:val="0C2CFC34"/>
    <w:rsid w:val="0C33636B"/>
    <w:rsid w:val="0C3A9F61"/>
    <w:rsid w:val="0C3DAA57"/>
    <w:rsid w:val="0C4D963D"/>
    <w:rsid w:val="0C662B0D"/>
    <w:rsid w:val="0C6EBD05"/>
    <w:rsid w:val="0C80AD3B"/>
    <w:rsid w:val="0C810ABC"/>
    <w:rsid w:val="0C90C319"/>
    <w:rsid w:val="0C99B8FE"/>
    <w:rsid w:val="0C9B97C6"/>
    <w:rsid w:val="0C9F84D2"/>
    <w:rsid w:val="0CA84E53"/>
    <w:rsid w:val="0CAFDE94"/>
    <w:rsid w:val="0CBF0B62"/>
    <w:rsid w:val="0CC0163B"/>
    <w:rsid w:val="0CCAE294"/>
    <w:rsid w:val="0CD00CF9"/>
    <w:rsid w:val="0CE8E8F2"/>
    <w:rsid w:val="0CF8ACD6"/>
    <w:rsid w:val="0CF8E3A4"/>
    <w:rsid w:val="0CF9EF8A"/>
    <w:rsid w:val="0D104A89"/>
    <w:rsid w:val="0D1AC1D6"/>
    <w:rsid w:val="0D30171B"/>
    <w:rsid w:val="0D3977BE"/>
    <w:rsid w:val="0D5C148D"/>
    <w:rsid w:val="0D7A8AEB"/>
    <w:rsid w:val="0DA09FAC"/>
    <w:rsid w:val="0DB4CFE7"/>
    <w:rsid w:val="0DC08D10"/>
    <w:rsid w:val="0DCB6DB3"/>
    <w:rsid w:val="0DD1BB7F"/>
    <w:rsid w:val="0DEB8B1C"/>
    <w:rsid w:val="0DF1345D"/>
    <w:rsid w:val="0E003FE9"/>
    <w:rsid w:val="0E185503"/>
    <w:rsid w:val="0E41F4E4"/>
    <w:rsid w:val="0E44DCCD"/>
    <w:rsid w:val="0E5028F9"/>
    <w:rsid w:val="0E6BFE2A"/>
    <w:rsid w:val="0E6CFA45"/>
    <w:rsid w:val="0E96E6ED"/>
    <w:rsid w:val="0EA4CD99"/>
    <w:rsid w:val="0EA5B94D"/>
    <w:rsid w:val="0EA8E5E7"/>
    <w:rsid w:val="0EB2BF49"/>
    <w:rsid w:val="0EB79F2E"/>
    <w:rsid w:val="0ECD93C3"/>
    <w:rsid w:val="0ED7CA52"/>
    <w:rsid w:val="0EDC55E7"/>
    <w:rsid w:val="0EDF3C4E"/>
    <w:rsid w:val="0EE1496B"/>
    <w:rsid w:val="0EF555E5"/>
    <w:rsid w:val="0F085677"/>
    <w:rsid w:val="0F15085F"/>
    <w:rsid w:val="0F1FFF18"/>
    <w:rsid w:val="0F27D9FD"/>
    <w:rsid w:val="0F2C833C"/>
    <w:rsid w:val="0F358E16"/>
    <w:rsid w:val="0F514226"/>
    <w:rsid w:val="0F920402"/>
    <w:rsid w:val="0FA6191A"/>
    <w:rsid w:val="0FAFF98E"/>
    <w:rsid w:val="0FB2F411"/>
    <w:rsid w:val="0FBC26F7"/>
    <w:rsid w:val="0FBE5726"/>
    <w:rsid w:val="0FC82710"/>
    <w:rsid w:val="0FC857B3"/>
    <w:rsid w:val="0FC85E1F"/>
    <w:rsid w:val="0FCAAE68"/>
    <w:rsid w:val="0FCC234B"/>
    <w:rsid w:val="0FD3A127"/>
    <w:rsid w:val="0FDD07BA"/>
    <w:rsid w:val="0FE92279"/>
    <w:rsid w:val="0FED72BD"/>
    <w:rsid w:val="0FF54E12"/>
    <w:rsid w:val="10026488"/>
    <w:rsid w:val="101B93C3"/>
    <w:rsid w:val="101F26A1"/>
    <w:rsid w:val="1020ACAF"/>
    <w:rsid w:val="102B6DEB"/>
    <w:rsid w:val="103EDE2D"/>
    <w:rsid w:val="104AA436"/>
    <w:rsid w:val="1061D004"/>
    <w:rsid w:val="106D7071"/>
    <w:rsid w:val="10927D13"/>
    <w:rsid w:val="109BDC86"/>
    <w:rsid w:val="10B68227"/>
    <w:rsid w:val="10BFD593"/>
    <w:rsid w:val="10C8B053"/>
    <w:rsid w:val="10D0D131"/>
    <w:rsid w:val="10EE1CD9"/>
    <w:rsid w:val="10F1B4A1"/>
    <w:rsid w:val="10FB32CF"/>
    <w:rsid w:val="11064206"/>
    <w:rsid w:val="11307929"/>
    <w:rsid w:val="114E7F24"/>
    <w:rsid w:val="1171DC58"/>
    <w:rsid w:val="11782CAA"/>
    <w:rsid w:val="117893CE"/>
    <w:rsid w:val="117D0ECD"/>
    <w:rsid w:val="118115ED"/>
    <w:rsid w:val="11894606"/>
    <w:rsid w:val="11AD99AD"/>
    <w:rsid w:val="11ADED38"/>
    <w:rsid w:val="11B3C11D"/>
    <w:rsid w:val="11BAD88E"/>
    <w:rsid w:val="11C0E351"/>
    <w:rsid w:val="11FD99C6"/>
    <w:rsid w:val="1208C127"/>
    <w:rsid w:val="1209E89F"/>
    <w:rsid w:val="120F2E52"/>
    <w:rsid w:val="12167DA3"/>
    <w:rsid w:val="122D09C1"/>
    <w:rsid w:val="1236BB73"/>
    <w:rsid w:val="123A1B66"/>
    <w:rsid w:val="123AC55C"/>
    <w:rsid w:val="1247CAB9"/>
    <w:rsid w:val="1254A035"/>
    <w:rsid w:val="12727B2C"/>
    <w:rsid w:val="127CA621"/>
    <w:rsid w:val="128002AC"/>
    <w:rsid w:val="128BE8E9"/>
    <w:rsid w:val="1291007E"/>
    <w:rsid w:val="12A09BF6"/>
    <w:rsid w:val="12A52550"/>
    <w:rsid w:val="12B10CCE"/>
    <w:rsid w:val="12B6F2B7"/>
    <w:rsid w:val="12CA5625"/>
    <w:rsid w:val="12D08E42"/>
    <w:rsid w:val="12E3A8C6"/>
    <w:rsid w:val="12EEAEFD"/>
    <w:rsid w:val="130A7772"/>
    <w:rsid w:val="130C7D45"/>
    <w:rsid w:val="13171C35"/>
    <w:rsid w:val="131D07E6"/>
    <w:rsid w:val="1321E645"/>
    <w:rsid w:val="1322DB77"/>
    <w:rsid w:val="133318C5"/>
    <w:rsid w:val="135601E3"/>
    <w:rsid w:val="135FB62B"/>
    <w:rsid w:val="13666ED2"/>
    <w:rsid w:val="136B0493"/>
    <w:rsid w:val="137B3637"/>
    <w:rsid w:val="1382915E"/>
    <w:rsid w:val="13856DFA"/>
    <w:rsid w:val="138F86B6"/>
    <w:rsid w:val="13A7139D"/>
    <w:rsid w:val="13A93568"/>
    <w:rsid w:val="13AE3959"/>
    <w:rsid w:val="13B81814"/>
    <w:rsid w:val="13C81C86"/>
    <w:rsid w:val="13CE1E61"/>
    <w:rsid w:val="13E20774"/>
    <w:rsid w:val="13EBB0FD"/>
    <w:rsid w:val="13F41657"/>
    <w:rsid w:val="141E3FBE"/>
    <w:rsid w:val="142C8C39"/>
    <w:rsid w:val="143FDB80"/>
    <w:rsid w:val="14676739"/>
    <w:rsid w:val="1475DEE3"/>
    <w:rsid w:val="1492F178"/>
    <w:rsid w:val="1494FC4B"/>
    <w:rsid w:val="1497E9B3"/>
    <w:rsid w:val="1498CFC7"/>
    <w:rsid w:val="149B6559"/>
    <w:rsid w:val="149BF38C"/>
    <w:rsid w:val="14BA22A7"/>
    <w:rsid w:val="14BDAEC2"/>
    <w:rsid w:val="14C345F3"/>
    <w:rsid w:val="14C4A32C"/>
    <w:rsid w:val="14E294D9"/>
    <w:rsid w:val="1507E388"/>
    <w:rsid w:val="1521A44D"/>
    <w:rsid w:val="15324518"/>
    <w:rsid w:val="154087D6"/>
    <w:rsid w:val="15456F7A"/>
    <w:rsid w:val="154AB424"/>
    <w:rsid w:val="15587B48"/>
    <w:rsid w:val="155D36C2"/>
    <w:rsid w:val="1578FED1"/>
    <w:rsid w:val="157DD2E0"/>
    <w:rsid w:val="158B6AA3"/>
    <w:rsid w:val="15A5BA20"/>
    <w:rsid w:val="15B6D48E"/>
    <w:rsid w:val="15CE3BF4"/>
    <w:rsid w:val="15D68841"/>
    <w:rsid w:val="15D95379"/>
    <w:rsid w:val="15EB452F"/>
    <w:rsid w:val="1613FB76"/>
    <w:rsid w:val="16254B04"/>
    <w:rsid w:val="163BDD1B"/>
    <w:rsid w:val="16418A20"/>
    <w:rsid w:val="16438271"/>
    <w:rsid w:val="164EB71C"/>
    <w:rsid w:val="166C3F1A"/>
    <w:rsid w:val="167C8D69"/>
    <w:rsid w:val="168D6452"/>
    <w:rsid w:val="168D81E7"/>
    <w:rsid w:val="16A02D4A"/>
    <w:rsid w:val="16A6185E"/>
    <w:rsid w:val="16AD6A96"/>
    <w:rsid w:val="16B01FBA"/>
    <w:rsid w:val="16C342CA"/>
    <w:rsid w:val="16DE1083"/>
    <w:rsid w:val="16F4564A"/>
    <w:rsid w:val="16F8AC68"/>
    <w:rsid w:val="1721A724"/>
    <w:rsid w:val="17354B35"/>
    <w:rsid w:val="1755572E"/>
    <w:rsid w:val="176A19C1"/>
    <w:rsid w:val="1771278B"/>
    <w:rsid w:val="1772D2CE"/>
    <w:rsid w:val="177977AE"/>
    <w:rsid w:val="178C8F6D"/>
    <w:rsid w:val="179D4EC3"/>
    <w:rsid w:val="179E1FFA"/>
    <w:rsid w:val="179FA185"/>
    <w:rsid w:val="17A2A515"/>
    <w:rsid w:val="17B9A208"/>
    <w:rsid w:val="17C2C544"/>
    <w:rsid w:val="17D2ABAF"/>
    <w:rsid w:val="17E6F015"/>
    <w:rsid w:val="18032A8D"/>
    <w:rsid w:val="182F76DB"/>
    <w:rsid w:val="1839E213"/>
    <w:rsid w:val="18751C13"/>
    <w:rsid w:val="1890CC0D"/>
    <w:rsid w:val="18936BBE"/>
    <w:rsid w:val="189C5A8A"/>
    <w:rsid w:val="18C82FAC"/>
    <w:rsid w:val="18DB8A2D"/>
    <w:rsid w:val="18ED1884"/>
    <w:rsid w:val="18ED594C"/>
    <w:rsid w:val="18F1A817"/>
    <w:rsid w:val="18FBE080"/>
    <w:rsid w:val="1906247A"/>
    <w:rsid w:val="190F9F39"/>
    <w:rsid w:val="1930DF2E"/>
    <w:rsid w:val="193B0D66"/>
    <w:rsid w:val="1940881D"/>
    <w:rsid w:val="19411BAA"/>
    <w:rsid w:val="1954FDBD"/>
    <w:rsid w:val="19592DC7"/>
    <w:rsid w:val="19682E0E"/>
    <w:rsid w:val="197D5F79"/>
    <w:rsid w:val="197D78C3"/>
    <w:rsid w:val="198E646A"/>
    <w:rsid w:val="199AF1C4"/>
    <w:rsid w:val="199D5BFA"/>
    <w:rsid w:val="199F3BEC"/>
    <w:rsid w:val="19A43153"/>
    <w:rsid w:val="19A8FC97"/>
    <w:rsid w:val="19AE22D8"/>
    <w:rsid w:val="19AED08D"/>
    <w:rsid w:val="19BC6B9A"/>
    <w:rsid w:val="19C3FC1C"/>
    <w:rsid w:val="19D0D4A4"/>
    <w:rsid w:val="19E07F64"/>
    <w:rsid w:val="19E08E30"/>
    <w:rsid w:val="19F0CD08"/>
    <w:rsid w:val="1A1459E0"/>
    <w:rsid w:val="1A1F2A3A"/>
    <w:rsid w:val="1A400E43"/>
    <w:rsid w:val="1A43124E"/>
    <w:rsid w:val="1A573E2C"/>
    <w:rsid w:val="1A7885E2"/>
    <w:rsid w:val="1AAF5925"/>
    <w:rsid w:val="1AB7ABD8"/>
    <w:rsid w:val="1ABAD7E3"/>
    <w:rsid w:val="1AC2EAEE"/>
    <w:rsid w:val="1AC4E498"/>
    <w:rsid w:val="1AD05856"/>
    <w:rsid w:val="1AD186CF"/>
    <w:rsid w:val="1AD4D058"/>
    <w:rsid w:val="1AD753E1"/>
    <w:rsid w:val="1ADAB9D8"/>
    <w:rsid w:val="1AE65A96"/>
    <w:rsid w:val="1B05889C"/>
    <w:rsid w:val="1B1D18FF"/>
    <w:rsid w:val="1B2AC6E3"/>
    <w:rsid w:val="1B2E50E3"/>
    <w:rsid w:val="1B2EDEA2"/>
    <w:rsid w:val="1B3E50F5"/>
    <w:rsid w:val="1B400F6C"/>
    <w:rsid w:val="1B43DA7B"/>
    <w:rsid w:val="1B620F83"/>
    <w:rsid w:val="1B62C5FF"/>
    <w:rsid w:val="1B7A3749"/>
    <w:rsid w:val="1B7B2F84"/>
    <w:rsid w:val="1B8BA428"/>
    <w:rsid w:val="1BAA8703"/>
    <w:rsid w:val="1BDF1982"/>
    <w:rsid w:val="1BE00B2B"/>
    <w:rsid w:val="1BF62480"/>
    <w:rsid w:val="1C128C0C"/>
    <w:rsid w:val="1C21067F"/>
    <w:rsid w:val="1C297C65"/>
    <w:rsid w:val="1C435022"/>
    <w:rsid w:val="1C4C459A"/>
    <w:rsid w:val="1C509991"/>
    <w:rsid w:val="1C53F887"/>
    <w:rsid w:val="1C94D7FC"/>
    <w:rsid w:val="1C9B27F4"/>
    <w:rsid w:val="1CA41FD5"/>
    <w:rsid w:val="1CAED292"/>
    <w:rsid w:val="1CBCA0E4"/>
    <w:rsid w:val="1CD8224A"/>
    <w:rsid w:val="1CE57323"/>
    <w:rsid w:val="1CEB181E"/>
    <w:rsid w:val="1CF3F6A5"/>
    <w:rsid w:val="1CF5095B"/>
    <w:rsid w:val="1D0F0E7B"/>
    <w:rsid w:val="1D3CC663"/>
    <w:rsid w:val="1D4A6391"/>
    <w:rsid w:val="1D54D737"/>
    <w:rsid w:val="1D5534C6"/>
    <w:rsid w:val="1D55EF17"/>
    <w:rsid w:val="1D83292D"/>
    <w:rsid w:val="1D8431D6"/>
    <w:rsid w:val="1D8BADFE"/>
    <w:rsid w:val="1D91433D"/>
    <w:rsid w:val="1D93AF7D"/>
    <w:rsid w:val="1D9BFAA4"/>
    <w:rsid w:val="1D9EC914"/>
    <w:rsid w:val="1DA43D05"/>
    <w:rsid w:val="1DB5F81C"/>
    <w:rsid w:val="1DB9F548"/>
    <w:rsid w:val="1DC4749A"/>
    <w:rsid w:val="1DCF6C39"/>
    <w:rsid w:val="1DD84D2E"/>
    <w:rsid w:val="1DECA8B1"/>
    <w:rsid w:val="1DF1C17F"/>
    <w:rsid w:val="1E03048E"/>
    <w:rsid w:val="1E123F4B"/>
    <w:rsid w:val="1E1E5E31"/>
    <w:rsid w:val="1E2E1BC5"/>
    <w:rsid w:val="1E3D9DD2"/>
    <w:rsid w:val="1E55D3FC"/>
    <w:rsid w:val="1E76D39D"/>
    <w:rsid w:val="1E993D74"/>
    <w:rsid w:val="1E9B98C2"/>
    <w:rsid w:val="1EBAFFB4"/>
    <w:rsid w:val="1EC45856"/>
    <w:rsid w:val="1EC9B3F5"/>
    <w:rsid w:val="1EE914DC"/>
    <w:rsid w:val="1EF75578"/>
    <w:rsid w:val="1F0E337B"/>
    <w:rsid w:val="1F114A16"/>
    <w:rsid w:val="1F1A7E32"/>
    <w:rsid w:val="1F218333"/>
    <w:rsid w:val="1F2C2332"/>
    <w:rsid w:val="1F34E2DD"/>
    <w:rsid w:val="1F37527B"/>
    <w:rsid w:val="1F6CA677"/>
    <w:rsid w:val="1F6E4CDC"/>
    <w:rsid w:val="1F7B756A"/>
    <w:rsid w:val="1F82236A"/>
    <w:rsid w:val="1F823182"/>
    <w:rsid w:val="1F910656"/>
    <w:rsid w:val="1FA05489"/>
    <w:rsid w:val="1FB19918"/>
    <w:rsid w:val="1FB329CF"/>
    <w:rsid w:val="1FB3A129"/>
    <w:rsid w:val="1FC1E842"/>
    <w:rsid w:val="1FC647B6"/>
    <w:rsid w:val="1FEA3C29"/>
    <w:rsid w:val="1FF3D290"/>
    <w:rsid w:val="1FF8B060"/>
    <w:rsid w:val="200C1C6E"/>
    <w:rsid w:val="204A09DC"/>
    <w:rsid w:val="204CAFB1"/>
    <w:rsid w:val="205C1CA7"/>
    <w:rsid w:val="205E3BA4"/>
    <w:rsid w:val="205F1989"/>
    <w:rsid w:val="20852561"/>
    <w:rsid w:val="20B37CE3"/>
    <w:rsid w:val="20D290B0"/>
    <w:rsid w:val="20D8D87B"/>
    <w:rsid w:val="20DADE86"/>
    <w:rsid w:val="21005AE4"/>
    <w:rsid w:val="210A26EF"/>
    <w:rsid w:val="210B9CC2"/>
    <w:rsid w:val="2123922E"/>
    <w:rsid w:val="21319DA7"/>
    <w:rsid w:val="21359424"/>
    <w:rsid w:val="216917B0"/>
    <w:rsid w:val="2189F31C"/>
    <w:rsid w:val="21A3811E"/>
    <w:rsid w:val="21AEB383"/>
    <w:rsid w:val="21B544CF"/>
    <w:rsid w:val="21B7BE03"/>
    <w:rsid w:val="21CAD26A"/>
    <w:rsid w:val="21CEAE0D"/>
    <w:rsid w:val="21D44910"/>
    <w:rsid w:val="21DFAD38"/>
    <w:rsid w:val="21E1914F"/>
    <w:rsid w:val="21FE25D9"/>
    <w:rsid w:val="222F463A"/>
    <w:rsid w:val="225704B0"/>
    <w:rsid w:val="225F5D0E"/>
    <w:rsid w:val="22657F25"/>
    <w:rsid w:val="228B669C"/>
    <w:rsid w:val="229950AA"/>
    <w:rsid w:val="22D45CB5"/>
    <w:rsid w:val="230CC68A"/>
    <w:rsid w:val="230ED4E1"/>
    <w:rsid w:val="231B5159"/>
    <w:rsid w:val="23293E14"/>
    <w:rsid w:val="23375945"/>
    <w:rsid w:val="2338375B"/>
    <w:rsid w:val="236BFCF7"/>
    <w:rsid w:val="2375D37D"/>
    <w:rsid w:val="23885DEF"/>
    <w:rsid w:val="23A79B1B"/>
    <w:rsid w:val="23AE101A"/>
    <w:rsid w:val="23C04BAE"/>
    <w:rsid w:val="23CF04E4"/>
    <w:rsid w:val="23D7A8D9"/>
    <w:rsid w:val="23DDFD7A"/>
    <w:rsid w:val="23E1B918"/>
    <w:rsid w:val="23E99C1C"/>
    <w:rsid w:val="23F3D881"/>
    <w:rsid w:val="23F463F8"/>
    <w:rsid w:val="23F8F1E2"/>
    <w:rsid w:val="2401CB34"/>
    <w:rsid w:val="240AF427"/>
    <w:rsid w:val="240F751E"/>
    <w:rsid w:val="2414563B"/>
    <w:rsid w:val="2419A234"/>
    <w:rsid w:val="241B6582"/>
    <w:rsid w:val="24268C8A"/>
    <w:rsid w:val="243BD56F"/>
    <w:rsid w:val="24401589"/>
    <w:rsid w:val="2446815C"/>
    <w:rsid w:val="24475C83"/>
    <w:rsid w:val="24591FA9"/>
    <w:rsid w:val="2461FFCD"/>
    <w:rsid w:val="2463FA9F"/>
    <w:rsid w:val="2479FBA5"/>
    <w:rsid w:val="247A7311"/>
    <w:rsid w:val="248F33DA"/>
    <w:rsid w:val="2496357E"/>
    <w:rsid w:val="249805FC"/>
    <w:rsid w:val="24BBAAE0"/>
    <w:rsid w:val="24BC1F97"/>
    <w:rsid w:val="24BDA196"/>
    <w:rsid w:val="24D5C260"/>
    <w:rsid w:val="24E7D830"/>
    <w:rsid w:val="25123997"/>
    <w:rsid w:val="2519714D"/>
    <w:rsid w:val="252CD3A7"/>
    <w:rsid w:val="252EBCF5"/>
    <w:rsid w:val="254CAF8D"/>
    <w:rsid w:val="257DE8EA"/>
    <w:rsid w:val="258D0D2C"/>
    <w:rsid w:val="258DBF0B"/>
    <w:rsid w:val="258EF70C"/>
    <w:rsid w:val="259578C4"/>
    <w:rsid w:val="25A325A5"/>
    <w:rsid w:val="25A7D2F6"/>
    <w:rsid w:val="25A84875"/>
    <w:rsid w:val="25ACE7E0"/>
    <w:rsid w:val="25AEBDC0"/>
    <w:rsid w:val="25BE6896"/>
    <w:rsid w:val="25C70066"/>
    <w:rsid w:val="25D1903C"/>
    <w:rsid w:val="25D8E6C6"/>
    <w:rsid w:val="25F019BA"/>
    <w:rsid w:val="25F57DE0"/>
    <w:rsid w:val="25FC9627"/>
    <w:rsid w:val="2609C7D0"/>
    <w:rsid w:val="2623A4B4"/>
    <w:rsid w:val="26376743"/>
    <w:rsid w:val="26408E8C"/>
    <w:rsid w:val="26521AD0"/>
    <w:rsid w:val="2663C422"/>
    <w:rsid w:val="266D5DCF"/>
    <w:rsid w:val="2677C8E0"/>
    <w:rsid w:val="268DB267"/>
    <w:rsid w:val="2695138A"/>
    <w:rsid w:val="26A332F6"/>
    <w:rsid w:val="26A9CE83"/>
    <w:rsid w:val="26AEC52D"/>
    <w:rsid w:val="26AF8832"/>
    <w:rsid w:val="26B657B2"/>
    <w:rsid w:val="26C6CA24"/>
    <w:rsid w:val="26D6AF17"/>
    <w:rsid w:val="26F77A32"/>
    <w:rsid w:val="26FDF24A"/>
    <w:rsid w:val="26FF8289"/>
    <w:rsid w:val="27003E88"/>
    <w:rsid w:val="2705B362"/>
    <w:rsid w:val="2706E5D5"/>
    <w:rsid w:val="270979B7"/>
    <w:rsid w:val="272BE03D"/>
    <w:rsid w:val="2735BAF0"/>
    <w:rsid w:val="2737157B"/>
    <w:rsid w:val="273EC50E"/>
    <w:rsid w:val="275454F4"/>
    <w:rsid w:val="27747DED"/>
    <w:rsid w:val="27808AAC"/>
    <w:rsid w:val="2786396D"/>
    <w:rsid w:val="2792D094"/>
    <w:rsid w:val="27A3F2BB"/>
    <w:rsid w:val="27AE2E6F"/>
    <w:rsid w:val="27B4C753"/>
    <w:rsid w:val="27C0B2D6"/>
    <w:rsid w:val="27FE1829"/>
    <w:rsid w:val="2807699F"/>
    <w:rsid w:val="2818146A"/>
    <w:rsid w:val="28280895"/>
    <w:rsid w:val="282A69AD"/>
    <w:rsid w:val="2841DAEA"/>
    <w:rsid w:val="2841EC8E"/>
    <w:rsid w:val="2845F045"/>
    <w:rsid w:val="2859DE34"/>
    <w:rsid w:val="286AF9B6"/>
    <w:rsid w:val="286E218E"/>
    <w:rsid w:val="28854703"/>
    <w:rsid w:val="28956E65"/>
    <w:rsid w:val="289C0880"/>
    <w:rsid w:val="28A06FED"/>
    <w:rsid w:val="28BEBD68"/>
    <w:rsid w:val="28C8C54D"/>
    <w:rsid w:val="28E330B0"/>
    <w:rsid w:val="28E5CC16"/>
    <w:rsid w:val="28E5EA23"/>
    <w:rsid w:val="28E7C6FE"/>
    <w:rsid w:val="28F66D8F"/>
    <w:rsid w:val="2909A34C"/>
    <w:rsid w:val="292925E1"/>
    <w:rsid w:val="29328D37"/>
    <w:rsid w:val="29413EA9"/>
    <w:rsid w:val="2941D729"/>
    <w:rsid w:val="2944CD6C"/>
    <w:rsid w:val="294CE5F6"/>
    <w:rsid w:val="296E5E0E"/>
    <w:rsid w:val="299C2055"/>
    <w:rsid w:val="29A1D9F5"/>
    <w:rsid w:val="29A4F431"/>
    <w:rsid w:val="29AB7995"/>
    <w:rsid w:val="29C4C8D8"/>
    <w:rsid w:val="29E5AE75"/>
    <w:rsid w:val="29EBD63E"/>
    <w:rsid w:val="29F0967D"/>
    <w:rsid w:val="29F64839"/>
    <w:rsid w:val="2A06FF4E"/>
    <w:rsid w:val="2A0A9212"/>
    <w:rsid w:val="2A2FED42"/>
    <w:rsid w:val="2A36CFC6"/>
    <w:rsid w:val="2A535606"/>
    <w:rsid w:val="2A8122F1"/>
    <w:rsid w:val="2A8167D0"/>
    <w:rsid w:val="2A884C71"/>
    <w:rsid w:val="2A9A0C58"/>
    <w:rsid w:val="2AB71EFB"/>
    <w:rsid w:val="2ABD67D1"/>
    <w:rsid w:val="2ACE48AF"/>
    <w:rsid w:val="2AD93206"/>
    <w:rsid w:val="2AE12020"/>
    <w:rsid w:val="2B051278"/>
    <w:rsid w:val="2B33AE4F"/>
    <w:rsid w:val="2B3FDE3D"/>
    <w:rsid w:val="2B4A4FEE"/>
    <w:rsid w:val="2B4B34FB"/>
    <w:rsid w:val="2B4BF7DE"/>
    <w:rsid w:val="2B54389B"/>
    <w:rsid w:val="2B58324E"/>
    <w:rsid w:val="2B598978"/>
    <w:rsid w:val="2B5A338A"/>
    <w:rsid w:val="2B5B5547"/>
    <w:rsid w:val="2B5FE87E"/>
    <w:rsid w:val="2B67A03C"/>
    <w:rsid w:val="2B67C69E"/>
    <w:rsid w:val="2B6DF400"/>
    <w:rsid w:val="2B75464B"/>
    <w:rsid w:val="2B7910B8"/>
    <w:rsid w:val="2BAA1530"/>
    <w:rsid w:val="2BAAA7CE"/>
    <w:rsid w:val="2BC41FF5"/>
    <w:rsid w:val="2BC51DE4"/>
    <w:rsid w:val="2BF0E654"/>
    <w:rsid w:val="2BF663ED"/>
    <w:rsid w:val="2C005987"/>
    <w:rsid w:val="2C183F06"/>
    <w:rsid w:val="2C1E3620"/>
    <w:rsid w:val="2C1FD7DB"/>
    <w:rsid w:val="2C2ACE9D"/>
    <w:rsid w:val="2C30E68D"/>
    <w:rsid w:val="2C339760"/>
    <w:rsid w:val="2C35F617"/>
    <w:rsid w:val="2C483DBB"/>
    <w:rsid w:val="2C5022EE"/>
    <w:rsid w:val="2C56C118"/>
    <w:rsid w:val="2C578D34"/>
    <w:rsid w:val="2C726A04"/>
    <w:rsid w:val="2C74A61A"/>
    <w:rsid w:val="2C7BA50A"/>
    <w:rsid w:val="2C7C39F8"/>
    <w:rsid w:val="2C85A192"/>
    <w:rsid w:val="2C89C5D7"/>
    <w:rsid w:val="2C92903E"/>
    <w:rsid w:val="2C960D15"/>
    <w:rsid w:val="2CAEAE53"/>
    <w:rsid w:val="2CAF05BF"/>
    <w:rsid w:val="2CCEE10B"/>
    <w:rsid w:val="2CD91195"/>
    <w:rsid w:val="2CEAB643"/>
    <w:rsid w:val="2CF823F9"/>
    <w:rsid w:val="2CFC6DCB"/>
    <w:rsid w:val="2D0A7A7A"/>
    <w:rsid w:val="2D168AAF"/>
    <w:rsid w:val="2D222C36"/>
    <w:rsid w:val="2D308121"/>
    <w:rsid w:val="2D46FB45"/>
    <w:rsid w:val="2D66CCC3"/>
    <w:rsid w:val="2D7C8114"/>
    <w:rsid w:val="2D84E89B"/>
    <w:rsid w:val="2D8663E3"/>
    <w:rsid w:val="2D99C332"/>
    <w:rsid w:val="2DB5FC33"/>
    <w:rsid w:val="2DCE638F"/>
    <w:rsid w:val="2DD0F0C1"/>
    <w:rsid w:val="2DECD203"/>
    <w:rsid w:val="2DF9F8F1"/>
    <w:rsid w:val="2E4AE852"/>
    <w:rsid w:val="2E6F36DA"/>
    <w:rsid w:val="2E7A8CF5"/>
    <w:rsid w:val="2E7FDDBA"/>
    <w:rsid w:val="2E86F875"/>
    <w:rsid w:val="2E8755DB"/>
    <w:rsid w:val="2EA5AEB8"/>
    <w:rsid w:val="2ECD5FF2"/>
    <w:rsid w:val="2ED3BF9E"/>
    <w:rsid w:val="2ED74637"/>
    <w:rsid w:val="2EE9CCF5"/>
    <w:rsid w:val="2EF726A9"/>
    <w:rsid w:val="2F1AF938"/>
    <w:rsid w:val="2F27B4EB"/>
    <w:rsid w:val="2F2E5B74"/>
    <w:rsid w:val="2F3AA782"/>
    <w:rsid w:val="2F44176F"/>
    <w:rsid w:val="2F63AFBE"/>
    <w:rsid w:val="2F6C221E"/>
    <w:rsid w:val="2F7259AD"/>
    <w:rsid w:val="2F8029A7"/>
    <w:rsid w:val="2F82ED55"/>
    <w:rsid w:val="2F9B8864"/>
    <w:rsid w:val="2FA95666"/>
    <w:rsid w:val="2FA98956"/>
    <w:rsid w:val="3008A102"/>
    <w:rsid w:val="3016E15C"/>
    <w:rsid w:val="3018201B"/>
    <w:rsid w:val="3032D952"/>
    <w:rsid w:val="305FB365"/>
    <w:rsid w:val="3060D611"/>
    <w:rsid w:val="30614796"/>
    <w:rsid w:val="3064A643"/>
    <w:rsid w:val="3088B6F8"/>
    <w:rsid w:val="308D2EE0"/>
    <w:rsid w:val="30939E7C"/>
    <w:rsid w:val="30A33165"/>
    <w:rsid w:val="30B9F70A"/>
    <w:rsid w:val="30C3B702"/>
    <w:rsid w:val="30C42905"/>
    <w:rsid w:val="30DA215F"/>
    <w:rsid w:val="30E457FC"/>
    <w:rsid w:val="30E683E8"/>
    <w:rsid w:val="30F071E9"/>
    <w:rsid w:val="311BE787"/>
    <w:rsid w:val="312E5C44"/>
    <w:rsid w:val="314C27A8"/>
    <w:rsid w:val="314DDBA2"/>
    <w:rsid w:val="3151191C"/>
    <w:rsid w:val="3167680B"/>
    <w:rsid w:val="3173136F"/>
    <w:rsid w:val="317B35CB"/>
    <w:rsid w:val="317E228A"/>
    <w:rsid w:val="31811742"/>
    <w:rsid w:val="318834B7"/>
    <w:rsid w:val="31896D02"/>
    <w:rsid w:val="3191EC36"/>
    <w:rsid w:val="3193D9DE"/>
    <w:rsid w:val="31A97955"/>
    <w:rsid w:val="31B6B691"/>
    <w:rsid w:val="31D58F76"/>
    <w:rsid w:val="31EE19BF"/>
    <w:rsid w:val="31FBC040"/>
    <w:rsid w:val="320C1F09"/>
    <w:rsid w:val="3222B28F"/>
    <w:rsid w:val="3226F198"/>
    <w:rsid w:val="32587A6B"/>
    <w:rsid w:val="3260DC1D"/>
    <w:rsid w:val="3264CF77"/>
    <w:rsid w:val="327D1660"/>
    <w:rsid w:val="32B1D088"/>
    <w:rsid w:val="32B55653"/>
    <w:rsid w:val="32C7789B"/>
    <w:rsid w:val="32E6FA91"/>
    <w:rsid w:val="32E912EC"/>
    <w:rsid w:val="32FCF3E8"/>
    <w:rsid w:val="3310DB32"/>
    <w:rsid w:val="333DB0F0"/>
    <w:rsid w:val="334674BC"/>
    <w:rsid w:val="3356CF8D"/>
    <w:rsid w:val="3359775E"/>
    <w:rsid w:val="33653852"/>
    <w:rsid w:val="33703D7B"/>
    <w:rsid w:val="3375EB16"/>
    <w:rsid w:val="337CEDD5"/>
    <w:rsid w:val="33837A5D"/>
    <w:rsid w:val="33A2FD19"/>
    <w:rsid w:val="33BF6927"/>
    <w:rsid w:val="33D77A9C"/>
    <w:rsid w:val="33E1580C"/>
    <w:rsid w:val="33FF653D"/>
    <w:rsid w:val="340A1C28"/>
    <w:rsid w:val="34184D58"/>
    <w:rsid w:val="341E80FD"/>
    <w:rsid w:val="3429E704"/>
    <w:rsid w:val="34372B22"/>
    <w:rsid w:val="345BF727"/>
    <w:rsid w:val="34633401"/>
    <w:rsid w:val="34689C02"/>
    <w:rsid w:val="346F9C8E"/>
    <w:rsid w:val="34999154"/>
    <w:rsid w:val="34A16803"/>
    <w:rsid w:val="34B8BBD8"/>
    <w:rsid w:val="34BFDE40"/>
    <w:rsid w:val="34CB9FD3"/>
    <w:rsid w:val="34D67F02"/>
    <w:rsid w:val="34D7CAB8"/>
    <w:rsid w:val="34DA3829"/>
    <w:rsid w:val="34FECCEC"/>
    <w:rsid w:val="35096A2C"/>
    <w:rsid w:val="354794A4"/>
    <w:rsid w:val="355256EE"/>
    <w:rsid w:val="3559F2D0"/>
    <w:rsid w:val="35638DA8"/>
    <w:rsid w:val="356DDE02"/>
    <w:rsid w:val="35969E66"/>
    <w:rsid w:val="3597E6CC"/>
    <w:rsid w:val="35985304"/>
    <w:rsid w:val="359AF6D1"/>
    <w:rsid w:val="359B06CD"/>
    <w:rsid w:val="35A79109"/>
    <w:rsid w:val="35BF05D7"/>
    <w:rsid w:val="35DE86C0"/>
    <w:rsid w:val="35F33280"/>
    <w:rsid w:val="35F7D1B2"/>
    <w:rsid w:val="35F9A791"/>
    <w:rsid w:val="3615272D"/>
    <w:rsid w:val="36372D95"/>
    <w:rsid w:val="363F59D1"/>
    <w:rsid w:val="3644C6F2"/>
    <w:rsid w:val="36523C04"/>
    <w:rsid w:val="365C3800"/>
    <w:rsid w:val="365D39EA"/>
    <w:rsid w:val="365E02E4"/>
    <w:rsid w:val="36617753"/>
    <w:rsid w:val="3661D650"/>
    <w:rsid w:val="3666CE46"/>
    <w:rsid w:val="3668D886"/>
    <w:rsid w:val="366FDA22"/>
    <w:rsid w:val="36A5E777"/>
    <w:rsid w:val="36A685C4"/>
    <w:rsid w:val="36B3775D"/>
    <w:rsid w:val="36C3597C"/>
    <w:rsid w:val="36C3BA32"/>
    <w:rsid w:val="36C59483"/>
    <w:rsid w:val="36C6CC76"/>
    <w:rsid w:val="36D3AA84"/>
    <w:rsid w:val="36D45705"/>
    <w:rsid w:val="36D57797"/>
    <w:rsid w:val="36DA4DE7"/>
    <w:rsid w:val="36F4B55D"/>
    <w:rsid w:val="36F587CA"/>
    <w:rsid w:val="37088558"/>
    <w:rsid w:val="372DE89E"/>
    <w:rsid w:val="3748EF91"/>
    <w:rsid w:val="375015AF"/>
    <w:rsid w:val="375F4FA0"/>
    <w:rsid w:val="37797CE6"/>
    <w:rsid w:val="377BDD96"/>
    <w:rsid w:val="3781F3CE"/>
    <w:rsid w:val="378C4053"/>
    <w:rsid w:val="37B142EB"/>
    <w:rsid w:val="37C3DBDB"/>
    <w:rsid w:val="37E27236"/>
    <w:rsid w:val="37EF2131"/>
    <w:rsid w:val="37F5F59D"/>
    <w:rsid w:val="37F93753"/>
    <w:rsid w:val="380134B7"/>
    <w:rsid w:val="380315C2"/>
    <w:rsid w:val="380FE712"/>
    <w:rsid w:val="38102231"/>
    <w:rsid w:val="381A3545"/>
    <w:rsid w:val="382D9D6E"/>
    <w:rsid w:val="3849495A"/>
    <w:rsid w:val="3849E009"/>
    <w:rsid w:val="384E54CE"/>
    <w:rsid w:val="3868156B"/>
    <w:rsid w:val="387CAF12"/>
    <w:rsid w:val="3880D70F"/>
    <w:rsid w:val="388491D7"/>
    <w:rsid w:val="38A45808"/>
    <w:rsid w:val="38B556C4"/>
    <w:rsid w:val="38CF3C90"/>
    <w:rsid w:val="38D8B559"/>
    <w:rsid w:val="38DD2741"/>
    <w:rsid w:val="38DDBAE5"/>
    <w:rsid w:val="38EAA519"/>
    <w:rsid w:val="38F4EA32"/>
    <w:rsid w:val="3904DEA8"/>
    <w:rsid w:val="390A4AEE"/>
    <w:rsid w:val="390AD0EE"/>
    <w:rsid w:val="39151A52"/>
    <w:rsid w:val="3917BA54"/>
    <w:rsid w:val="3918FE2D"/>
    <w:rsid w:val="391AB1EC"/>
    <w:rsid w:val="3924A2CB"/>
    <w:rsid w:val="392AD805"/>
    <w:rsid w:val="39396FF5"/>
    <w:rsid w:val="393C3111"/>
    <w:rsid w:val="39404EED"/>
    <w:rsid w:val="394163EF"/>
    <w:rsid w:val="39440CD1"/>
    <w:rsid w:val="39482E91"/>
    <w:rsid w:val="3951BEB6"/>
    <w:rsid w:val="3951D106"/>
    <w:rsid w:val="395C1E41"/>
    <w:rsid w:val="395D793B"/>
    <w:rsid w:val="39725424"/>
    <w:rsid w:val="39749CCC"/>
    <w:rsid w:val="397F6106"/>
    <w:rsid w:val="3982D158"/>
    <w:rsid w:val="399BFD4B"/>
    <w:rsid w:val="399E0114"/>
    <w:rsid w:val="39A25916"/>
    <w:rsid w:val="39B094E3"/>
    <w:rsid w:val="39C4F68A"/>
    <w:rsid w:val="39CC53EE"/>
    <w:rsid w:val="39DAEB8B"/>
    <w:rsid w:val="39DCE8CF"/>
    <w:rsid w:val="39DE758B"/>
    <w:rsid w:val="39E30BF9"/>
    <w:rsid w:val="3A0BB344"/>
    <w:rsid w:val="3A209DBC"/>
    <w:rsid w:val="3A253D6B"/>
    <w:rsid w:val="3A3AE4DE"/>
    <w:rsid w:val="3A3D8E39"/>
    <w:rsid w:val="3A7F195C"/>
    <w:rsid w:val="3A8A547B"/>
    <w:rsid w:val="3A8B6CDB"/>
    <w:rsid w:val="3AB71F00"/>
    <w:rsid w:val="3AD3F536"/>
    <w:rsid w:val="3AD3F869"/>
    <w:rsid w:val="3AF2E7BF"/>
    <w:rsid w:val="3B13B83B"/>
    <w:rsid w:val="3B206421"/>
    <w:rsid w:val="3B333C6D"/>
    <w:rsid w:val="3B3B5036"/>
    <w:rsid w:val="3B3FC9C4"/>
    <w:rsid w:val="3B42CC2A"/>
    <w:rsid w:val="3B44BB99"/>
    <w:rsid w:val="3B458693"/>
    <w:rsid w:val="3B574907"/>
    <w:rsid w:val="3B60884D"/>
    <w:rsid w:val="3B6717E0"/>
    <w:rsid w:val="3BCE2E50"/>
    <w:rsid w:val="3BE1A252"/>
    <w:rsid w:val="3BEC7A69"/>
    <w:rsid w:val="3BEF4BDD"/>
    <w:rsid w:val="3BFA984B"/>
    <w:rsid w:val="3C0FA12D"/>
    <w:rsid w:val="3C39EFAF"/>
    <w:rsid w:val="3C58E11F"/>
    <w:rsid w:val="3C7E48B6"/>
    <w:rsid w:val="3C86D543"/>
    <w:rsid w:val="3CA43738"/>
    <w:rsid w:val="3CA74ACE"/>
    <w:rsid w:val="3CBEC29D"/>
    <w:rsid w:val="3CD2F2FC"/>
    <w:rsid w:val="3CF26A62"/>
    <w:rsid w:val="3D029446"/>
    <w:rsid w:val="3D117252"/>
    <w:rsid w:val="3D180F86"/>
    <w:rsid w:val="3D1C703C"/>
    <w:rsid w:val="3D1DD0C5"/>
    <w:rsid w:val="3D1F4595"/>
    <w:rsid w:val="3D262DC2"/>
    <w:rsid w:val="3D2D2E10"/>
    <w:rsid w:val="3D3C28EF"/>
    <w:rsid w:val="3D4642E9"/>
    <w:rsid w:val="3D5CFAA8"/>
    <w:rsid w:val="3D6EEB3A"/>
    <w:rsid w:val="3D80FB8C"/>
    <w:rsid w:val="3D9E3577"/>
    <w:rsid w:val="3DA1067B"/>
    <w:rsid w:val="3DB110ED"/>
    <w:rsid w:val="3DBA0A9B"/>
    <w:rsid w:val="3DBA2893"/>
    <w:rsid w:val="3DCA90CD"/>
    <w:rsid w:val="3DD9501D"/>
    <w:rsid w:val="3E0DB303"/>
    <w:rsid w:val="3E1F85CA"/>
    <w:rsid w:val="3E3E1B40"/>
    <w:rsid w:val="3E445898"/>
    <w:rsid w:val="3E4752DD"/>
    <w:rsid w:val="3E487D15"/>
    <w:rsid w:val="3E64B786"/>
    <w:rsid w:val="3E70F6AF"/>
    <w:rsid w:val="3E9E6E15"/>
    <w:rsid w:val="3EAA80BA"/>
    <w:rsid w:val="3EAADE21"/>
    <w:rsid w:val="3EB84F21"/>
    <w:rsid w:val="3EB921E2"/>
    <w:rsid w:val="3EC4D006"/>
    <w:rsid w:val="3EC670FF"/>
    <w:rsid w:val="3EC9C834"/>
    <w:rsid w:val="3F060D99"/>
    <w:rsid w:val="3F45E5EE"/>
    <w:rsid w:val="3F4775C1"/>
    <w:rsid w:val="3F4C6227"/>
    <w:rsid w:val="3F6A6710"/>
    <w:rsid w:val="3F7A5618"/>
    <w:rsid w:val="3F8733FC"/>
    <w:rsid w:val="3F95395F"/>
    <w:rsid w:val="3FA8A093"/>
    <w:rsid w:val="3FB0D008"/>
    <w:rsid w:val="3FB66351"/>
    <w:rsid w:val="3FB8977A"/>
    <w:rsid w:val="3FBBABE9"/>
    <w:rsid w:val="3FC20D41"/>
    <w:rsid w:val="3FC3FA69"/>
    <w:rsid w:val="3FC5431F"/>
    <w:rsid w:val="3FCA54E9"/>
    <w:rsid w:val="3FCE004F"/>
    <w:rsid w:val="3FD2DBFB"/>
    <w:rsid w:val="3FE67461"/>
    <w:rsid w:val="3FE9BDB0"/>
    <w:rsid w:val="4007CDFE"/>
    <w:rsid w:val="401810AC"/>
    <w:rsid w:val="401D2D1F"/>
    <w:rsid w:val="403838AD"/>
    <w:rsid w:val="407AF957"/>
    <w:rsid w:val="408BC785"/>
    <w:rsid w:val="409AE929"/>
    <w:rsid w:val="40B0F7C6"/>
    <w:rsid w:val="40B600AD"/>
    <w:rsid w:val="40C27364"/>
    <w:rsid w:val="40C7DBA8"/>
    <w:rsid w:val="40D22418"/>
    <w:rsid w:val="40D45939"/>
    <w:rsid w:val="40DD1CAC"/>
    <w:rsid w:val="410C29DB"/>
    <w:rsid w:val="41131C45"/>
    <w:rsid w:val="412C07E7"/>
    <w:rsid w:val="41378263"/>
    <w:rsid w:val="41477D34"/>
    <w:rsid w:val="4160ACE1"/>
    <w:rsid w:val="41676294"/>
    <w:rsid w:val="4170DA7E"/>
    <w:rsid w:val="417AE5BF"/>
    <w:rsid w:val="4188849F"/>
    <w:rsid w:val="4192A64B"/>
    <w:rsid w:val="419922AF"/>
    <w:rsid w:val="41D3B08D"/>
    <w:rsid w:val="41F259C7"/>
    <w:rsid w:val="41FA2AFA"/>
    <w:rsid w:val="42033B35"/>
    <w:rsid w:val="420CD6A8"/>
    <w:rsid w:val="421334EB"/>
    <w:rsid w:val="42138BC3"/>
    <w:rsid w:val="42198BC1"/>
    <w:rsid w:val="4219A065"/>
    <w:rsid w:val="4232E97B"/>
    <w:rsid w:val="4233CF74"/>
    <w:rsid w:val="4235318D"/>
    <w:rsid w:val="4247DBA1"/>
    <w:rsid w:val="4257C248"/>
    <w:rsid w:val="426143FA"/>
    <w:rsid w:val="42632431"/>
    <w:rsid w:val="42746C50"/>
    <w:rsid w:val="427F1CAE"/>
    <w:rsid w:val="427F6D3F"/>
    <w:rsid w:val="42AA5EBE"/>
    <w:rsid w:val="42B671C3"/>
    <w:rsid w:val="42C21D92"/>
    <w:rsid w:val="42CDB27A"/>
    <w:rsid w:val="42EB0148"/>
    <w:rsid w:val="42EEC9C0"/>
    <w:rsid w:val="42FFF08A"/>
    <w:rsid w:val="430C7897"/>
    <w:rsid w:val="43340C1A"/>
    <w:rsid w:val="4337D875"/>
    <w:rsid w:val="43382FEA"/>
    <w:rsid w:val="433AF4AA"/>
    <w:rsid w:val="4349CE91"/>
    <w:rsid w:val="434E8182"/>
    <w:rsid w:val="435CF2A7"/>
    <w:rsid w:val="435DD775"/>
    <w:rsid w:val="4360366E"/>
    <w:rsid w:val="43690AD9"/>
    <w:rsid w:val="436F021E"/>
    <w:rsid w:val="438971B7"/>
    <w:rsid w:val="4391F895"/>
    <w:rsid w:val="43B05A73"/>
    <w:rsid w:val="43BA1B12"/>
    <w:rsid w:val="43BBFB5D"/>
    <w:rsid w:val="43C038E2"/>
    <w:rsid w:val="43C832FB"/>
    <w:rsid w:val="43CA4FD7"/>
    <w:rsid w:val="43D74B1E"/>
    <w:rsid w:val="43F17B05"/>
    <w:rsid w:val="43F63D36"/>
    <w:rsid w:val="43F92413"/>
    <w:rsid w:val="4406EE1D"/>
    <w:rsid w:val="44140064"/>
    <w:rsid w:val="44225BA5"/>
    <w:rsid w:val="4438375F"/>
    <w:rsid w:val="443A06D8"/>
    <w:rsid w:val="443A5EDF"/>
    <w:rsid w:val="445D80CF"/>
    <w:rsid w:val="4472CFD3"/>
    <w:rsid w:val="447C8222"/>
    <w:rsid w:val="4481C343"/>
    <w:rsid w:val="44850F77"/>
    <w:rsid w:val="44A119AE"/>
    <w:rsid w:val="44C76C85"/>
    <w:rsid w:val="44D0FC52"/>
    <w:rsid w:val="44D9B8EE"/>
    <w:rsid w:val="44E8DBC5"/>
    <w:rsid w:val="44F6E5B1"/>
    <w:rsid w:val="44F9131A"/>
    <w:rsid w:val="44FB4F02"/>
    <w:rsid w:val="45171F0A"/>
    <w:rsid w:val="4517482F"/>
    <w:rsid w:val="452705C0"/>
    <w:rsid w:val="45290321"/>
    <w:rsid w:val="4531446B"/>
    <w:rsid w:val="45388443"/>
    <w:rsid w:val="45413A1A"/>
    <w:rsid w:val="45432EF5"/>
    <w:rsid w:val="4548827A"/>
    <w:rsid w:val="454C844C"/>
    <w:rsid w:val="454D9B45"/>
    <w:rsid w:val="45638A11"/>
    <w:rsid w:val="4576F5F3"/>
    <w:rsid w:val="4578DD3C"/>
    <w:rsid w:val="459A1F3F"/>
    <w:rsid w:val="45C8125E"/>
    <w:rsid w:val="45C92397"/>
    <w:rsid w:val="45E67F57"/>
    <w:rsid w:val="45E74E84"/>
    <w:rsid w:val="460F747D"/>
    <w:rsid w:val="462397CB"/>
    <w:rsid w:val="462993B9"/>
    <w:rsid w:val="462BB5A2"/>
    <w:rsid w:val="462FDF95"/>
    <w:rsid w:val="462FF449"/>
    <w:rsid w:val="4674DD8D"/>
    <w:rsid w:val="4685E261"/>
    <w:rsid w:val="4688CEC7"/>
    <w:rsid w:val="46982243"/>
    <w:rsid w:val="469AE3F2"/>
    <w:rsid w:val="469AEA6D"/>
    <w:rsid w:val="469B6494"/>
    <w:rsid w:val="469FDBE3"/>
    <w:rsid w:val="46C975C3"/>
    <w:rsid w:val="46D091FD"/>
    <w:rsid w:val="46EABDDB"/>
    <w:rsid w:val="47042AE7"/>
    <w:rsid w:val="470BA808"/>
    <w:rsid w:val="470BE6FB"/>
    <w:rsid w:val="47117225"/>
    <w:rsid w:val="4714D99A"/>
    <w:rsid w:val="471A6DC1"/>
    <w:rsid w:val="47426729"/>
    <w:rsid w:val="474ED3B7"/>
    <w:rsid w:val="4750DF8B"/>
    <w:rsid w:val="475A9389"/>
    <w:rsid w:val="475F6FCF"/>
    <w:rsid w:val="4760BD89"/>
    <w:rsid w:val="47618A12"/>
    <w:rsid w:val="476553ED"/>
    <w:rsid w:val="47691163"/>
    <w:rsid w:val="476DFE73"/>
    <w:rsid w:val="477E5E40"/>
    <w:rsid w:val="47A64B17"/>
    <w:rsid w:val="47B75255"/>
    <w:rsid w:val="47BE93ED"/>
    <w:rsid w:val="47C5DEDB"/>
    <w:rsid w:val="47C5FA95"/>
    <w:rsid w:val="47DF1E93"/>
    <w:rsid w:val="47F7D7DD"/>
    <w:rsid w:val="48057346"/>
    <w:rsid w:val="4837D532"/>
    <w:rsid w:val="4838155F"/>
    <w:rsid w:val="484B4112"/>
    <w:rsid w:val="48517FDA"/>
    <w:rsid w:val="48573440"/>
    <w:rsid w:val="487DCB11"/>
    <w:rsid w:val="4891BD16"/>
    <w:rsid w:val="48A93A63"/>
    <w:rsid w:val="48B0D8D4"/>
    <w:rsid w:val="48B51E46"/>
    <w:rsid w:val="48C1B923"/>
    <w:rsid w:val="48C3FFCA"/>
    <w:rsid w:val="48CDD780"/>
    <w:rsid w:val="48D08190"/>
    <w:rsid w:val="48DFCE11"/>
    <w:rsid w:val="48E97DF4"/>
    <w:rsid w:val="48EA372B"/>
    <w:rsid w:val="4908EFED"/>
    <w:rsid w:val="490D1BCF"/>
    <w:rsid w:val="4917CAAF"/>
    <w:rsid w:val="491CC8E4"/>
    <w:rsid w:val="4921953D"/>
    <w:rsid w:val="49394F72"/>
    <w:rsid w:val="493955CA"/>
    <w:rsid w:val="493F8329"/>
    <w:rsid w:val="4942C9C7"/>
    <w:rsid w:val="494766E3"/>
    <w:rsid w:val="494B6175"/>
    <w:rsid w:val="494B89A8"/>
    <w:rsid w:val="494BBA53"/>
    <w:rsid w:val="495E9FD7"/>
    <w:rsid w:val="4961ACF6"/>
    <w:rsid w:val="4977B965"/>
    <w:rsid w:val="49968DE5"/>
    <w:rsid w:val="49AB917E"/>
    <w:rsid w:val="49B57434"/>
    <w:rsid w:val="49CAD3BF"/>
    <w:rsid w:val="49DE86E0"/>
    <w:rsid w:val="49E7E272"/>
    <w:rsid w:val="49F5F372"/>
    <w:rsid w:val="49F84F2B"/>
    <w:rsid w:val="49FD1190"/>
    <w:rsid w:val="4A05152A"/>
    <w:rsid w:val="4A507F95"/>
    <w:rsid w:val="4A5A2735"/>
    <w:rsid w:val="4A61A279"/>
    <w:rsid w:val="4A62A492"/>
    <w:rsid w:val="4A687AA7"/>
    <w:rsid w:val="4A6EFEC2"/>
    <w:rsid w:val="4A77CD59"/>
    <w:rsid w:val="4A7F4882"/>
    <w:rsid w:val="4A9A595C"/>
    <w:rsid w:val="4AA2F381"/>
    <w:rsid w:val="4AB58320"/>
    <w:rsid w:val="4AC63F97"/>
    <w:rsid w:val="4ACD50C1"/>
    <w:rsid w:val="4AD1D661"/>
    <w:rsid w:val="4AD85B3E"/>
    <w:rsid w:val="4AF821A5"/>
    <w:rsid w:val="4B1E2A40"/>
    <w:rsid w:val="4B267A4A"/>
    <w:rsid w:val="4B3B5D04"/>
    <w:rsid w:val="4B3BB2AF"/>
    <w:rsid w:val="4B6A5C98"/>
    <w:rsid w:val="4B857C79"/>
    <w:rsid w:val="4B9112E3"/>
    <w:rsid w:val="4B91A0C7"/>
    <w:rsid w:val="4B97F7DD"/>
    <w:rsid w:val="4BA078D8"/>
    <w:rsid w:val="4BA59500"/>
    <w:rsid w:val="4BB15523"/>
    <w:rsid w:val="4BC58694"/>
    <w:rsid w:val="4BD0F1B4"/>
    <w:rsid w:val="4BDA5DDB"/>
    <w:rsid w:val="4BE034C3"/>
    <w:rsid w:val="4BECA17E"/>
    <w:rsid w:val="4BF9BDDB"/>
    <w:rsid w:val="4C00F577"/>
    <w:rsid w:val="4C2E4185"/>
    <w:rsid w:val="4C47D0F5"/>
    <w:rsid w:val="4C5D4DB5"/>
    <w:rsid w:val="4C625882"/>
    <w:rsid w:val="4C67002E"/>
    <w:rsid w:val="4C6B1AA2"/>
    <w:rsid w:val="4C6D87DF"/>
    <w:rsid w:val="4C6FDEE6"/>
    <w:rsid w:val="4C84D5D6"/>
    <w:rsid w:val="4C89EF68"/>
    <w:rsid w:val="4C9D7EE0"/>
    <w:rsid w:val="4CB1139B"/>
    <w:rsid w:val="4CB5DE2C"/>
    <w:rsid w:val="4CB91301"/>
    <w:rsid w:val="4CC5FF61"/>
    <w:rsid w:val="4CC68735"/>
    <w:rsid w:val="4CC7F93F"/>
    <w:rsid w:val="4CF110B3"/>
    <w:rsid w:val="4CF6F703"/>
    <w:rsid w:val="4CFC11D2"/>
    <w:rsid w:val="4D15E81F"/>
    <w:rsid w:val="4D16D83E"/>
    <w:rsid w:val="4D1942C5"/>
    <w:rsid w:val="4D19BD60"/>
    <w:rsid w:val="4D2E8DE6"/>
    <w:rsid w:val="4D340681"/>
    <w:rsid w:val="4D3C48A2"/>
    <w:rsid w:val="4D3D5C77"/>
    <w:rsid w:val="4D42ED33"/>
    <w:rsid w:val="4D439177"/>
    <w:rsid w:val="4D650977"/>
    <w:rsid w:val="4D82696A"/>
    <w:rsid w:val="4D9630E4"/>
    <w:rsid w:val="4DA400E0"/>
    <w:rsid w:val="4DB07F1F"/>
    <w:rsid w:val="4DB569AD"/>
    <w:rsid w:val="4DBAD4ED"/>
    <w:rsid w:val="4DC168D6"/>
    <w:rsid w:val="4DCAE601"/>
    <w:rsid w:val="4E0C41D4"/>
    <w:rsid w:val="4E126BE9"/>
    <w:rsid w:val="4E154917"/>
    <w:rsid w:val="4E1E35FD"/>
    <w:rsid w:val="4E2D3AFF"/>
    <w:rsid w:val="4E2E9E7D"/>
    <w:rsid w:val="4E2F40BF"/>
    <w:rsid w:val="4E3D21DA"/>
    <w:rsid w:val="4E3E02B3"/>
    <w:rsid w:val="4E744553"/>
    <w:rsid w:val="4E770A23"/>
    <w:rsid w:val="4E778F44"/>
    <w:rsid w:val="4E7B8785"/>
    <w:rsid w:val="4E7C2DC6"/>
    <w:rsid w:val="4E871CD4"/>
    <w:rsid w:val="4EA93CB1"/>
    <w:rsid w:val="4EBA3B2D"/>
    <w:rsid w:val="4EDA24B2"/>
    <w:rsid w:val="4EDD7B7B"/>
    <w:rsid w:val="4EE384C9"/>
    <w:rsid w:val="4EE44A96"/>
    <w:rsid w:val="4EE4AB00"/>
    <w:rsid w:val="4F038A87"/>
    <w:rsid w:val="4F056222"/>
    <w:rsid w:val="4F0EDE18"/>
    <w:rsid w:val="4F23392B"/>
    <w:rsid w:val="4F292933"/>
    <w:rsid w:val="4F299815"/>
    <w:rsid w:val="4F408AAE"/>
    <w:rsid w:val="4F4AE556"/>
    <w:rsid w:val="4F80C335"/>
    <w:rsid w:val="4F8B6B01"/>
    <w:rsid w:val="4F9EFA70"/>
    <w:rsid w:val="4FA3A2F4"/>
    <w:rsid w:val="4FA77118"/>
    <w:rsid w:val="4FAA462B"/>
    <w:rsid w:val="4FCC2527"/>
    <w:rsid w:val="4FD10BC8"/>
    <w:rsid w:val="4FD7DC7C"/>
    <w:rsid w:val="4FDC5498"/>
    <w:rsid w:val="4FE11038"/>
    <w:rsid w:val="4FEAAFBD"/>
    <w:rsid w:val="4FF9F4BF"/>
    <w:rsid w:val="50000FB9"/>
    <w:rsid w:val="500ABD07"/>
    <w:rsid w:val="50184AAF"/>
    <w:rsid w:val="503BCE5E"/>
    <w:rsid w:val="505C31D9"/>
    <w:rsid w:val="505E6BFD"/>
    <w:rsid w:val="50681045"/>
    <w:rsid w:val="5085B5FE"/>
    <w:rsid w:val="50B764C5"/>
    <w:rsid w:val="50C2D73C"/>
    <w:rsid w:val="50C4BE9A"/>
    <w:rsid w:val="50E38BEC"/>
    <w:rsid w:val="50F763C3"/>
    <w:rsid w:val="50F766AC"/>
    <w:rsid w:val="51005714"/>
    <w:rsid w:val="510C3D85"/>
    <w:rsid w:val="5111FF0A"/>
    <w:rsid w:val="51126953"/>
    <w:rsid w:val="5112AFE8"/>
    <w:rsid w:val="51209807"/>
    <w:rsid w:val="51268A23"/>
    <w:rsid w:val="516CA798"/>
    <w:rsid w:val="51766E26"/>
    <w:rsid w:val="51889340"/>
    <w:rsid w:val="51931ACC"/>
    <w:rsid w:val="5193AC7A"/>
    <w:rsid w:val="519FFD93"/>
    <w:rsid w:val="51B77575"/>
    <w:rsid w:val="51FC2B40"/>
    <w:rsid w:val="51FE9758"/>
    <w:rsid w:val="520291E5"/>
    <w:rsid w:val="5209D8AD"/>
    <w:rsid w:val="521A0CE6"/>
    <w:rsid w:val="522BC709"/>
    <w:rsid w:val="523903F7"/>
    <w:rsid w:val="523C57D7"/>
    <w:rsid w:val="5246486E"/>
    <w:rsid w:val="52646A18"/>
    <w:rsid w:val="5265CC09"/>
    <w:rsid w:val="52832BAF"/>
    <w:rsid w:val="529A13D1"/>
    <w:rsid w:val="52CCFF60"/>
    <w:rsid w:val="53120F97"/>
    <w:rsid w:val="5314422D"/>
    <w:rsid w:val="533771E7"/>
    <w:rsid w:val="534D4372"/>
    <w:rsid w:val="5355971A"/>
    <w:rsid w:val="535735B9"/>
    <w:rsid w:val="536B00AD"/>
    <w:rsid w:val="536CF708"/>
    <w:rsid w:val="537A4470"/>
    <w:rsid w:val="537D57BF"/>
    <w:rsid w:val="538C021F"/>
    <w:rsid w:val="5396A0B9"/>
    <w:rsid w:val="53A7EB10"/>
    <w:rsid w:val="53B278E9"/>
    <w:rsid w:val="53B7167F"/>
    <w:rsid w:val="53BF1DA7"/>
    <w:rsid w:val="53CF232E"/>
    <w:rsid w:val="53DB89EA"/>
    <w:rsid w:val="54067A2C"/>
    <w:rsid w:val="5410829E"/>
    <w:rsid w:val="541BD4AC"/>
    <w:rsid w:val="5431F87B"/>
    <w:rsid w:val="543E85A3"/>
    <w:rsid w:val="545C77C5"/>
    <w:rsid w:val="54961B79"/>
    <w:rsid w:val="54B58536"/>
    <w:rsid w:val="54BEC1AF"/>
    <w:rsid w:val="54D90B3B"/>
    <w:rsid w:val="54ED6AA3"/>
    <w:rsid w:val="54F0DE6D"/>
    <w:rsid w:val="54F22337"/>
    <w:rsid w:val="54F69231"/>
    <w:rsid w:val="54F797E3"/>
    <w:rsid w:val="54F8007D"/>
    <w:rsid w:val="550AE02F"/>
    <w:rsid w:val="55432D0F"/>
    <w:rsid w:val="5544E78E"/>
    <w:rsid w:val="5546C827"/>
    <w:rsid w:val="555B6D17"/>
    <w:rsid w:val="55A28A88"/>
    <w:rsid w:val="55ABAABA"/>
    <w:rsid w:val="55B887FB"/>
    <w:rsid w:val="55BE5150"/>
    <w:rsid w:val="55C83BFB"/>
    <w:rsid w:val="55CEF833"/>
    <w:rsid w:val="55E48D4D"/>
    <w:rsid w:val="55F3309D"/>
    <w:rsid w:val="55FFBC09"/>
    <w:rsid w:val="560D0858"/>
    <w:rsid w:val="5611536E"/>
    <w:rsid w:val="5631B4A3"/>
    <w:rsid w:val="5644B801"/>
    <w:rsid w:val="564B727F"/>
    <w:rsid w:val="56638F46"/>
    <w:rsid w:val="566FB7AA"/>
    <w:rsid w:val="5678B5BA"/>
    <w:rsid w:val="56994343"/>
    <w:rsid w:val="56A5FDF2"/>
    <w:rsid w:val="56D30DF1"/>
    <w:rsid w:val="56DE6FA1"/>
    <w:rsid w:val="56ECAD98"/>
    <w:rsid w:val="56EFDB27"/>
    <w:rsid w:val="571D03F9"/>
    <w:rsid w:val="572137F9"/>
    <w:rsid w:val="57260F94"/>
    <w:rsid w:val="573592C1"/>
    <w:rsid w:val="5737E136"/>
    <w:rsid w:val="575062F7"/>
    <w:rsid w:val="575409C8"/>
    <w:rsid w:val="57723A11"/>
    <w:rsid w:val="5785322C"/>
    <w:rsid w:val="57981B66"/>
    <w:rsid w:val="57AAF47E"/>
    <w:rsid w:val="57AE21C1"/>
    <w:rsid w:val="57B3F0F8"/>
    <w:rsid w:val="57BD3D96"/>
    <w:rsid w:val="57CC661D"/>
    <w:rsid w:val="57F9974C"/>
    <w:rsid w:val="5805805C"/>
    <w:rsid w:val="580BDE89"/>
    <w:rsid w:val="580EFC15"/>
    <w:rsid w:val="582A2162"/>
    <w:rsid w:val="582D770A"/>
    <w:rsid w:val="58475DC6"/>
    <w:rsid w:val="5854D1D5"/>
    <w:rsid w:val="585EE953"/>
    <w:rsid w:val="58628F0B"/>
    <w:rsid w:val="5870AAD7"/>
    <w:rsid w:val="5873D9C0"/>
    <w:rsid w:val="58901AF7"/>
    <w:rsid w:val="589BF101"/>
    <w:rsid w:val="58A71C71"/>
    <w:rsid w:val="58B82C7C"/>
    <w:rsid w:val="58CD7EAE"/>
    <w:rsid w:val="58CE75B4"/>
    <w:rsid w:val="58F2A780"/>
    <w:rsid w:val="58FE43A2"/>
    <w:rsid w:val="590EBA5D"/>
    <w:rsid w:val="59198AED"/>
    <w:rsid w:val="5922BBAA"/>
    <w:rsid w:val="59336B08"/>
    <w:rsid w:val="593B21BB"/>
    <w:rsid w:val="5940B96C"/>
    <w:rsid w:val="5942D8DA"/>
    <w:rsid w:val="594E8AA8"/>
    <w:rsid w:val="5961B392"/>
    <w:rsid w:val="597BC04B"/>
    <w:rsid w:val="59810212"/>
    <w:rsid w:val="5987B921"/>
    <w:rsid w:val="5989B8AC"/>
    <w:rsid w:val="598E6DF3"/>
    <w:rsid w:val="599F793E"/>
    <w:rsid w:val="599FACC2"/>
    <w:rsid w:val="59B00317"/>
    <w:rsid w:val="59BB2D48"/>
    <w:rsid w:val="59C86504"/>
    <w:rsid w:val="59E9A0D8"/>
    <w:rsid w:val="59F16CE5"/>
    <w:rsid w:val="5A10DC06"/>
    <w:rsid w:val="5A244E09"/>
    <w:rsid w:val="5A2ACFAB"/>
    <w:rsid w:val="5A2EFA0F"/>
    <w:rsid w:val="5A2FB175"/>
    <w:rsid w:val="5A32832E"/>
    <w:rsid w:val="5A4A7430"/>
    <w:rsid w:val="5A4E0B92"/>
    <w:rsid w:val="5A6370D0"/>
    <w:rsid w:val="5A6E7374"/>
    <w:rsid w:val="5A7142E1"/>
    <w:rsid w:val="5A86AA7E"/>
    <w:rsid w:val="5A8A581B"/>
    <w:rsid w:val="5AA2A431"/>
    <w:rsid w:val="5AB4553E"/>
    <w:rsid w:val="5AB5D742"/>
    <w:rsid w:val="5AC82FDD"/>
    <w:rsid w:val="5B1989D8"/>
    <w:rsid w:val="5B1B5FCD"/>
    <w:rsid w:val="5B1DA580"/>
    <w:rsid w:val="5B3E898A"/>
    <w:rsid w:val="5B422DDD"/>
    <w:rsid w:val="5B50CC80"/>
    <w:rsid w:val="5B5AF5DD"/>
    <w:rsid w:val="5B5F87F6"/>
    <w:rsid w:val="5B5FF3EB"/>
    <w:rsid w:val="5B72EF39"/>
    <w:rsid w:val="5B9EDFC1"/>
    <w:rsid w:val="5BA77964"/>
    <w:rsid w:val="5BA7E74F"/>
    <w:rsid w:val="5BB0AD07"/>
    <w:rsid w:val="5BB953EA"/>
    <w:rsid w:val="5BBBD346"/>
    <w:rsid w:val="5BEA8EBC"/>
    <w:rsid w:val="5BF86616"/>
    <w:rsid w:val="5C0BDC82"/>
    <w:rsid w:val="5C2FEB20"/>
    <w:rsid w:val="5C353729"/>
    <w:rsid w:val="5C3A3023"/>
    <w:rsid w:val="5C3EE49D"/>
    <w:rsid w:val="5C4E3D08"/>
    <w:rsid w:val="5C7AEAA8"/>
    <w:rsid w:val="5C88258D"/>
    <w:rsid w:val="5C8CA0DE"/>
    <w:rsid w:val="5C941749"/>
    <w:rsid w:val="5C9F4FA2"/>
    <w:rsid w:val="5CA18729"/>
    <w:rsid w:val="5CD6E5D3"/>
    <w:rsid w:val="5D050DF3"/>
    <w:rsid w:val="5D08D26D"/>
    <w:rsid w:val="5D1763C1"/>
    <w:rsid w:val="5D34A8F6"/>
    <w:rsid w:val="5D4ACEDD"/>
    <w:rsid w:val="5D508C24"/>
    <w:rsid w:val="5D5B0B3D"/>
    <w:rsid w:val="5D5BC821"/>
    <w:rsid w:val="5D85D2EE"/>
    <w:rsid w:val="5D8BB1D7"/>
    <w:rsid w:val="5D9B6EC8"/>
    <w:rsid w:val="5DA73104"/>
    <w:rsid w:val="5DA7D63B"/>
    <w:rsid w:val="5DC817A9"/>
    <w:rsid w:val="5DD67175"/>
    <w:rsid w:val="5DDADEF9"/>
    <w:rsid w:val="5DECA6A1"/>
    <w:rsid w:val="5E060048"/>
    <w:rsid w:val="5E25C9ED"/>
    <w:rsid w:val="5E3386C3"/>
    <w:rsid w:val="5E43E9A7"/>
    <w:rsid w:val="5E4C380E"/>
    <w:rsid w:val="5E4C47F7"/>
    <w:rsid w:val="5E54A94B"/>
    <w:rsid w:val="5E594EB7"/>
    <w:rsid w:val="5E6441A1"/>
    <w:rsid w:val="5E9A0EE8"/>
    <w:rsid w:val="5E9AE5D4"/>
    <w:rsid w:val="5E9D74C9"/>
    <w:rsid w:val="5E9DF75E"/>
    <w:rsid w:val="5EA31DE6"/>
    <w:rsid w:val="5EB4F50C"/>
    <w:rsid w:val="5EB6B44B"/>
    <w:rsid w:val="5ED0A498"/>
    <w:rsid w:val="5ED0F010"/>
    <w:rsid w:val="5ED2DFD9"/>
    <w:rsid w:val="5EE69224"/>
    <w:rsid w:val="5EEC78D1"/>
    <w:rsid w:val="5EFB9835"/>
    <w:rsid w:val="5EFD0E46"/>
    <w:rsid w:val="5F0279C4"/>
    <w:rsid w:val="5F05F65C"/>
    <w:rsid w:val="5F09B3B7"/>
    <w:rsid w:val="5F14DF9B"/>
    <w:rsid w:val="5F2CE2A1"/>
    <w:rsid w:val="5F3C4596"/>
    <w:rsid w:val="5F4ADF61"/>
    <w:rsid w:val="5F76331D"/>
    <w:rsid w:val="5F7AD756"/>
    <w:rsid w:val="5F7F8D92"/>
    <w:rsid w:val="5F9BDC45"/>
    <w:rsid w:val="5FA329FA"/>
    <w:rsid w:val="5FE43593"/>
    <w:rsid w:val="5FEDCE55"/>
    <w:rsid w:val="601AE19F"/>
    <w:rsid w:val="601FAD13"/>
    <w:rsid w:val="60205AF7"/>
    <w:rsid w:val="602C9F21"/>
    <w:rsid w:val="60322C50"/>
    <w:rsid w:val="606C7AEB"/>
    <w:rsid w:val="6082999B"/>
    <w:rsid w:val="608470DC"/>
    <w:rsid w:val="6086CD6B"/>
    <w:rsid w:val="60A7F2FF"/>
    <w:rsid w:val="60BAA46F"/>
    <w:rsid w:val="60D3B3E4"/>
    <w:rsid w:val="60D5D1D6"/>
    <w:rsid w:val="60EAFDAB"/>
    <w:rsid w:val="60EDE1CA"/>
    <w:rsid w:val="60F8FA45"/>
    <w:rsid w:val="60FEE9CE"/>
    <w:rsid w:val="610C5C69"/>
    <w:rsid w:val="610DDEE5"/>
    <w:rsid w:val="611320F0"/>
    <w:rsid w:val="61202299"/>
    <w:rsid w:val="6135E231"/>
    <w:rsid w:val="6137EA44"/>
    <w:rsid w:val="614114EE"/>
    <w:rsid w:val="6142314B"/>
    <w:rsid w:val="615B222E"/>
    <w:rsid w:val="61A6F871"/>
    <w:rsid w:val="61AE40DA"/>
    <w:rsid w:val="61C0D6AE"/>
    <w:rsid w:val="61D51B69"/>
    <w:rsid w:val="61D92FB3"/>
    <w:rsid w:val="61E4E277"/>
    <w:rsid w:val="61FB9C6F"/>
    <w:rsid w:val="62009B93"/>
    <w:rsid w:val="6201D300"/>
    <w:rsid w:val="6207294A"/>
    <w:rsid w:val="620CF34E"/>
    <w:rsid w:val="620D3150"/>
    <w:rsid w:val="620E7EB6"/>
    <w:rsid w:val="623150E5"/>
    <w:rsid w:val="623A6FA1"/>
    <w:rsid w:val="6251DDE9"/>
    <w:rsid w:val="627ED943"/>
    <w:rsid w:val="629C510D"/>
    <w:rsid w:val="62A86C2F"/>
    <w:rsid w:val="62B67A4E"/>
    <w:rsid w:val="62B8C056"/>
    <w:rsid w:val="62C156A2"/>
    <w:rsid w:val="62C55C7E"/>
    <w:rsid w:val="62C9D438"/>
    <w:rsid w:val="62D10331"/>
    <w:rsid w:val="62D972BD"/>
    <w:rsid w:val="62FE20F7"/>
    <w:rsid w:val="630431FA"/>
    <w:rsid w:val="633FD5AC"/>
    <w:rsid w:val="6343E18B"/>
    <w:rsid w:val="6344A1EC"/>
    <w:rsid w:val="6347E755"/>
    <w:rsid w:val="63578233"/>
    <w:rsid w:val="636374FF"/>
    <w:rsid w:val="636EDFA1"/>
    <w:rsid w:val="6390A280"/>
    <w:rsid w:val="6394A2BF"/>
    <w:rsid w:val="639DEB2F"/>
    <w:rsid w:val="63A453CA"/>
    <w:rsid w:val="63BDA4F5"/>
    <w:rsid w:val="63C509BE"/>
    <w:rsid w:val="63C63532"/>
    <w:rsid w:val="63DBB2BD"/>
    <w:rsid w:val="64066E53"/>
    <w:rsid w:val="6410F413"/>
    <w:rsid w:val="641A13B4"/>
    <w:rsid w:val="6422F1C6"/>
    <w:rsid w:val="642A55E9"/>
    <w:rsid w:val="6441C704"/>
    <w:rsid w:val="64485239"/>
    <w:rsid w:val="644CD0CB"/>
    <w:rsid w:val="645695F7"/>
    <w:rsid w:val="6464B621"/>
    <w:rsid w:val="6467D7FF"/>
    <w:rsid w:val="6470F878"/>
    <w:rsid w:val="64763366"/>
    <w:rsid w:val="64868913"/>
    <w:rsid w:val="6497EACE"/>
    <w:rsid w:val="64A12130"/>
    <w:rsid w:val="64A29E3E"/>
    <w:rsid w:val="64A3D192"/>
    <w:rsid w:val="64A7D4DF"/>
    <w:rsid w:val="64AE75A0"/>
    <w:rsid w:val="64AEBBB0"/>
    <w:rsid w:val="64B35F1E"/>
    <w:rsid w:val="64BEDD3A"/>
    <w:rsid w:val="64CAA525"/>
    <w:rsid w:val="64D98317"/>
    <w:rsid w:val="64E47738"/>
    <w:rsid w:val="64E67D38"/>
    <w:rsid w:val="64F0995E"/>
    <w:rsid w:val="65108C62"/>
    <w:rsid w:val="6510B96E"/>
    <w:rsid w:val="653A3B53"/>
    <w:rsid w:val="65461680"/>
    <w:rsid w:val="65471B8E"/>
    <w:rsid w:val="654BBADD"/>
    <w:rsid w:val="655152FD"/>
    <w:rsid w:val="65595748"/>
    <w:rsid w:val="656097E1"/>
    <w:rsid w:val="65649BB2"/>
    <w:rsid w:val="65AE6EBF"/>
    <w:rsid w:val="65B25303"/>
    <w:rsid w:val="65B5C429"/>
    <w:rsid w:val="65BE43D5"/>
    <w:rsid w:val="65BE4C23"/>
    <w:rsid w:val="65C06003"/>
    <w:rsid w:val="65C33843"/>
    <w:rsid w:val="65C4BF6E"/>
    <w:rsid w:val="65E15D81"/>
    <w:rsid w:val="65F42FDD"/>
    <w:rsid w:val="65FF74C9"/>
    <w:rsid w:val="66029B1D"/>
    <w:rsid w:val="661440A0"/>
    <w:rsid w:val="6619AC1A"/>
    <w:rsid w:val="661D2CB6"/>
    <w:rsid w:val="662C10A2"/>
    <w:rsid w:val="66388DC0"/>
    <w:rsid w:val="6647285D"/>
    <w:rsid w:val="66634317"/>
    <w:rsid w:val="66654D04"/>
    <w:rsid w:val="667A5FF2"/>
    <w:rsid w:val="6680950D"/>
    <w:rsid w:val="669384BD"/>
    <w:rsid w:val="66944380"/>
    <w:rsid w:val="66A5D404"/>
    <w:rsid w:val="66AA2FE8"/>
    <w:rsid w:val="66B6E639"/>
    <w:rsid w:val="66B7DF17"/>
    <w:rsid w:val="66D8D2E0"/>
    <w:rsid w:val="66FD76CE"/>
    <w:rsid w:val="673CC417"/>
    <w:rsid w:val="6746189C"/>
    <w:rsid w:val="67492DAB"/>
    <w:rsid w:val="675B09A6"/>
    <w:rsid w:val="677B3341"/>
    <w:rsid w:val="678D5337"/>
    <w:rsid w:val="67A8C52C"/>
    <w:rsid w:val="67AA7627"/>
    <w:rsid w:val="67AFBA87"/>
    <w:rsid w:val="67B6CD20"/>
    <w:rsid w:val="67BE56AD"/>
    <w:rsid w:val="67C0D830"/>
    <w:rsid w:val="67C8D5BB"/>
    <w:rsid w:val="67CF3C74"/>
    <w:rsid w:val="67ECEEE0"/>
    <w:rsid w:val="680A2B1C"/>
    <w:rsid w:val="68181B2A"/>
    <w:rsid w:val="68217446"/>
    <w:rsid w:val="682D2864"/>
    <w:rsid w:val="682E50D4"/>
    <w:rsid w:val="68403599"/>
    <w:rsid w:val="684527C6"/>
    <w:rsid w:val="6845FB3D"/>
    <w:rsid w:val="684A6010"/>
    <w:rsid w:val="684EB412"/>
    <w:rsid w:val="685B2031"/>
    <w:rsid w:val="687A5066"/>
    <w:rsid w:val="687F0B6D"/>
    <w:rsid w:val="6884EB6D"/>
    <w:rsid w:val="688BFDBC"/>
    <w:rsid w:val="68924B57"/>
    <w:rsid w:val="68B149FE"/>
    <w:rsid w:val="68B17564"/>
    <w:rsid w:val="68B2A4BF"/>
    <w:rsid w:val="68C197C5"/>
    <w:rsid w:val="68CE197C"/>
    <w:rsid w:val="68D84874"/>
    <w:rsid w:val="68E56208"/>
    <w:rsid w:val="68E8E143"/>
    <w:rsid w:val="68ED37C0"/>
    <w:rsid w:val="68FA0B6A"/>
    <w:rsid w:val="69101E73"/>
    <w:rsid w:val="692F5FA3"/>
    <w:rsid w:val="69367714"/>
    <w:rsid w:val="69481021"/>
    <w:rsid w:val="694F38BD"/>
    <w:rsid w:val="6969847D"/>
    <w:rsid w:val="696B0775"/>
    <w:rsid w:val="6976AEA6"/>
    <w:rsid w:val="697B1981"/>
    <w:rsid w:val="697B3FC2"/>
    <w:rsid w:val="69860274"/>
    <w:rsid w:val="69869CFB"/>
    <w:rsid w:val="698829E1"/>
    <w:rsid w:val="6988FF00"/>
    <w:rsid w:val="69930A33"/>
    <w:rsid w:val="69A302EE"/>
    <w:rsid w:val="69A4CF2F"/>
    <w:rsid w:val="69A6547F"/>
    <w:rsid w:val="69B6FA90"/>
    <w:rsid w:val="69C26F91"/>
    <w:rsid w:val="69C99AD2"/>
    <w:rsid w:val="69D44A2F"/>
    <w:rsid w:val="69D670FE"/>
    <w:rsid w:val="69D8E7E0"/>
    <w:rsid w:val="69E1D4A1"/>
    <w:rsid w:val="69F73B42"/>
    <w:rsid w:val="6A039D3F"/>
    <w:rsid w:val="6A3ED14F"/>
    <w:rsid w:val="6A50C8D2"/>
    <w:rsid w:val="6A5BEF1D"/>
    <w:rsid w:val="6A633686"/>
    <w:rsid w:val="6A8DE3C0"/>
    <w:rsid w:val="6A8F63FA"/>
    <w:rsid w:val="6A93E4A4"/>
    <w:rsid w:val="6A9A9482"/>
    <w:rsid w:val="6A9C65A0"/>
    <w:rsid w:val="6AA15266"/>
    <w:rsid w:val="6AAED4F1"/>
    <w:rsid w:val="6AE64161"/>
    <w:rsid w:val="6AE6876C"/>
    <w:rsid w:val="6B03E5DC"/>
    <w:rsid w:val="6B09C199"/>
    <w:rsid w:val="6B10A52C"/>
    <w:rsid w:val="6B2B8FE0"/>
    <w:rsid w:val="6B492AF2"/>
    <w:rsid w:val="6B71CBC4"/>
    <w:rsid w:val="6B76FD97"/>
    <w:rsid w:val="6B7A786E"/>
    <w:rsid w:val="6B7FE54D"/>
    <w:rsid w:val="6B8701B0"/>
    <w:rsid w:val="6B94D807"/>
    <w:rsid w:val="6BA2B2AF"/>
    <w:rsid w:val="6BB8DB43"/>
    <w:rsid w:val="6BC877EF"/>
    <w:rsid w:val="6BC9E3A7"/>
    <w:rsid w:val="6BD4816A"/>
    <w:rsid w:val="6BEC9231"/>
    <w:rsid w:val="6BFE047D"/>
    <w:rsid w:val="6C0E5BA7"/>
    <w:rsid w:val="6C21660B"/>
    <w:rsid w:val="6C2A10E8"/>
    <w:rsid w:val="6C3B65ED"/>
    <w:rsid w:val="6C3CBF7D"/>
    <w:rsid w:val="6C406E88"/>
    <w:rsid w:val="6C443880"/>
    <w:rsid w:val="6C4BC4EF"/>
    <w:rsid w:val="6C629261"/>
    <w:rsid w:val="6C67DB30"/>
    <w:rsid w:val="6C6D027E"/>
    <w:rsid w:val="6C7283DF"/>
    <w:rsid w:val="6C78A42F"/>
    <w:rsid w:val="6C95E59A"/>
    <w:rsid w:val="6C9C1A06"/>
    <w:rsid w:val="6CA56BE7"/>
    <w:rsid w:val="6CB24BFE"/>
    <w:rsid w:val="6CBEF5CB"/>
    <w:rsid w:val="6CD28FF7"/>
    <w:rsid w:val="6CEBF939"/>
    <w:rsid w:val="6CF442FD"/>
    <w:rsid w:val="6CF5183A"/>
    <w:rsid w:val="6D011979"/>
    <w:rsid w:val="6D0219EF"/>
    <w:rsid w:val="6D03BFED"/>
    <w:rsid w:val="6D199982"/>
    <w:rsid w:val="6D29591A"/>
    <w:rsid w:val="6D36E865"/>
    <w:rsid w:val="6D513869"/>
    <w:rsid w:val="6D5652E9"/>
    <w:rsid w:val="6D583C20"/>
    <w:rsid w:val="6D69CB15"/>
    <w:rsid w:val="6D6EB9CB"/>
    <w:rsid w:val="6D82DAC6"/>
    <w:rsid w:val="6D9E3DA8"/>
    <w:rsid w:val="6D9FF747"/>
    <w:rsid w:val="6DA72A7F"/>
    <w:rsid w:val="6DA935F2"/>
    <w:rsid w:val="6DB61CEC"/>
    <w:rsid w:val="6DCEB8B9"/>
    <w:rsid w:val="6DD1B6BD"/>
    <w:rsid w:val="6DDD4001"/>
    <w:rsid w:val="6DDDBB08"/>
    <w:rsid w:val="6E051817"/>
    <w:rsid w:val="6E069C48"/>
    <w:rsid w:val="6E1ABAF3"/>
    <w:rsid w:val="6E21B08F"/>
    <w:rsid w:val="6E40BD4D"/>
    <w:rsid w:val="6E5AA4D4"/>
    <w:rsid w:val="6E5C9047"/>
    <w:rsid w:val="6E5DC051"/>
    <w:rsid w:val="6E78EDA1"/>
    <w:rsid w:val="6EBF5936"/>
    <w:rsid w:val="6EDEC44A"/>
    <w:rsid w:val="6EE73A29"/>
    <w:rsid w:val="6EF64E52"/>
    <w:rsid w:val="6EF8D3F7"/>
    <w:rsid w:val="6F0A14B7"/>
    <w:rsid w:val="6F0CA66A"/>
    <w:rsid w:val="6F18DB56"/>
    <w:rsid w:val="6F206524"/>
    <w:rsid w:val="6F43E7BB"/>
    <w:rsid w:val="6F46E839"/>
    <w:rsid w:val="6F5C4122"/>
    <w:rsid w:val="6F62CB1B"/>
    <w:rsid w:val="6F66D8CB"/>
    <w:rsid w:val="6F7880B1"/>
    <w:rsid w:val="6F8267AB"/>
    <w:rsid w:val="6FB50601"/>
    <w:rsid w:val="6FC90491"/>
    <w:rsid w:val="6FCF946E"/>
    <w:rsid w:val="6FD1B335"/>
    <w:rsid w:val="6FE38CBB"/>
    <w:rsid w:val="6FFDD7FC"/>
    <w:rsid w:val="700D3091"/>
    <w:rsid w:val="70402620"/>
    <w:rsid w:val="7050DC95"/>
    <w:rsid w:val="706411CD"/>
    <w:rsid w:val="7065290A"/>
    <w:rsid w:val="7065520D"/>
    <w:rsid w:val="70733845"/>
    <w:rsid w:val="70770A62"/>
    <w:rsid w:val="70839A45"/>
    <w:rsid w:val="7091F31A"/>
    <w:rsid w:val="70A28098"/>
    <w:rsid w:val="70A33D9B"/>
    <w:rsid w:val="70BC83A0"/>
    <w:rsid w:val="70BF3DF0"/>
    <w:rsid w:val="70C8E050"/>
    <w:rsid w:val="70C966A4"/>
    <w:rsid w:val="70D68C51"/>
    <w:rsid w:val="70DE86FF"/>
    <w:rsid w:val="70E6BBEF"/>
    <w:rsid w:val="70F24D35"/>
    <w:rsid w:val="70F772D6"/>
    <w:rsid w:val="710E0F66"/>
    <w:rsid w:val="7112005F"/>
    <w:rsid w:val="71153A77"/>
    <w:rsid w:val="711BD7BD"/>
    <w:rsid w:val="7130E9C1"/>
    <w:rsid w:val="7134B08C"/>
    <w:rsid w:val="713AF0C4"/>
    <w:rsid w:val="7153A94F"/>
    <w:rsid w:val="7154A339"/>
    <w:rsid w:val="7157E9C9"/>
    <w:rsid w:val="716CBA94"/>
    <w:rsid w:val="717AA548"/>
    <w:rsid w:val="718E3643"/>
    <w:rsid w:val="71914753"/>
    <w:rsid w:val="71920ABE"/>
    <w:rsid w:val="719B2207"/>
    <w:rsid w:val="71A0D6FB"/>
    <w:rsid w:val="71A8E856"/>
    <w:rsid w:val="71A9879B"/>
    <w:rsid w:val="71D34BB7"/>
    <w:rsid w:val="71E49585"/>
    <w:rsid w:val="71F29891"/>
    <w:rsid w:val="71F6FFAC"/>
    <w:rsid w:val="71FAE156"/>
    <w:rsid w:val="72004BFB"/>
    <w:rsid w:val="720330AE"/>
    <w:rsid w:val="7223B99E"/>
    <w:rsid w:val="72427B6B"/>
    <w:rsid w:val="7242EA68"/>
    <w:rsid w:val="72480168"/>
    <w:rsid w:val="7253799C"/>
    <w:rsid w:val="725CD89B"/>
    <w:rsid w:val="728C4DA7"/>
    <w:rsid w:val="72B81097"/>
    <w:rsid w:val="72BE7781"/>
    <w:rsid w:val="72CB5C34"/>
    <w:rsid w:val="72DEF5AE"/>
    <w:rsid w:val="72E29AD3"/>
    <w:rsid w:val="72F96EE2"/>
    <w:rsid w:val="72FE4B89"/>
    <w:rsid w:val="731292A0"/>
    <w:rsid w:val="7324B8C9"/>
    <w:rsid w:val="733CC35C"/>
    <w:rsid w:val="734ECDC4"/>
    <w:rsid w:val="7355C5AC"/>
    <w:rsid w:val="7361BAC8"/>
    <w:rsid w:val="7369CC80"/>
    <w:rsid w:val="7378104B"/>
    <w:rsid w:val="738E9E01"/>
    <w:rsid w:val="73BF1600"/>
    <w:rsid w:val="73DE9CDD"/>
    <w:rsid w:val="74109824"/>
    <w:rsid w:val="7419D089"/>
    <w:rsid w:val="741F057B"/>
    <w:rsid w:val="742422D3"/>
    <w:rsid w:val="74275F8E"/>
    <w:rsid w:val="742E6F04"/>
    <w:rsid w:val="74423C9E"/>
    <w:rsid w:val="74487B6C"/>
    <w:rsid w:val="74520AF3"/>
    <w:rsid w:val="7454A2ED"/>
    <w:rsid w:val="745D2364"/>
    <w:rsid w:val="7461AA9B"/>
    <w:rsid w:val="746B713A"/>
    <w:rsid w:val="7475258D"/>
    <w:rsid w:val="74790F5B"/>
    <w:rsid w:val="747CEF47"/>
    <w:rsid w:val="748DA7BE"/>
    <w:rsid w:val="7493553E"/>
    <w:rsid w:val="749DEAF3"/>
    <w:rsid w:val="749E49CF"/>
    <w:rsid w:val="74C76C72"/>
    <w:rsid w:val="74CC724C"/>
    <w:rsid w:val="74D4D4CD"/>
    <w:rsid w:val="74D650AA"/>
    <w:rsid w:val="74E01F4A"/>
    <w:rsid w:val="74E7CC0B"/>
    <w:rsid w:val="74E9302E"/>
    <w:rsid w:val="74F14708"/>
    <w:rsid w:val="74F69AEB"/>
    <w:rsid w:val="7510A66E"/>
    <w:rsid w:val="751567E3"/>
    <w:rsid w:val="753ECE69"/>
    <w:rsid w:val="755205C7"/>
    <w:rsid w:val="756B632A"/>
    <w:rsid w:val="757920B4"/>
    <w:rsid w:val="75812E58"/>
    <w:rsid w:val="7594DE56"/>
    <w:rsid w:val="759A4D24"/>
    <w:rsid w:val="759B1891"/>
    <w:rsid w:val="75C0E5E0"/>
    <w:rsid w:val="75C2F01C"/>
    <w:rsid w:val="75C7BDF9"/>
    <w:rsid w:val="75EA6CB8"/>
    <w:rsid w:val="75EF3FF6"/>
    <w:rsid w:val="75FB6C8F"/>
    <w:rsid w:val="763E8A0A"/>
    <w:rsid w:val="764C1922"/>
    <w:rsid w:val="7670ED37"/>
    <w:rsid w:val="768D0094"/>
    <w:rsid w:val="769164D3"/>
    <w:rsid w:val="7694D8D7"/>
    <w:rsid w:val="76A0F2D3"/>
    <w:rsid w:val="76B684F1"/>
    <w:rsid w:val="76BB879D"/>
    <w:rsid w:val="76BEB0AB"/>
    <w:rsid w:val="76BEDF6D"/>
    <w:rsid w:val="76C486E4"/>
    <w:rsid w:val="76CED0AB"/>
    <w:rsid w:val="76D24A57"/>
    <w:rsid w:val="76D85FCD"/>
    <w:rsid w:val="76E0543A"/>
    <w:rsid w:val="76E2CAA9"/>
    <w:rsid w:val="76E2F4E4"/>
    <w:rsid w:val="76ED0497"/>
    <w:rsid w:val="76EE75DA"/>
    <w:rsid w:val="76F17525"/>
    <w:rsid w:val="76F8A272"/>
    <w:rsid w:val="770E3B91"/>
    <w:rsid w:val="772B6121"/>
    <w:rsid w:val="773AAE86"/>
    <w:rsid w:val="773D2B6A"/>
    <w:rsid w:val="773D41EA"/>
    <w:rsid w:val="7749EFA8"/>
    <w:rsid w:val="77732691"/>
    <w:rsid w:val="7778A4E3"/>
    <w:rsid w:val="777AB371"/>
    <w:rsid w:val="77BD395E"/>
    <w:rsid w:val="77CA9BCD"/>
    <w:rsid w:val="77CF7ABF"/>
    <w:rsid w:val="7801D7E3"/>
    <w:rsid w:val="78109F59"/>
    <w:rsid w:val="78165057"/>
    <w:rsid w:val="781A393B"/>
    <w:rsid w:val="782DBA0A"/>
    <w:rsid w:val="783C76DA"/>
    <w:rsid w:val="783FCFB4"/>
    <w:rsid w:val="783FF7A1"/>
    <w:rsid w:val="78479330"/>
    <w:rsid w:val="784EF2E3"/>
    <w:rsid w:val="785D8A2C"/>
    <w:rsid w:val="789F0E77"/>
    <w:rsid w:val="78A87DE4"/>
    <w:rsid w:val="78B14137"/>
    <w:rsid w:val="78BEB394"/>
    <w:rsid w:val="78C3023B"/>
    <w:rsid w:val="78C3D4C9"/>
    <w:rsid w:val="78C59913"/>
    <w:rsid w:val="78D1F3A3"/>
    <w:rsid w:val="78DFAA39"/>
    <w:rsid w:val="78E23092"/>
    <w:rsid w:val="78F75B44"/>
    <w:rsid w:val="78F96095"/>
    <w:rsid w:val="79118F2C"/>
    <w:rsid w:val="792AA03D"/>
    <w:rsid w:val="792B1166"/>
    <w:rsid w:val="792FD281"/>
    <w:rsid w:val="7930C56A"/>
    <w:rsid w:val="7934DC7A"/>
    <w:rsid w:val="7935B428"/>
    <w:rsid w:val="79585C45"/>
    <w:rsid w:val="7959B287"/>
    <w:rsid w:val="79663BB7"/>
    <w:rsid w:val="7979DD68"/>
    <w:rsid w:val="79976F18"/>
    <w:rsid w:val="7998E048"/>
    <w:rsid w:val="799DE904"/>
    <w:rsid w:val="79A61EAA"/>
    <w:rsid w:val="79AD38A0"/>
    <w:rsid w:val="79B4D029"/>
    <w:rsid w:val="79C0C6C9"/>
    <w:rsid w:val="79C29659"/>
    <w:rsid w:val="79E155B4"/>
    <w:rsid w:val="7A1BAAC6"/>
    <w:rsid w:val="7A1FF774"/>
    <w:rsid w:val="7A2C16C3"/>
    <w:rsid w:val="7A38DE98"/>
    <w:rsid w:val="7A440AD7"/>
    <w:rsid w:val="7A5DA3CB"/>
    <w:rsid w:val="7A64D2F6"/>
    <w:rsid w:val="7A6A1335"/>
    <w:rsid w:val="7A6EACC6"/>
    <w:rsid w:val="7A8334A2"/>
    <w:rsid w:val="7A943A16"/>
    <w:rsid w:val="7A9E7CE3"/>
    <w:rsid w:val="7AA6AAAB"/>
    <w:rsid w:val="7AAD1167"/>
    <w:rsid w:val="7AC30F5B"/>
    <w:rsid w:val="7AD13386"/>
    <w:rsid w:val="7AD568AA"/>
    <w:rsid w:val="7AD9036C"/>
    <w:rsid w:val="7AFAD653"/>
    <w:rsid w:val="7B0E5B37"/>
    <w:rsid w:val="7B14767B"/>
    <w:rsid w:val="7B292394"/>
    <w:rsid w:val="7B3A21A3"/>
    <w:rsid w:val="7B401259"/>
    <w:rsid w:val="7B4DDF38"/>
    <w:rsid w:val="7B5A1A85"/>
    <w:rsid w:val="7B679350"/>
    <w:rsid w:val="7B6EFD26"/>
    <w:rsid w:val="7B701CED"/>
    <w:rsid w:val="7B82F00D"/>
    <w:rsid w:val="7B852BC8"/>
    <w:rsid w:val="7B890C4D"/>
    <w:rsid w:val="7B9722E7"/>
    <w:rsid w:val="7BBAC39C"/>
    <w:rsid w:val="7BC0D866"/>
    <w:rsid w:val="7BD864BA"/>
    <w:rsid w:val="7BDE046E"/>
    <w:rsid w:val="7BE85080"/>
    <w:rsid w:val="7BE9AD83"/>
    <w:rsid w:val="7BF012EF"/>
    <w:rsid w:val="7BFADE74"/>
    <w:rsid w:val="7BFE0F9B"/>
    <w:rsid w:val="7C0759C7"/>
    <w:rsid w:val="7C0A8AAE"/>
    <w:rsid w:val="7C0DEC37"/>
    <w:rsid w:val="7C17BB8D"/>
    <w:rsid w:val="7C2B6FE8"/>
    <w:rsid w:val="7C2DCD32"/>
    <w:rsid w:val="7C47D6C4"/>
    <w:rsid w:val="7C5ABC63"/>
    <w:rsid w:val="7C686C88"/>
    <w:rsid w:val="7C6E8BE7"/>
    <w:rsid w:val="7C83C938"/>
    <w:rsid w:val="7C8F560A"/>
    <w:rsid w:val="7CA5A986"/>
    <w:rsid w:val="7CA9A84B"/>
    <w:rsid w:val="7CC6D296"/>
    <w:rsid w:val="7CD5BAD5"/>
    <w:rsid w:val="7CD6F098"/>
    <w:rsid w:val="7CF3FE3C"/>
    <w:rsid w:val="7CFD50FC"/>
    <w:rsid w:val="7D11F85C"/>
    <w:rsid w:val="7D12D542"/>
    <w:rsid w:val="7D13FE85"/>
    <w:rsid w:val="7D1EB5B5"/>
    <w:rsid w:val="7D2406F9"/>
    <w:rsid w:val="7D359E3A"/>
    <w:rsid w:val="7D3B00B2"/>
    <w:rsid w:val="7D4249C6"/>
    <w:rsid w:val="7D53BFF0"/>
    <w:rsid w:val="7D650B6E"/>
    <w:rsid w:val="7D6F02E2"/>
    <w:rsid w:val="7D6F5158"/>
    <w:rsid w:val="7D8D2CDC"/>
    <w:rsid w:val="7D91F64C"/>
    <w:rsid w:val="7D928E25"/>
    <w:rsid w:val="7D949249"/>
    <w:rsid w:val="7D9787E8"/>
    <w:rsid w:val="7DB616D1"/>
    <w:rsid w:val="7DB8DA04"/>
    <w:rsid w:val="7DBB33F1"/>
    <w:rsid w:val="7DCD659A"/>
    <w:rsid w:val="7DD3D21F"/>
    <w:rsid w:val="7DD5B8F9"/>
    <w:rsid w:val="7DE15480"/>
    <w:rsid w:val="7DE64318"/>
    <w:rsid w:val="7DEEEA4E"/>
    <w:rsid w:val="7E0E9925"/>
    <w:rsid w:val="7E0F9263"/>
    <w:rsid w:val="7E1906AA"/>
    <w:rsid w:val="7E2DF0C1"/>
    <w:rsid w:val="7E64C58E"/>
    <w:rsid w:val="7E86CA00"/>
    <w:rsid w:val="7E88DCB2"/>
    <w:rsid w:val="7E8DD8BA"/>
    <w:rsid w:val="7E974F3D"/>
    <w:rsid w:val="7E9A4CCB"/>
    <w:rsid w:val="7EA4F6EC"/>
    <w:rsid w:val="7EA72280"/>
    <w:rsid w:val="7EA82619"/>
    <w:rsid w:val="7EB091AA"/>
    <w:rsid w:val="7EC5C852"/>
    <w:rsid w:val="7EC6B895"/>
    <w:rsid w:val="7ECC7DC5"/>
    <w:rsid w:val="7ED1FAD9"/>
    <w:rsid w:val="7EE59FD4"/>
    <w:rsid w:val="7EFE75BD"/>
    <w:rsid w:val="7F0337B0"/>
    <w:rsid w:val="7F07C5D6"/>
    <w:rsid w:val="7F0F6389"/>
    <w:rsid w:val="7F11D47D"/>
    <w:rsid w:val="7F150D01"/>
    <w:rsid w:val="7F170CC5"/>
    <w:rsid w:val="7F197246"/>
    <w:rsid w:val="7F205631"/>
    <w:rsid w:val="7F251630"/>
    <w:rsid w:val="7F25F49C"/>
    <w:rsid w:val="7F3421CE"/>
    <w:rsid w:val="7F4B51DE"/>
    <w:rsid w:val="7F58D2F8"/>
    <w:rsid w:val="7F5A3F89"/>
    <w:rsid w:val="7F630877"/>
    <w:rsid w:val="7F64A885"/>
    <w:rsid w:val="7F695B8D"/>
    <w:rsid w:val="7F6EFA70"/>
    <w:rsid w:val="7F6F34FA"/>
    <w:rsid w:val="7F846F1C"/>
    <w:rsid w:val="7F8F95E6"/>
    <w:rsid w:val="7FA45605"/>
    <w:rsid w:val="7FAF66CA"/>
    <w:rsid w:val="7FC7950D"/>
    <w:rsid w:val="7FCEBC75"/>
    <w:rsid w:val="7FD521A0"/>
    <w:rsid w:val="7FDC5A93"/>
    <w:rsid w:val="7FE2E20C"/>
    <w:rsid w:val="7FE33B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A23448"/>
  <w15:docId w15:val="{5A01FDA5-667D-4C7F-B21C-8D5FA2CBA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D2B97"/>
    <w:rPr>
      <w:rFonts w:ascii="Times New Roman" w:hAnsi="Times New Roman"/>
    </w:rPr>
  </w:style>
  <w:style w:type="paragraph" w:styleId="1">
    <w:name w:val="heading 1"/>
    <w:basedOn w:val="a0"/>
    <w:next w:val="a0"/>
    <w:link w:val="10"/>
    <w:uiPriority w:val="9"/>
    <w:qFormat/>
    <w:rsid w:val="00C81DF7"/>
    <w:pPr>
      <w:keepNext/>
      <w:keepLines/>
      <w:spacing w:after="360" w:line="240" w:lineRule="auto"/>
      <w:jc w:val="center"/>
      <w:outlineLvl w:val="0"/>
    </w:pPr>
    <w:rPr>
      <w:rFonts w:ascii="Cambria" w:eastAsiaTheme="majorEastAsia" w:hAnsi="Cambria" w:cs="Times New Roman"/>
      <w:b/>
      <w:bCs/>
      <w:color w:val="074F6A"/>
      <w:sz w:val="36"/>
      <w:szCs w:val="28"/>
    </w:rPr>
  </w:style>
  <w:style w:type="paragraph" w:styleId="2">
    <w:name w:val="heading 2"/>
    <w:basedOn w:val="3"/>
    <w:next w:val="a0"/>
    <w:link w:val="20"/>
    <w:uiPriority w:val="9"/>
    <w:qFormat/>
    <w:rsid w:val="00C81DF7"/>
    <w:pPr>
      <w:outlineLvl w:val="1"/>
    </w:pPr>
    <w:rPr>
      <w:rFonts w:ascii="Cambria" w:hAnsi="Cambria" w:cs="Times New Roman"/>
      <w:sz w:val="32"/>
      <w:szCs w:val="24"/>
    </w:rPr>
  </w:style>
  <w:style w:type="paragraph" w:styleId="3">
    <w:name w:val="heading 3"/>
    <w:basedOn w:val="a0"/>
    <w:next w:val="a0"/>
    <w:link w:val="30"/>
    <w:uiPriority w:val="9"/>
    <w:unhideWhenUsed/>
    <w:qFormat/>
    <w:rsid w:val="00FA3760"/>
    <w:pPr>
      <w:keepNext/>
      <w:keepLines/>
      <w:spacing w:before="200" w:after="0"/>
      <w:outlineLvl w:val="2"/>
    </w:pPr>
    <w:rPr>
      <w:rFonts w:asciiTheme="majorHAnsi" w:eastAsiaTheme="majorEastAsia" w:hAnsiTheme="majorHAnsi" w:cstheme="majorBidi"/>
      <w:b/>
      <w:bCs/>
      <w:color w:val="074F6A"/>
      <w:sz w:val="28"/>
    </w:rPr>
  </w:style>
  <w:style w:type="paragraph" w:styleId="4">
    <w:name w:val="heading 4"/>
    <w:basedOn w:val="a0"/>
    <w:next w:val="a0"/>
    <w:link w:val="40"/>
    <w:uiPriority w:val="9"/>
    <w:unhideWhenUsed/>
    <w:qFormat/>
    <w:rsid w:val="00565898"/>
    <w:pPr>
      <w:spacing w:before="240" w:after="120"/>
      <w:outlineLvl w:val="3"/>
    </w:pPr>
    <w:rPr>
      <w:rFonts w:asciiTheme="majorHAnsi" w:hAnsiTheme="majorHAnsi"/>
      <w:b/>
      <w:bCs/>
      <w:color w:val="074F6A"/>
      <w:sz w:val="24"/>
    </w:rPr>
  </w:style>
  <w:style w:type="paragraph" w:styleId="5">
    <w:name w:val="heading 5"/>
    <w:basedOn w:val="a0"/>
    <w:next w:val="a0"/>
    <w:link w:val="50"/>
    <w:uiPriority w:val="9"/>
    <w:unhideWhenUsed/>
    <w:qFormat/>
    <w:rsid w:val="006966A0"/>
    <w:pPr>
      <w:keepNext/>
      <w:keepLines/>
      <w:spacing w:before="40" w:after="0"/>
      <w:outlineLvl w:val="4"/>
    </w:pPr>
    <w:rPr>
      <w:rFonts w:asciiTheme="majorHAnsi" w:eastAsiaTheme="majorEastAsia" w:hAnsiTheme="majorHAnsi" w:cstheme="majorBidi"/>
      <w:b/>
      <w:color w:val="074F6A"/>
    </w:rPr>
  </w:style>
  <w:style w:type="paragraph" w:styleId="6">
    <w:name w:val="heading 6"/>
    <w:basedOn w:val="a0"/>
    <w:next w:val="a0"/>
    <w:link w:val="60"/>
    <w:uiPriority w:val="9"/>
    <w:unhideWhenUsed/>
    <w:qFormat/>
    <w:rsid w:val="00AB358C"/>
    <w:pPr>
      <w:spacing w:before="240" w:after="120"/>
      <w:outlineLvl w:val="5"/>
    </w:pPr>
    <w:rPr>
      <w:rFonts w:asciiTheme="majorHAnsi" w:hAnsiTheme="majorHAnsi"/>
      <w:i/>
      <w:iCs/>
      <w:color w:val="074F6A"/>
    </w:rPr>
  </w:style>
  <w:style w:type="paragraph" w:styleId="7">
    <w:name w:val="heading 7"/>
    <w:basedOn w:val="a0"/>
    <w:next w:val="a0"/>
    <w:link w:val="70"/>
    <w:uiPriority w:val="9"/>
    <w:unhideWhenUsed/>
    <w:qFormat/>
    <w:rsid w:val="009B561E"/>
    <w:pPr>
      <w:keepNext/>
      <w:keepLines/>
      <w:spacing w:before="80" w:after="0" w:line="264" w:lineRule="auto"/>
      <w:outlineLvl w:val="6"/>
    </w:pPr>
    <w:rPr>
      <w:rFonts w:asciiTheme="majorHAnsi" w:eastAsiaTheme="majorEastAsia" w:hAnsiTheme="majorHAnsi" w:cstheme="majorBidi"/>
      <w:i/>
      <w:iCs/>
      <w:color w:val="595959" w:themeColor="text1" w:themeTint="A6"/>
      <w:lang w:eastAsia="ja-JP"/>
    </w:rPr>
  </w:style>
  <w:style w:type="paragraph" w:styleId="8">
    <w:name w:val="heading 8"/>
    <w:basedOn w:val="a0"/>
    <w:next w:val="a0"/>
    <w:link w:val="80"/>
    <w:uiPriority w:val="9"/>
    <w:unhideWhenUsed/>
    <w:qFormat/>
    <w:rsid w:val="009B561E"/>
    <w:pPr>
      <w:keepNext/>
      <w:keepLines/>
      <w:spacing w:before="80" w:after="0" w:line="264" w:lineRule="auto"/>
      <w:outlineLvl w:val="7"/>
    </w:pPr>
    <w:rPr>
      <w:rFonts w:asciiTheme="majorHAnsi" w:eastAsiaTheme="majorEastAsia" w:hAnsiTheme="majorHAnsi" w:cstheme="majorBidi"/>
      <w:smallCaps/>
      <w:color w:val="595959" w:themeColor="text1" w:themeTint="A6"/>
      <w:lang w:eastAsia="ja-JP"/>
    </w:rPr>
  </w:style>
  <w:style w:type="paragraph" w:styleId="9">
    <w:name w:val="heading 9"/>
    <w:basedOn w:val="a0"/>
    <w:next w:val="a0"/>
    <w:link w:val="90"/>
    <w:uiPriority w:val="9"/>
    <w:unhideWhenUsed/>
    <w:qFormat/>
    <w:rsid w:val="009B561E"/>
    <w:pPr>
      <w:keepNext/>
      <w:keepLines/>
      <w:spacing w:before="80" w:after="0" w:line="264" w:lineRule="auto"/>
      <w:outlineLvl w:val="8"/>
    </w:pPr>
    <w:rPr>
      <w:rFonts w:asciiTheme="majorHAnsi" w:eastAsiaTheme="majorEastAsia" w:hAnsiTheme="majorHAnsi" w:cstheme="majorBidi"/>
      <w:i/>
      <w:iCs/>
      <w:smallCaps/>
      <w:color w:val="595959" w:themeColor="text1" w:themeTint="A6"/>
      <w:lang w:eastAsia="ja-JP"/>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002D0C"/>
    <w:pPr>
      <w:spacing w:after="0" w:line="240" w:lineRule="auto"/>
    </w:pPr>
    <w:rPr>
      <w:rFonts w:ascii="Tahoma" w:hAnsi="Tahoma" w:cs="Tahoma"/>
      <w:sz w:val="16"/>
      <w:szCs w:val="16"/>
    </w:rPr>
  </w:style>
  <w:style w:type="character" w:customStyle="1" w:styleId="a5">
    <w:name w:val="批注框文本 字符"/>
    <w:basedOn w:val="a1"/>
    <w:link w:val="a4"/>
    <w:uiPriority w:val="99"/>
    <w:semiHidden/>
    <w:rsid w:val="00002D0C"/>
    <w:rPr>
      <w:rFonts w:ascii="Tahoma" w:hAnsi="Tahoma" w:cs="Tahoma"/>
      <w:sz w:val="16"/>
      <w:szCs w:val="16"/>
    </w:rPr>
  </w:style>
  <w:style w:type="paragraph" w:styleId="a6">
    <w:name w:val="List Paragraph"/>
    <w:aliases w:val="Indented Paragraph"/>
    <w:basedOn w:val="a0"/>
    <w:link w:val="a7"/>
    <w:uiPriority w:val="34"/>
    <w:qFormat/>
    <w:rsid w:val="00CD1307"/>
    <w:pPr>
      <w:ind w:left="720"/>
      <w:contextualSpacing/>
    </w:pPr>
  </w:style>
  <w:style w:type="character" w:styleId="a8">
    <w:name w:val="Placeholder Text"/>
    <w:basedOn w:val="a1"/>
    <w:uiPriority w:val="99"/>
    <w:semiHidden/>
    <w:rsid w:val="00060E30"/>
    <w:rPr>
      <w:rFonts w:cs="Times New Roman"/>
      <w:color w:val="808080"/>
    </w:rPr>
  </w:style>
  <w:style w:type="character" w:customStyle="1" w:styleId="cohovertext">
    <w:name w:val="co_hovertext"/>
    <w:basedOn w:val="a1"/>
    <w:rsid w:val="00060E30"/>
    <w:rPr>
      <w:rFonts w:cs="Times New Roman"/>
    </w:rPr>
  </w:style>
  <w:style w:type="paragraph" w:styleId="a9">
    <w:name w:val="header"/>
    <w:basedOn w:val="a0"/>
    <w:link w:val="aa"/>
    <w:uiPriority w:val="99"/>
    <w:unhideWhenUsed/>
    <w:rsid w:val="004C301E"/>
    <w:pPr>
      <w:tabs>
        <w:tab w:val="center" w:pos="4680"/>
        <w:tab w:val="right" w:pos="9360"/>
      </w:tabs>
      <w:spacing w:after="0" w:line="240" w:lineRule="auto"/>
    </w:pPr>
  </w:style>
  <w:style w:type="character" w:customStyle="1" w:styleId="aa">
    <w:name w:val="页眉 字符"/>
    <w:basedOn w:val="a1"/>
    <w:link w:val="a9"/>
    <w:uiPriority w:val="99"/>
    <w:rsid w:val="004C301E"/>
  </w:style>
  <w:style w:type="paragraph" w:styleId="ab">
    <w:name w:val="footer"/>
    <w:basedOn w:val="a0"/>
    <w:link w:val="ac"/>
    <w:uiPriority w:val="99"/>
    <w:unhideWhenUsed/>
    <w:rsid w:val="004C301E"/>
    <w:pPr>
      <w:tabs>
        <w:tab w:val="center" w:pos="4680"/>
        <w:tab w:val="right" w:pos="9360"/>
      </w:tabs>
      <w:spacing w:after="0" w:line="240" w:lineRule="auto"/>
    </w:pPr>
  </w:style>
  <w:style w:type="character" w:customStyle="1" w:styleId="ac">
    <w:name w:val="页脚 字符"/>
    <w:basedOn w:val="a1"/>
    <w:link w:val="ab"/>
    <w:uiPriority w:val="99"/>
    <w:rsid w:val="004C301E"/>
  </w:style>
  <w:style w:type="character" w:styleId="ad">
    <w:name w:val="annotation reference"/>
    <w:basedOn w:val="a1"/>
    <w:uiPriority w:val="99"/>
    <w:unhideWhenUsed/>
    <w:rsid w:val="00D57F5A"/>
    <w:rPr>
      <w:sz w:val="16"/>
      <w:szCs w:val="16"/>
    </w:rPr>
  </w:style>
  <w:style w:type="paragraph" w:styleId="ae">
    <w:name w:val="annotation text"/>
    <w:basedOn w:val="a0"/>
    <w:link w:val="af"/>
    <w:uiPriority w:val="99"/>
    <w:unhideWhenUsed/>
    <w:rsid w:val="001A693F"/>
    <w:pPr>
      <w:spacing w:line="240" w:lineRule="auto"/>
    </w:pPr>
    <w:rPr>
      <w:sz w:val="20"/>
      <w:szCs w:val="20"/>
    </w:rPr>
  </w:style>
  <w:style w:type="character" w:customStyle="1" w:styleId="af">
    <w:name w:val="批注文字 字符"/>
    <w:basedOn w:val="a1"/>
    <w:link w:val="ae"/>
    <w:uiPriority w:val="99"/>
    <w:rsid w:val="00D57F5A"/>
    <w:rPr>
      <w:sz w:val="20"/>
      <w:szCs w:val="20"/>
    </w:rPr>
  </w:style>
  <w:style w:type="paragraph" w:styleId="af0">
    <w:name w:val="annotation subject"/>
    <w:basedOn w:val="ae"/>
    <w:next w:val="ae"/>
    <w:link w:val="af1"/>
    <w:uiPriority w:val="99"/>
    <w:semiHidden/>
    <w:unhideWhenUsed/>
    <w:rsid w:val="00D57F5A"/>
    <w:rPr>
      <w:b/>
      <w:bCs/>
    </w:rPr>
  </w:style>
  <w:style w:type="character" w:customStyle="1" w:styleId="af1">
    <w:name w:val="批注主题 字符"/>
    <w:basedOn w:val="af"/>
    <w:link w:val="af0"/>
    <w:uiPriority w:val="99"/>
    <w:semiHidden/>
    <w:rsid w:val="00D57F5A"/>
    <w:rPr>
      <w:b/>
      <w:bCs/>
      <w:sz w:val="20"/>
      <w:szCs w:val="20"/>
    </w:rPr>
  </w:style>
  <w:style w:type="paragraph" w:styleId="af2">
    <w:name w:val="footnote text"/>
    <w:basedOn w:val="a0"/>
    <w:link w:val="af3"/>
    <w:unhideWhenUsed/>
    <w:rsid w:val="008D7A5B"/>
    <w:pPr>
      <w:spacing w:after="0" w:line="240" w:lineRule="auto"/>
    </w:pPr>
    <w:rPr>
      <w:szCs w:val="20"/>
    </w:rPr>
  </w:style>
  <w:style w:type="character" w:customStyle="1" w:styleId="af3">
    <w:name w:val="脚注文本 字符"/>
    <w:basedOn w:val="a1"/>
    <w:link w:val="af2"/>
    <w:rsid w:val="008D7A5B"/>
    <w:rPr>
      <w:rFonts w:ascii="Times New Roman" w:hAnsi="Times New Roman"/>
      <w:szCs w:val="20"/>
    </w:rPr>
  </w:style>
  <w:style w:type="character" w:styleId="af4">
    <w:name w:val="footnote reference"/>
    <w:basedOn w:val="a1"/>
    <w:uiPriority w:val="99"/>
    <w:semiHidden/>
    <w:unhideWhenUsed/>
    <w:rsid w:val="00105847"/>
    <w:rPr>
      <w:vertAlign w:val="superscript"/>
    </w:rPr>
  </w:style>
  <w:style w:type="paragraph" w:customStyle="1" w:styleId="Style4">
    <w:name w:val="Style4"/>
    <w:basedOn w:val="a6"/>
    <w:link w:val="Style4Char"/>
    <w:qFormat/>
    <w:rsid w:val="00A76898"/>
    <w:pPr>
      <w:numPr>
        <w:ilvl w:val="1"/>
        <w:numId w:val="7"/>
      </w:numPr>
      <w:spacing w:after="0" w:line="240" w:lineRule="auto"/>
    </w:pPr>
    <w:rPr>
      <w:rFonts w:eastAsia="Calibri" w:cs="Times New Roman"/>
    </w:rPr>
  </w:style>
  <w:style w:type="character" w:customStyle="1" w:styleId="Style4Char">
    <w:name w:val="Style4 Char"/>
    <w:basedOn w:val="a1"/>
    <w:link w:val="Style4"/>
    <w:rsid w:val="00A76898"/>
    <w:rPr>
      <w:rFonts w:ascii="Times New Roman" w:eastAsia="Calibri" w:hAnsi="Times New Roman" w:cs="Times New Roman"/>
    </w:rPr>
  </w:style>
  <w:style w:type="character" w:customStyle="1" w:styleId="10">
    <w:name w:val="标题 1 字符"/>
    <w:basedOn w:val="a1"/>
    <w:link w:val="1"/>
    <w:uiPriority w:val="9"/>
    <w:rsid w:val="00C81DF7"/>
    <w:rPr>
      <w:rFonts w:ascii="Cambria" w:eastAsiaTheme="majorEastAsia" w:hAnsi="Cambria" w:cs="Times New Roman"/>
      <w:b/>
      <w:bCs/>
      <w:color w:val="074F6A"/>
      <w:sz w:val="36"/>
      <w:szCs w:val="28"/>
    </w:rPr>
  </w:style>
  <w:style w:type="character" w:customStyle="1" w:styleId="20">
    <w:name w:val="标题 2 字符"/>
    <w:basedOn w:val="a1"/>
    <w:link w:val="2"/>
    <w:uiPriority w:val="9"/>
    <w:rsid w:val="00C81DF7"/>
    <w:rPr>
      <w:rFonts w:ascii="Cambria" w:eastAsiaTheme="majorEastAsia" w:hAnsi="Cambria" w:cs="Times New Roman"/>
      <w:b/>
      <w:bCs/>
      <w:color w:val="074F6A"/>
      <w:sz w:val="32"/>
      <w:szCs w:val="24"/>
    </w:rPr>
  </w:style>
  <w:style w:type="character" w:customStyle="1" w:styleId="30">
    <w:name w:val="标题 3 字符"/>
    <w:basedOn w:val="a1"/>
    <w:link w:val="3"/>
    <w:uiPriority w:val="9"/>
    <w:rsid w:val="00FA3760"/>
    <w:rPr>
      <w:rFonts w:asciiTheme="majorHAnsi" w:eastAsiaTheme="majorEastAsia" w:hAnsiTheme="majorHAnsi" w:cstheme="majorBidi"/>
      <w:b/>
      <w:bCs/>
      <w:color w:val="074F6A"/>
      <w:sz w:val="28"/>
    </w:rPr>
  </w:style>
  <w:style w:type="table" w:styleId="af5">
    <w:name w:val="Table Grid"/>
    <w:basedOn w:val="a2"/>
    <w:uiPriority w:val="59"/>
    <w:rsid w:val="006403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rsid w:val="001A693F"/>
    <w:pPr>
      <w:spacing w:after="0" w:line="240" w:lineRule="auto"/>
    </w:pPr>
  </w:style>
  <w:style w:type="character" w:styleId="af7">
    <w:name w:val="Hyperlink"/>
    <w:uiPriority w:val="99"/>
    <w:rsid w:val="002E382A"/>
    <w:rPr>
      <w:color w:val="0000FF"/>
      <w:u w:val="single"/>
    </w:rPr>
  </w:style>
  <w:style w:type="character" w:styleId="af8">
    <w:name w:val="FollowedHyperlink"/>
    <w:basedOn w:val="a1"/>
    <w:uiPriority w:val="99"/>
    <w:semiHidden/>
    <w:unhideWhenUsed/>
    <w:rsid w:val="00525A97"/>
    <w:rPr>
      <w:color w:val="800080" w:themeColor="followedHyperlink"/>
      <w:u w:val="single"/>
    </w:rPr>
  </w:style>
  <w:style w:type="character" w:customStyle="1" w:styleId="NJDOEResponse">
    <w:name w:val="NJDOEResponse"/>
    <w:uiPriority w:val="1"/>
    <w:qFormat/>
    <w:rsid w:val="00F32A9C"/>
    <w:rPr>
      <w:rFonts w:ascii="Times New Roman" w:eastAsia="Aptos" w:hAnsi="Times New Roman" w:cs="Times New Roman"/>
      <w:color w:val="365F91" w:themeColor="accent1" w:themeShade="BF"/>
    </w:rPr>
  </w:style>
  <w:style w:type="character" w:customStyle="1" w:styleId="Red">
    <w:name w:val="Red"/>
    <w:basedOn w:val="a1"/>
    <w:uiPriority w:val="1"/>
    <w:qFormat/>
    <w:rsid w:val="00682703"/>
    <w:rPr>
      <w:color w:val="8A0000"/>
    </w:rPr>
  </w:style>
  <w:style w:type="character" w:customStyle="1" w:styleId="redlined">
    <w:name w:val="redlined"/>
    <w:basedOn w:val="Red"/>
    <w:uiPriority w:val="1"/>
    <w:qFormat/>
    <w:rsid w:val="00682703"/>
    <w:rPr>
      <w:strike/>
      <w:color w:val="8A0000"/>
    </w:rPr>
  </w:style>
  <w:style w:type="character" w:customStyle="1" w:styleId="Boxstatus">
    <w:name w:val="Box status"/>
    <w:basedOn w:val="a1"/>
    <w:uiPriority w:val="1"/>
    <w:qFormat/>
    <w:rsid w:val="00044A80"/>
    <w:rPr>
      <w:color w:val="0000CC"/>
      <w:lang w:eastAsia="en-US"/>
    </w:rPr>
  </w:style>
  <w:style w:type="character" w:styleId="af9">
    <w:name w:val="Strong"/>
    <w:aliases w:val="First Section Under Title"/>
    <w:basedOn w:val="a1"/>
    <w:uiPriority w:val="22"/>
    <w:qFormat/>
    <w:rsid w:val="00A25DF1"/>
    <w:rPr>
      <w:rFonts w:ascii="Times New Roman" w:hAnsi="Times New Roman"/>
      <w:b/>
      <w:bCs/>
      <w:i w:val="0"/>
      <w:color w:val="000000" w:themeColor="text1"/>
      <w:sz w:val="28"/>
    </w:rPr>
  </w:style>
  <w:style w:type="paragraph" w:customStyle="1" w:styleId="HeadingforEachESSASection">
    <w:name w:val="Heading for Each ESSA Section"/>
    <w:basedOn w:val="3"/>
    <w:link w:val="HeadingforEachESSASectionChar"/>
    <w:qFormat/>
    <w:rsid w:val="00A25DF1"/>
    <w:rPr>
      <w:b w:val="0"/>
      <w:color w:val="000000" w:themeColor="text1"/>
      <w:sz w:val="40"/>
    </w:rPr>
  </w:style>
  <w:style w:type="character" w:customStyle="1" w:styleId="HeadingforEachESSASectionChar">
    <w:name w:val="Heading for Each ESSA Section Char"/>
    <w:basedOn w:val="30"/>
    <w:link w:val="HeadingforEachESSASection"/>
    <w:rsid w:val="00A25DF1"/>
    <w:rPr>
      <w:rFonts w:ascii="Times New Roman" w:eastAsiaTheme="majorEastAsia" w:hAnsi="Times New Roman" w:cstheme="majorBidi"/>
      <w:b w:val="0"/>
      <w:bCs/>
      <w:color w:val="000000" w:themeColor="text1"/>
      <w:sz w:val="40"/>
    </w:rPr>
  </w:style>
  <w:style w:type="character" w:customStyle="1" w:styleId="50">
    <w:name w:val="标题 5 字符"/>
    <w:basedOn w:val="a1"/>
    <w:link w:val="5"/>
    <w:uiPriority w:val="9"/>
    <w:rsid w:val="006966A0"/>
    <w:rPr>
      <w:rFonts w:asciiTheme="majorHAnsi" w:eastAsiaTheme="majorEastAsia" w:hAnsiTheme="majorHAnsi" w:cstheme="majorBidi"/>
      <w:b/>
      <w:color w:val="074F6A"/>
    </w:rPr>
  </w:style>
  <w:style w:type="character" w:customStyle="1" w:styleId="60">
    <w:name w:val="标题 6 字符"/>
    <w:basedOn w:val="a1"/>
    <w:link w:val="6"/>
    <w:uiPriority w:val="9"/>
    <w:rsid w:val="00AB358C"/>
    <w:rPr>
      <w:rFonts w:asciiTheme="majorHAnsi" w:hAnsiTheme="majorHAnsi"/>
      <w:i/>
      <w:iCs/>
      <w:color w:val="074F6A"/>
    </w:rPr>
  </w:style>
  <w:style w:type="character" w:customStyle="1" w:styleId="40">
    <w:name w:val="标题 4 字符"/>
    <w:basedOn w:val="a1"/>
    <w:link w:val="4"/>
    <w:uiPriority w:val="9"/>
    <w:rsid w:val="00565898"/>
    <w:rPr>
      <w:rFonts w:asciiTheme="majorHAnsi" w:hAnsiTheme="majorHAnsi"/>
      <w:b/>
      <w:bCs/>
      <w:color w:val="074F6A"/>
      <w:sz w:val="24"/>
    </w:rPr>
  </w:style>
  <w:style w:type="numbering" w:customStyle="1" w:styleId="CurrentList1">
    <w:name w:val="Current List1"/>
    <w:uiPriority w:val="99"/>
    <w:rsid w:val="009C68AB"/>
    <w:pPr>
      <w:numPr>
        <w:numId w:val="28"/>
      </w:numPr>
    </w:pPr>
  </w:style>
  <w:style w:type="character" w:styleId="afa">
    <w:name w:val="Emphasis"/>
    <w:basedOn w:val="a1"/>
    <w:uiPriority w:val="20"/>
    <w:qFormat/>
    <w:rsid w:val="009E766B"/>
    <w:rPr>
      <w:rFonts w:asciiTheme="majorHAnsi" w:hAnsiTheme="majorHAnsi"/>
      <w:i w:val="0"/>
      <w:iCs/>
      <w:sz w:val="28"/>
    </w:rPr>
  </w:style>
  <w:style w:type="paragraph" w:customStyle="1" w:styleId="RedParagraph">
    <w:name w:val="Red Paragraph"/>
    <w:basedOn w:val="a0"/>
    <w:qFormat/>
    <w:rsid w:val="009E508C"/>
    <w:pPr>
      <w:spacing w:after="240" w:line="259" w:lineRule="auto"/>
    </w:pPr>
    <w:rPr>
      <w:rFonts w:eastAsiaTheme="minorEastAsia" w:cs="Times New Roman"/>
      <w:bCs/>
      <w:color w:val="8A0000"/>
      <w:sz w:val="24"/>
      <w:szCs w:val="20"/>
      <w:lang w:eastAsia="ko-KR"/>
    </w:rPr>
  </w:style>
  <w:style w:type="paragraph" w:customStyle="1" w:styleId="TableText">
    <w:name w:val="TableText"/>
    <w:basedOn w:val="a0"/>
    <w:qFormat/>
    <w:rsid w:val="00F85AE5"/>
    <w:pPr>
      <w:spacing w:after="0" w:line="259" w:lineRule="auto"/>
    </w:pPr>
    <w:rPr>
      <w:rFonts w:eastAsiaTheme="minorEastAsia" w:cs="Times New Roman"/>
      <w:szCs w:val="20"/>
    </w:rPr>
  </w:style>
  <w:style w:type="character" w:customStyle="1" w:styleId="normaltextrun">
    <w:name w:val="normaltextrun"/>
    <w:basedOn w:val="a1"/>
    <w:rsid w:val="00F85AE5"/>
  </w:style>
  <w:style w:type="table" w:styleId="2-1">
    <w:name w:val="Grid Table 2 Accent 1"/>
    <w:basedOn w:val="a2"/>
    <w:uiPriority w:val="47"/>
    <w:rsid w:val="000A5A0E"/>
    <w:pPr>
      <w:spacing w:after="0" w:line="240" w:lineRule="auto"/>
    </w:pPr>
    <w:rPr>
      <w:rFonts w:ascii="Times" w:eastAsiaTheme="minorEastAsia" w:hAnsi="Times" w:cs="Times New Roman"/>
      <w:sz w:val="20"/>
      <w:szCs w:val="20"/>
      <w:lang w:eastAsia="ko-KR"/>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CallOut">
    <w:name w:val="CallOut"/>
    <w:basedOn w:val="a0"/>
    <w:qFormat/>
    <w:rsid w:val="00903D01"/>
    <w:pPr>
      <w:pBdr>
        <w:top w:val="single" w:sz="4" w:space="6" w:color="auto"/>
        <w:left w:val="single" w:sz="4" w:space="4" w:color="auto"/>
        <w:bottom w:val="single" w:sz="4" w:space="6" w:color="auto"/>
        <w:right w:val="single" w:sz="4" w:space="4" w:color="auto"/>
      </w:pBdr>
      <w:shd w:val="clear" w:color="auto" w:fill="F2F2F2" w:themeFill="background1" w:themeFillShade="F2"/>
      <w:spacing w:after="240" w:line="259" w:lineRule="auto"/>
    </w:pPr>
    <w:rPr>
      <w:rFonts w:eastAsiaTheme="minorEastAsia" w:cs="Times New Roman"/>
      <w:sz w:val="24"/>
      <w:szCs w:val="20"/>
    </w:rPr>
  </w:style>
  <w:style w:type="paragraph" w:customStyle="1" w:styleId="ESSAQUESTIONS">
    <w:name w:val="ESSA QUESTIONS"/>
    <w:basedOn w:val="a6"/>
    <w:link w:val="ESSAQUESTIONSChar"/>
    <w:qFormat/>
    <w:rsid w:val="00FA4045"/>
    <w:pPr>
      <w:numPr>
        <w:numId w:val="13"/>
      </w:numPr>
      <w:spacing w:line="240" w:lineRule="auto"/>
    </w:pPr>
    <w:rPr>
      <w:rFonts w:cs="Times New Roman"/>
      <w:i/>
      <w:iCs/>
      <w:color w:val="4F81BD" w:themeColor="accent1"/>
    </w:rPr>
  </w:style>
  <w:style w:type="character" w:customStyle="1" w:styleId="a7">
    <w:name w:val="列表段落 字符"/>
    <w:aliases w:val="Indented Paragraph 字符"/>
    <w:basedOn w:val="a1"/>
    <w:link w:val="a6"/>
    <w:uiPriority w:val="34"/>
    <w:rsid w:val="00FA4045"/>
  </w:style>
  <w:style w:type="character" w:customStyle="1" w:styleId="ESSAQUESTIONSChar">
    <w:name w:val="ESSA QUESTIONS Char"/>
    <w:basedOn w:val="a7"/>
    <w:link w:val="ESSAQUESTIONS"/>
    <w:rsid w:val="00FA4045"/>
    <w:rPr>
      <w:rFonts w:ascii="Times New Roman" w:hAnsi="Times New Roman" w:cs="Times New Roman"/>
      <w:i/>
      <w:iCs/>
      <w:color w:val="4F81BD" w:themeColor="accent1"/>
    </w:rPr>
  </w:style>
  <w:style w:type="paragraph" w:styleId="afb">
    <w:name w:val="Title"/>
    <w:aliases w:val="Heading 2 ESSA Subsection,Heading for ESSA Section,Title not title"/>
    <w:basedOn w:val="a0"/>
    <w:next w:val="a0"/>
    <w:link w:val="afc"/>
    <w:uiPriority w:val="10"/>
    <w:qFormat/>
    <w:rsid w:val="00302C6A"/>
    <w:pPr>
      <w:spacing w:after="0" w:line="240" w:lineRule="auto"/>
      <w:contextualSpacing/>
    </w:pPr>
    <w:rPr>
      <w:rFonts w:asciiTheme="majorHAnsi" w:eastAsiaTheme="majorEastAsia" w:hAnsiTheme="majorHAnsi" w:cstheme="majorBidi"/>
      <w:b/>
      <w:color w:val="074F6A"/>
      <w:spacing w:val="-10"/>
      <w:kern w:val="28"/>
      <w:sz w:val="24"/>
      <w:szCs w:val="56"/>
    </w:rPr>
  </w:style>
  <w:style w:type="character" w:customStyle="1" w:styleId="afc">
    <w:name w:val="标题 字符"/>
    <w:aliases w:val="Heading 2 ESSA Subsection 字符,Heading for ESSA Section 字符,Title not title 字符"/>
    <w:basedOn w:val="a1"/>
    <w:link w:val="afb"/>
    <w:uiPriority w:val="10"/>
    <w:rsid w:val="00AA3A48"/>
    <w:rPr>
      <w:rFonts w:asciiTheme="majorHAnsi" w:eastAsiaTheme="majorEastAsia" w:hAnsiTheme="majorHAnsi" w:cstheme="majorBidi"/>
      <w:b/>
      <w:color w:val="074F6A"/>
      <w:spacing w:val="-10"/>
      <w:kern w:val="28"/>
      <w:sz w:val="24"/>
      <w:szCs w:val="56"/>
    </w:rPr>
  </w:style>
  <w:style w:type="character" w:styleId="afd">
    <w:name w:val="Subtle Reference"/>
    <w:basedOn w:val="a1"/>
    <w:uiPriority w:val="31"/>
    <w:qFormat/>
    <w:rsid w:val="003B3898"/>
    <w:rPr>
      <w:smallCaps/>
      <w:color w:val="5A5A5A" w:themeColor="text1" w:themeTint="A5"/>
    </w:rPr>
  </w:style>
  <w:style w:type="numbering" w:customStyle="1" w:styleId="CurrentList2">
    <w:name w:val="Current List2"/>
    <w:uiPriority w:val="99"/>
    <w:rsid w:val="00B555E3"/>
    <w:pPr>
      <w:numPr>
        <w:numId w:val="218"/>
      </w:numPr>
    </w:pPr>
  </w:style>
  <w:style w:type="paragraph" w:customStyle="1" w:styleId="Checkboxtext">
    <w:name w:val="Checkbox text"/>
    <w:basedOn w:val="a0"/>
    <w:qFormat/>
    <w:rsid w:val="00C427FD"/>
    <w:pPr>
      <w:spacing w:after="240" w:line="259" w:lineRule="auto"/>
      <w:ind w:left="288" w:hanging="288"/>
    </w:pPr>
    <w:rPr>
      <w:rFonts w:eastAsiaTheme="minorEastAsia" w:cs="Times New Roman"/>
      <w:sz w:val="24"/>
      <w:szCs w:val="20"/>
      <w:lang w:eastAsia="ko-KR"/>
    </w:rPr>
  </w:style>
  <w:style w:type="character" w:styleId="afe">
    <w:name w:val="Subtle Emphasis"/>
    <w:basedOn w:val="a1"/>
    <w:uiPriority w:val="19"/>
    <w:qFormat/>
    <w:rsid w:val="00AA3A48"/>
    <w:rPr>
      <w:i/>
      <w:iCs/>
      <w:color w:val="404040" w:themeColor="text1" w:themeTint="BF"/>
    </w:rPr>
  </w:style>
  <w:style w:type="paragraph" w:customStyle="1" w:styleId="paragraph">
    <w:name w:val="paragraph"/>
    <w:basedOn w:val="a0"/>
    <w:rsid w:val="0023141A"/>
    <w:pPr>
      <w:spacing w:before="100" w:beforeAutospacing="1" w:after="100" w:afterAutospacing="1" w:line="240" w:lineRule="auto"/>
    </w:pPr>
    <w:rPr>
      <w:rFonts w:eastAsia="Times New Roman" w:cs="Times New Roman"/>
      <w:szCs w:val="24"/>
    </w:rPr>
  </w:style>
  <w:style w:type="character" w:customStyle="1" w:styleId="eop">
    <w:name w:val="eop"/>
    <w:basedOn w:val="a1"/>
    <w:rsid w:val="007B1D1D"/>
  </w:style>
  <w:style w:type="character" w:styleId="aff">
    <w:name w:val="Unresolved Mention"/>
    <w:basedOn w:val="a1"/>
    <w:uiPriority w:val="99"/>
    <w:semiHidden/>
    <w:unhideWhenUsed/>
    <w:rsid w:val="00DA2772"/>
    <w:rPr>
      <w:color w:val="605E5C"/>
      <w:shd w:val="clear" w:color="auto" w:fill="E1DFDD"/>
    </w:rPr>
  </w:style>
  <w:style w:type="paragraph" w:styleId="aff0">
    <w:name w:val="caption"/>
    <w:next w:val="a0"/>
    <w:uiPriority w:val="35"/>
    <w:unhideWhenUsed/>
    <w:qFormat/>
    <w:rsid w:val="00F86F30"/>
    <w:pPr>
      <w:keepNext/>
      <w:spacing w:after="120"/>
    </w:pPr>
    <w:rPr>
      <w:rFonts w:ascii="Cambria" w:eastAsiaTheme="majorEastAsia" w:hAnsi="Cambria" w:cs="Times New Roman"/>
      <w:b/>
      <w:bCs/>
      <w:color w:val="074F6A"/>
    </w:rPr>
  </w:style>
  <w:style w:type="table" w:styleId="6-1">
    <w:name w:val="Grid Table 6 Colorful Accent 1"/>
    <w:basedOn w:val="a2"/>
    <w:uiPriority w:val="51"/>
    <w:rsid w:val="00BE28DD"/>
    <w:pPr>
      <w:spacing w:after="0" w:line="240" w:lineRule="auto"/>
    </w:pPr>
    <w:rPr>
      <w:rFonts w:ascii="Times" w:eastAsiaTheme="minorEastAsia" w:hAnsi="Times" w:cs="Times New Roman"/>
      <w:color w:val="365F91" w:themeColor="accent1" w:themeShade="BF"/>
      <w:sz w:val="20"/>
      <w:szCs w:val="20"/>
      <w:lang w:eastAsia="ko-K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2D71C6"/>
    <w:pPr>
      <w:autoSpaceDE w:val="0"/>
      <w:autoSpaceDN w:val="0"/>
      <w:adjustRightInd w:val="0"/>
      <w:spacing w:after="0" w:line="240" w:lineRule="auto"/>
    </w:pPr>
    <w:rPr>
      <w:rFonts w:ascii="Calibri" w:hAnsi="Calibri" w:cs="Calibri"/>
      <w:color w:val="000000"/>
      <w:sz w:val="24"/>
      <w:szCs w:val="24"/>
    </w:rPr>
  </w:style>
  <w:style w:type="paragraph" w:customStyle="1" w:styleId="pf0">
    <w:name w:val="pf0"/>
    <w:basedOn w:val="a0"/>
    <w:rsid w:val="001875DD"/>
    <w:pPr>
      <w:spacing w:before="100" w:beforeAutospacing="1" w:after="100" w:afterAutospacing="1" w:line="240" w:lineRule="auto"/>
      <w:ind w:left="340"/>
    </w:pPr>
    <w:rPr>
      <w:rFonts w:eastAsia="Times New Roman" w:cs="Times New Roman"/>
      <w:sz w:val="24"/>
      <w:szCs w:val="24"/>
    </w:rPr>
  </w:style>
  <w:style w:type="character" w:customStyle="1" w:styleId="cf01">
    <w:name w:val="cf01"/>
    <w:basedOn w:val="a1"/>
    <w:rsid w:val="001875DD"/>
    <w:rPr>
      <w:rFonts w:ascii="Segoe UI" w:hAnsi="Segoe UI" w:cs="Segoe UI" w:hint="default"/>
      <w:sz w:val="18"/>
      <w:szCs w:val="18"/>
    </w:rPr>
  </w:style>
  <w:style w:type="paragraph" w:styleId="aff1">
    <w:name w:val="Date"/>
    <w:basedOn w:val="a0"/>
    <w:next w:val="a0"/>
    <w:link w:val="aff2"/>
    <w:uiPriority w:val="99"/>
    <w:semiHidden/>
    <w:unhideWhenUsed/>
    <w:rsid w:val="009D2AA3"/>
    <w:pPr>
      <w:spacing w:after="240" w:line="259" w:lineRule="auto"/>
    </w:pPr>
    <w:rPr>
      <w:rFonts w:eastAsiaTheme="minorEastAsia" w:cs="Times New Roman"/>
      <w:sz w:val="24"/>
      <w:szCs w:val="20"/>
      <w:lang w:eastAsia="ko-KR"/>
    </w:rPr>
  </w:style>
  <w:style w:type="character" w:customStyle="1" w:styleId="aff2">
    <w:name w:val="日期 字符"/>
    <w:basedOn w:val="a1"/>
    <w:link w:val="aff1"/>
    <w:uiPriority w:val="99"/>
    <w:semiHidden/>
    <w:rsid w:val="009D2AA3"/>
    <w:rPr>
      <w:rFonts w:ascii="Times New Roman" w:eastAsiaTheme="minorEastAsia" w:hAnsi="Times New Roman" w:cs="Times New Roman"/>
      <w:sz w:val="24"/>
      <w:szCs w:val="20"/>
      <w:lang w:eastAsia="ko-KR"/>
    </w:rPr>
  </w:style>
  <w:style w:type="character" w:styleId="aff3">
    <w:name w:val="Smart Link"/>
    <w:basedOn w:val="a1"/>
    <w:uiPriority w:val="99"/>
    <w:semiHidden/>
    <w:unhideWhenUsed/>
    <w:rsid w:val="003643B3"/>
    <w:rPr>
      <w:color w:val="0000FF"/>
      <w:u w:val="single"/>
      <w:shd w:val="clear" w:color="auto" w:fill="F3F2F1"/>
    </w:rPr>
  </w:style>
  <w:style w:type="character" w:customStyle="1" w:styleId="ui-provider">
    <w:name w:val="ui-provider"/>
    <w:basedOn w:val="a1"/>
    <w:rsid w:val="00047B93"/>
  </w:style>
  <w:style w:type="paragraph" w:styleId="aff4">
    <w:name w:val="Normal (Web)"/>
    <w:basedOn w:val="a0"/>
    <w:uiPriority w:val="99"/>
    <w:semiHidden/>
    <w:unhideWhenUsed/>
    <w:rsid w:val="00512F63"/>
    <w:pPr>
      <w:spacing w:before="100" w:beforeAutospacing="1" w:after="100" w:afterAutospacing="1" w:line="240" w:lineRule="auto"/>
    </w:pPr>
    <w:rPr>
      <w:rFonts w:eastAsiaTheme="minorEastAsia" w:cs="Times New Roman"/>
      <w:sz w:val="24"/>
      <w:szCs w:val="24"/>
    </w:rPr>
  </w:style>
  <w:style w:type="paragraph" w:customStyle="1" w:styleId="IDRText">
    <w:name w:val="IDR Text"/>
    <w:basedOn w:val="aff5"/>
    <w:link w:val="IDRTextChar"/>
    <w:qFormat/>
    <w:rsid w:val="00512F63"/>
    <w:pPr>
      <w:spacing w:before="240" w:after="240"/>
    </w:pPr>
    <w:rPr>
      <w:rFonts w:ascii="Franklin Gothic Book" w:eastAsia="Times New Roman" w:hAnsi="Franklin Gothic Book" w:cs="Times New Roman"/>
      <w:lang w:val="x-none" w:eastAsia="x-none"/>
    </w:rPr>
  </w:style>
  <w:style w:type="character" w:customStyle="1" w:styleId="IDRTextChar">
    <w:name w:val="IDR Text Char"/>
    <w:link w:val="IDRText"/>
    <w:rsid w:val="00512F63"/>
    <w:rPr>
      <w:rFonts w:ascii="Franklin Gothic Book" w:eastAsia="Times New Roman" w:hAnsi="Franklin Gothic Book" w:cs="Times New Roman"/>
      <w:lang w:val="x-none" w:eastAsia="x-none"/>
    </w:rPr>
  </w:style>
  <w:style w:type="paragraph" w:styleId="aff5">
    <w:name w:val="Body Text"/>
    <w:basedOn w:val="a0"/>
    <w:link w:val="aff6"/>
    <w:uiPriority w:val="99"/>
    <w:semiHidden/>
    <w:unhideWhenUsed/>
    <w:rsid w:val="00512F63"/>
    <w:pPr>
      <w:spacing w:after="120"/>
    </w:pPr>
  </w:style>
  <w:style w:type="character" w:customStyle="1" w:styleId="aff6">
    <w:name w:val="正文文本 字符"/>
    <w:basedOn w:val="a1"/>
    <w:link w:val="aff5"/>
    <w:uiPriority w:val="99"/>
    <w:semiHidden/>
    <w:rsid w:val="00512F63"/>
  </w:style>
  <w:style w:type="character" w:customStyle="1" w:styleId="superscript">
    <w:name w:val="superscript"/>
    <w:basedOn w:val="a1"/>
    <w:rsid w:val="00EA4318"/>
  </w:style>
  <w:style w:type="character" w:styleId="aff7">
    <w:name w:val="Mention"/>
    <w:basedOn w:val="a1"/>
    <w:uiPriority w:val="99"/>
    <w:unhideWhenUsed/>
    <w:rsid w:val="00246B43"/>
    <w:rPr>
      <w:color w:val="2B579A"/>
      <w:shd w:val="clear" w:color="auto" w:fill="E1DFDD"/>
    </w:rPr>
  </w:style>
  <w:style w:type="character" w:styleId="aff8">
    <w:name w:val="line number"/>
    <w:basedOn w:val="a1"/>
    <w:uiPriority w:val="99"/>
    <w:semiHidden/>
    <w:unhideWhenUsed/>
    <w:rsid w:val="00123A52"/>
  </w:style>
  <w:style w:type="table" w:styleId="4-1">
    <w:name w:val="Grid Table 4 Accent 1"/>
    <w:basedOn w:val="a2"/>
    <w:uiPriority w:val="49"/>
    <w:rsid w:val="00EE08AF"/>
    <w:pPr>
      <w:spacing w:before="100" w:after="0" w:line="240" w:lineRule="auto"/>
    </w:pPr>
    <w:rPr>
      <w:rFonts w:eastAsiaTheme="minorEastAsia"/>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4-10">
    <w:name w:val="List Table 4 Accent 1"/>
    <w:basedOn w:val="a2"/>
    <w:uiPriority w:val="49"/>
    <w:rsid w:val="003F588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f11">
    <w:name w:val="cf11"/>
    <w:basedOn w:val="a1"/>
    <w:rsid w:val="00BD6D6A"/>
    <w:rPr>
      <w:rFonts w:ascii="Segoe UI" w:hAnsi="Segoe UI" w:cs="Segoe UI" w:hint="default"/>
      <w:i/>
      <w:iCs/>
      <w:color w:val="111111"/>
      <w:sz w:val="18"/>
      <w:szCs w:val="18"/>
      <w:shd w:val="clear" w:color="auto" w:fill="FFFFFF"/>
    </w:rPr>
  </w:style>
  <w:style w:type="character" w:customStyle="1" w:styleId="cf21">
    <w:name w:val="cf21"/>
    <w:basedOn w:val="a1"/>
    <w:rsid w:val="00BD6D6A"/>
    <w:rPr>
      <w:rFonts w:ascii="Segoe UI" w:hAnsi="Segoe UI" w:cs="Segoe UI" w:hint="default"/>
      <w:sz w:val="18"/>
      <w:szCs w:val="18"/>
    </w:rPr>
  </w:style>
  <w:style w:type="numbering" w:customStyle="1" w:styleId="CurrentList3">
    <w:name w:val="Current List3"/>
    <w:uiPriority w:val="99"/>
    <w:rsid w:val="00A323C2"/>
    <w:pPr>
      <w:numPr>
        <w:numId w:val="27"/>
      </w:numPr>
    </w:pPr>
  </w:style>
  <w:style w:type="character" w:customStyle="1" w:styleId="wacimagecontainer">
    <w:name w:val="wacimagecontainer"/>
    <w:basedOn w:val="a1"/>
    <w:rsid w:val="00D740EA"/>
  </w:style>
  <w:style w:type="table" w:customStyle="1" w:styleId="GridTable2-Accent11">
    <w:name w:val="Grid Table 2 - Accent 11"/>
    <w:basedOn w:val="a2"/>
    <w:next w:val="2-1"/>
    <w:uiPriority w:val="47"/>
    <w:rsid w:val="00B06659"/>
    <w:pPr>
      <w:spacing w:after="0" w:line="240" w:lineRule="auto"/>
    </w:pPr>
    <w:rPr>
      <w:rFonts w:ascii="Times" w:eastAsia="Yu Gothic" w:hAnsi="Times" w:cs="Times New Roman"/>
      <w:sz w:val="20"/>
      <w:szCs w:val="20"/>
      <w:lang w:eastAsia="ko-KR"/>
      <w14:ligatures w14:val="standardContextual"/>
    </w:rPr>
    <w:tblPr>
      <w:tblStyleRowBandSize w:val="1"/>
      <w:tblStyleColBandSize w:val="1"/>
      <w:tblBorders>
        <w:top w:val="single" w:sz="2" w:space="0" w:color="45B0E1"/>
        <w:bottom w:val="single" w:sz="2" w:space="0" w:color="45B0E1"/>
        <w:insideH w:val="single" w:sz="2" w:space="0" w:color="45B0E1"/>
        <w:insideV w:val="single" w:sz="2" w:space="0" w:color="45B0E1"/>
      </w:tblBorders>
    </w:tblPr>
    <w:tblStylePr w:type="firstRow">
      <w:rPr>
        <w:b/>
        <w:bCs/>
      </w:rPr>
      <w:tblPr/>
      <w:tcPr>
        <w:tcBorders>
          <w:top w:val="nil"/>
          <w:bottom w:val="single" w:sz="12" w:space="0" w:color="45B0E1"/>
          <w:insideH w:val="nil"/>
          <w:insideV w:val="nil"/>
        </w:tcBorders>
        <w:shd w:val="clear" w:color="auto" w:fill="FFFFFF"/>
      </w:tcPr>
    </w:tblStylePr>
    <w:tblStylePr w:type="lastRow">
      <w:rPr>
        <w:b/>
        <w:bCs/>
      </w:rPr>
      <w:tblPr/>
      <w:tcPr>
        <w:tcBorders>
          <w:top w:val="double" w:sz="2" w:space="0" w:color="45B0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customStyle="1" w:styleId="TableGrid1">
    <w:name w:val="Table Grid1"/>
    <w:basedOn w:val="a2"/>
    <w:next w:val="af5"/>
    <w:uiPriority w:val="39"/>
    <w:rsid w:val="00D33A2C"/>
    <w:pPr>
      <w:spacing w:after="0" w:line="240" w:lineRule="auto"/>
    </w:pPr>
    <w:rPr>
      <w:rFonts w:ascii="Calibri" w:eastAsia="Calibri" w:hAnsi="Calibri" w:cs="Times New Roman"/>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0"/>
    <w:link w:val="Style1Char"/>
    <w:uiPriority w:val="1"/>
    <w:qFormat/>
    <w:rsid w:val="00EA70FA"/>
    <w:pPr>
      <w:spacing w:after="0"/>
      <w:jc w:val="center"/>
    </w:pPr>
    <w:rPr>
      <w:rFonts w:asciiTheme="majorHAnsi" w:eastAsiaTheme="majorEastAsia" w:hAnsiTheme="majorHAnsi" w:cstheme="majorBidi"/>
      <w:b/>
      <w:bCs/>
      <w:color w:val="215868" w:themeColor="accent5" w:themeShade="80"/>
      <w:sz w:val="72"/>
      <w:szCs w:val="72"/>
    </w:rPr>
  </w:style>
  <w:style w:type="character" w:customStyle="1" w:styleId="Style1Char">
    <w:name w:val="Style1 Char"/>
    <w:basedOn w:val="a1"/>
    <w:link w:val="Style1"/>
    <w:uiPriority w:val="1"/>
    <w:rsid w:val="00EA70FA"/>
    <w:rPr>
      <w:rFonts w:asciiTheme="majorHAnsi" w:eastAsiaTheme="majorEastAsia" w:hAnsiTheme="majorHAnsi" w:cstheme="majorBidi"/>
      <w:b/>
      <w:bCs/>
      <w:color w:val="215868" w:themeColor="accent5" w:themeShade="80"/>
      <w:sz w:val="72"/>
      <w:szCs w:val="72"/>
    </w:rPr>
  </w:style>
  <w:style w:type="paragraph" w:customStyle="1" w:styleId="BeginUSED">
    <w:name w:val="BeginUSED"/>
    <w:basedOn w:val="a0"/>
    <w:qFormat/>
    <w:rsid w:val="00A6210A"/>
    <w:pPr>
      <w:pBdr>
        <w:top w:val="thinThickSmallGap" w:sz="24" w:space="4" w:color="365F91" w:themeColor="accent1" w:themeShade="BF"/>
      </w:pBdr>
      <w:tabs>
        <w:tab w:val="left" w:pos="3730"/>
      </w:tabs>
      <w:spacing w:before="360" w:after="0" w:line="240" w:lineRule="auto"/>
    </w:pPr>
    <w:rPr>
      <w:rFonts w:eastAsia="Cambria" w:cs="Cambria"/>
      <w:color w:val="FFFFFF" w:themeColor="background1"/>
      <w:sz w:val="4"/>
      <w:szCs w:val="28"/>
    </w:rPr>
  </w:style>
  <w:style w:type="paragraph" w:customStyle="1" w:styleId="EndUSED">
    <w:name w:val="EndUSED"/>
    <w:basedOn w:val="a0"/>
    <w:qFormat/>
    <w:rsid w:val="00A6210A"/>
    <w:pPr>
      <w:pBdr>
        <w:bottom w:val="thickThinSmallGap" w:sz="24" w:space="4" w:color="365F91" w:themeColor="accent1" w:themeShade="BF"/>
      </w:pBdr>
      <w:spacing w:after="0" w:line="240" w:lineRule="auto"/>
    </w:pPr>
    <w:rPr>
      <w:rFonts w:eastAsia="Calibri" w:cs="Times New Roman"/>
      <w:color w:val="FFFFFF" w:themeColor="background1"/>
      <w:sz w:val="4"/>
    </w:rPr>
  </w:style>
  <w:style w:type="paragraph" w:styleId="aff9">
    <w:name w:val="No Spacing"/>
    <w:uiPriority w:val="1"/>
    <w:qFormat/>
    <w:rsid w:val="00F479F4"/>
    <w:pPr>
      <w:spacing w:after="0" w:line="240" w:lineRule="auto"/>
    </w:pPr>
    <w:rPr>
      <w:rFonts w:ascii="Palatino Linotype" w:eastAsiaTheme="minorEastAsia" w:hAnsi="Palatino Linotype"/>
      <w:color w:val="365F91" w:themeColor="accent1" w:themeShade="BF"/>
      <w:sz w:val="24"/>
      <w:szCs w:val="24"/>
      <w:lang w:eastAsia="ja-JP"/>
    </w:rPr>
  </w:style>
  <w:style w:type="character" w:customStyle="1" w:styleId="70">
    <w:name w:val="标题 7 字符"/>
    <w:basedOn w:val="a1"/>
    <w:link w:val="7"/>
    <w:uiPriority w:val="9"/>
    <w:rsid w:val="009B561E"/>
    <w:rPr>
      <w:rFonts w:asciiTheme="majorHAnsi" w:eastAsiaTheme="majorEastAsia" w:hAnsiTheme="majorHAnsi" w:cstheme="majorBidi"/>
      <w:i/>
      <w:iCs/>
      <w:color w:val="595959" w:themeColor="text1" w:themeTint="A6"/>
      <w:lang w:eastAsia="ja-JP"/>
    </w:rPr>
  </w:style>
  <w:style w:type="character" w:customStyle="1" w:styleId="80">
    <w:name w:val="标题 8 字符"/>
    <w:basedOn w:val="a1"/>
    <w:link w:val="8"/>
    <w:uiPriority w:val="9"/>
    <w:rsid w:val="009B561E"/>
    <w:rPr>
      <w:rFonts w:asciiTheme="majorHAnsi" w:eastAsiaTheme="majorEastAsia" w:hAnsiTheme="majorHAnsi" w:cstheme="majorBidi"/>
      <w:smallCaps/>
      <w:color w:val="595959" w:themeColor="text1" w:themeTint="A6"/>
      <w:lang w:eastAsia="ja-JP"/>
    </w:rPr>
  </w:style>
  <w:style w:type="character" w:customStyle="1" w:styleId="90">
    <w:name w:val="标题 9 字符"/>
    <w:basedOn w:val="a1"/>
    <w:link w:val="9"/>
    <w:uiPriority w:val="9"/>
    <w:rsid w:val="009B561E"/>
    <w:rPr>
      <w:rFonts w:asciiTheme="majorHAnsi" w:eastAsiaTheme="majorEastAsia" w:hAnsiTheme="majorHAnsi" w:cstheme="majorBidi"/>
      <w:i/>
      <w:iCs/>
      <w:smallCaps/>
      <w:color w:val="595959" w:themeColor="text1" w:themeTint="A6"/>
      <w:lang w:eastAsia="ja-JP"/>
    </w:rPr>
  </w:style>
  <w:style w:type="character" w:customStyle="1" w:styleId="affa">
    <w:name w:val="副标题 字符"/>
    <w:basedOn w:val="a1"/>
    <w:link w:val="affb"/>
    <w:uiPriority w:val="11"/>
    <w:rsid w:val="009B561E"/>
    <w:rPr>
      <w:rFonts w:asciiTheme="majorHAnsi" w:eastAsiaTheme="majorEastAsia" w:hAnsiTheme="majorHAnsi" w:cstheme="majorBidi"/>
      <w:color w:val="404040" w:themeColor="text1" w:themeTint="BF"/>
      <w:sz w:val="30"/>
      <w:szCs w:val="30"/>
    </w:rPr>
  </w:style>
  <w:style w:type="paragraph" w:styleId="affb">
    <w:name w:val="Subtitle"/>
    <w:basedOn w:val="a0"/>
    <w:next w:val="a0"/>
    <w:link w:val="affa"/>
    <w:uiPriority w:val="11"/>
    <w:qFormat/>
    <w:rsid w:val="009B561E"/>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1">
    <w:name w:val="Subtitle Char1"/>
    <w:basedOn w:val="a1"/>
    <w:uiPriority w:val="11"/>
    <w:rsid w:val="009B561E"/>
    <w:rPr>
      <w:rFonts w:eastAsiaTheme="minorEastAsia"/>
      <w:color w:val="5A5A5A" w:themeColor="text1" w:themeTint="A5"/>
      <w:spacing w:val="15"/>
    </w:rPr>
  </w:style>
  <w:style w:type="character" w:styleId="affc">
    <w:name w:val="Intense Emphasis"/>
    <w:basedOn w:val="a1"/>
    <w:uiPriority w:val="21"/>
    <w:qFormat/>
    <w:rsid w:val="009B561E"/>
    <w:rPr>
      <w:b/>
      <w:bCs/>
      <w:i/>
      <w:iCs/>
    </w:rPr>
  </w:style>
  <w:style w:type="character" w:customStyle="1" w:styleId="affd">
    <w:name w:val="引用 字符"/>
    <w:basedOn w:val="a1"/>
    <w:link w:val="affe"/>
    <w:uiPriority w:val="29"/>
    <w:rsid w:val="009B561E"/>
    <w:rPr>
      <w:i/>
      <w:iCs/>
    </w:rPr>
  </w:style>
  <w:style w:type="paragraph" w:styleId="affe">
    <w:name w:val="Quote"/>
    <w:basedOn w:val="a0"/>
    <w:next w:val="a0"/>
    <w:link w:val="affd"/>
    <w:uiPriority w:val="29"/>
    <w:qFormat/>
    <w:rsid w:val="009B561E"/>
    <w:pPr>
      <w:spacing w:before="240" w:after="240" w:line="252" w:lineRule="auto"/>
      <w:ind w:left="864" w:right="864"/>
      <w:jc w:val="center"/>
    </w:pPr>
    <w:rPr>
      <w:i/>
      <w:iCs/>
    </w:rPr>
  </w:style>
  <w:style w:type="character" w:customStyle="1" w:styleId="afff">
    <w:name w:val="明显引用 字符"/>
    <w:basedOn w:val="a1"/>
    <w:link w:val="afff0"/>
    <w:uiPriority w:val="30"/>
    <w:rsid w:val="009B561E"/>
    <w:rPr>
      <w:rFonts w:asciiTheme="majorHAnsi" w:eastAsiaTheme="majorEastAsia" w:hAnsiTheme="majorHAnsi" w:cstheme="majorBidi"/>
      <w:color w:val="4F81BD" w:themeColor="accent1"/>
      <w:sz w:val="28"/>
      <w:szCs w:val="28"/>
    </w:rPr>
  </w:style>
  <w:style w:type="paragraph" w:styleId="afff0">
    <w:name w:val="Intense Quote"/>
    <w:basedOn w:val="a0"/>
    <w:next w:val="a0"/>
    <w:link w:val="afff"/>
    <w:uiPriority w:val="30"/>
    <w:qFormat/>
    <w:rsid w:val="009B561E"/>
    <w:pPr>
      <w:spacing w:before="100" w:beforeAutospacing="1" w:after="240" w:line="264" w:lineRule="auto"/>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1">
    <w:name w:val="Intense Quote Char1"/>
    <w:basedOn w:val="a1"/>
    <w:uiPriority w:val="30"/>
    <w:rsid w:val="009B561E"/>
    <w:rPr>
      <w:i/>
      <w:iCs/>
      <w:color w:val="4F81BD" w:themeColor="accent1"/>
    </w:rPr>
  </w:style>
  <w:style w:type="character" w:styleId="afff1">
    <w:name w:val="Intense Reference"/>
    <w:basedOn w:val="a1"/>
    <w:uiPriority w:val="32"/>
    <w:qFormat/>
    <w:rsid w:val="009B561E"/>
    <w:rPr>
      <w:b/>
      <w:bCs/>
      <w:smallCaps/>
      <w:u w:val="single"/>
    </w:rPr>
  </w:style>
  <w:style w:type="character" w:styleId="afff2">
    <w:name w:val="Book Title"/>
    <w:basedOn w:val="a1"/>
    <w:uiPriority w:val="33"/>
    <w:qFormat/>
    <w:rsid w:val="009B561E"/>
    <w:rPr>
      <w:b/>
      <w:bCs/>
      <w:smallCaps/>
    </w:rPr>
  </w:style>
  <w:style w:type="paragraph" w:styleId="TOC">
    <w:name w:val="TOC Heading"/>
    <w:basedOn w:val="1"/>
    <w:next w:val="a0"/>
    <w:uiPriority w:val="39"/>
    <w:semiHidden/>
    <w:unhideWhenUsed/>
    <w:qFormat/>
    <w:rsid w:val="009B561E"/>
    <w:pPr>
      <w:pBdr>
        <w:bottom w:val="single" w:sz="4" w:space="1" w:color="4F81BD" w:themeColor="accent1"/>
      </w:pBdr>
      <w:spacing w:before="400" w:after="40"/>
      <w:jc w:val="left"/>
      <w:outlineLvl w:val="9"/>
    </w:pPr>
    <w:rPr>
      <w:rFonts w:ascii="Times New Roman" w:hAnsi="Times New Roman"/>
      <w:b w:val="0"/>
      <w:bCs w:val="0"/>
      <w:color w:val="365F91" w:themeColor="accent1" w:themeShade="BF"/>
      <w:sz w:val="24"/>
      <w:szCs w:val="24"/>
      <w:lang w:eastAsia="ja-JP"/>
    </w:rPr>
  </w:style>
  <w:style w:type="table" w:styleId="afff3">
    <w:name w:val="Grid Table Light"/>
    <w:basedOn w:val="a2"/>
    <w:uiPriority w:val="40"/>
    <w:rsid w:val="009B561E"/>
    <w:pPr>
      <w:spacing w:after="0" w:line="240" w:lineRule="auto"/>
    </w:pPr>
    <w:rPr>
      <w:rFonts w:eastAsiaTheme="minorEastAsia"/>
      <w:sz w:val="21"/>
      <w:szCs w:val="21"/>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body">
    <w:name w:val="text-body"/>
    <w:basedOn w:val="a0"/>
    <w:rsid w:val="009B561E"/>
    <w:pPr>
      <w:spacing w:before="100" w:beforeAutospacing="1" w:after="100" w:afterAutospacing="1" w:line="240" w:lineRule="auto"/>
    </w:pPr>
    <w:rPr>
      <w:rFonts w:ascii="Aptos" w:hAnsi="Aptos" w:cs="Aptos"/>
      <w:sz w:val="24"/>
      <w:szCs w:val="24"/>
    </w:rPr>
  </w:style>
  <w:style w:type="paragraph" w:customStyle="1" w:styleId="pf1">
    <w:name w:val="pf1"/>
    <w:basedOn w:val="a0"/>
    <w:rsid w:val="009B561E"/>
    <w:pPr>
      <w:spacing w:before="100" w:beforeAutospacing="1" w:after="100" w:afterAutospacing="1" w:line="240" w:lineRule="auto"/>
      <w:ind w:left="720"/>
    </w:pPr>
    <w:rPr>
      <w:rFonts w:eastAsia="Times New Roman" w:cs="Times New Roman"/>
      <w:sz w:val="24"/>
      <w:szCs w:val="24"/>
    </w:rPr>
  </w:style>
  <w:style w:type="paragraph" w:customStyle="1" w:styleId="Heading1a">
    <w:name w:val="Heading 1a"/>
    <w:basedOn w:val="a0"/>
    <w:next w:val="a0"/>
    <w:link w:val="Heading1aChar"/>
    <w:autoRedefine/>
    <w:qFormat/>
    <w:rsid w:val="00AE664C"/>
    <w:pPr>
      <w:pBdr>
        <w:bottom w:val="single" w:sz="4" w:space="1" w:color="auto"/>
      </w:pBdr>
      <w:spacing w:before="400" w:after="240" w:line="240" w:lineRule="auto"/>
    </w:pPr>
    <w:rPr>
      <w:rFonts w:eastAsiaTheme="minorEastAsia" w:cs="Times New Roman"/>
      <w:noProof/>
      <w:color w:val="365F91" w:themeColor="accent1" w:themeShade="BF"/>
      <w:sz w:val="24"/>
      <w:szCs w:val="24"/>
      <w:lang w:eastAsia="ja-JP"/>
    </w:rPr>
  </w:style>
  <w:style w:type="character" w:customStyle="1" w:styleId="Heading1aChar">
    <w:name w:val="Heading 1a Char"/>
    <w:basedOn w:val="a1"/>
    <w:link w:val="Heading1a"/>
    <w:rsid w:val="00AE664C"/>
    <w:rPr>
      <w:rFonts w:ascii="Times New Roman" w:eastAsiaTheme="minorEastAsia" w:hAnsi="Times New Roman" w:cs="Times New Roman"/>
      <w:noProof/>
      <w:color w:val="365F91" w:themeColor="accent1" w:themeShade="BF"/>
      <w:sz w:val="24"/>
      <w:szCs w:val="24"/>
      <w:lang w:eastAsia="ja-JP"/>
    </w:rPr>
  </w:style>
  <w:style w:type="character" w:customStyle="1" w:styleId="findhit">
    <w:name w:val="findhit"/>
    <w:basedOn w:val="a1"/>
    <w:rsid w:val="009B561E"/>
  </w:style>
  <w:style w:type="paragraph" w:customStyle="1" w:styleId="blue">
    <w:name w:val="blue"/>
    <w:qFormat/>
    <w:rsid w:val="00331349"/>
    <w:pPr>
      <w:tabs>
        <w:tab w:val="left" w:pos="360"/>
        <w:tab w:val="left" w:pos="4384"/>
      </w:tabs>
      <w:ind w:left="360"/>
    </w:pPr>
    <w:rPr>
      <w:rFonts w:asciiTheme="majorHAnsi" w:eastAsiaTheme="majorEastAsia" w:hAnsiTheme="majorHAnsi" w:cs="Times New Roman"/>
      <w:color w:val="244061"/>
    </w:rPr>
  </w:style>
  <w:style w:type="paragraph" w:customStyle="1" w:styleId="beginslide">
    <w:name w:val="begin slide"/>
    <w:basedOn w:val="a0"/>
    <w:qFormat/>
    <w:rsid w:val="004B0B9F"/>
    <w:pPr>
      <w:pBdr>
        <w:top w:val="single" w:sz="18" w:space="4" w:color="5C0000"/>
      </w:pBdr>
    </w:pPr>
    <w:rPr>
      <w:rFonts w:cs="Times New Roman"/>
      <w:color w:val="5C0000"/>
      <w:shd w:val="clear" w:color="auto" w:fill="FFFFFF"/>
    </w:rPr>
  </w:style>
  <w:style w:type="paragraph" w:customStyle="1" w:styleId="endslide">
    <w:name w:val="end slide"/>
    <w:basedOn w:val="a0"/>
    <w:qFormat/>
    <w:rsid w:val="004B0B9F"/>
    <w:pPr>
      <w:pBdr>
        <w:bottom w:val="single" w:sz="18" w:space="1" w:color="5C0000"/>
      </w:pBdr>
    </w:pPr>
    <w:rPr>
      <w:color w:val="5C0000"/>
    </w:rPr>
  </w:style>
  <w:style w:type="paragraph" w:styleId="TOC1">
    <w:name w:val="toc 1"/>
    <w:basedOn w:val="a0"/>
    <w:next w:val="a0"/>
    <w:autoRedefine/>
    <w:uiPriority w:val="39"/>
    <w:unhideWhenUsed/>
    <w:rsid w:val="0083645B"/>
    <w:pPr>
      <w:tabs>
        <w:tab w:val="right" w:leader="dot" w:pos="9350"/>
      </w:tabs>
      <w:spacing w:after="100"/>
    </w:pPr>
    <w:rPr>
      <w:rFonts w:cs="Times New Roman"/>
      <w:noProof/>
    </w:rPr>
  </w:style>
  <w:style w:type="paragraph" w:styleId="TOC2">
    <w:name w:val="toc 2"/>
    <w:basedOn w:val="a0"/>
    <w:next w:val="a0"/>
    <w:autoRedefine/>
    <w:uiPriority w:val="39"/>
    <w:unhideWhenUsed/>
    <w:rsid w:val="0083645B"/>
    <w:pPr>
      <w:tabs>
        <w:tab w:val="right" w:leader="dot" w:pos="9350"/>
      </w:tabs>
      <w:spacing w:after="100"/>
      <w:ind w:left="220"/>
    </w:pPr>
    <w:rPr>
      <w:rFonts w:cs="Times New Roman"/>
      <w:noProof/>
    </w:rPr>
  </w:style>
  <w:style w:type="paragraph" w:styleId="TOC3">
    <w:name w:val="toc 3"/>
    <w:basedOn w:val="a0"/>
    <w:next w:val="a0"/>
    <w:autoRedefine/>
    <w:uiPriority w:val="39"/>
    <w:unhideWhenUsed/>
    <w:rsid w:val="0083645B"/>
    <w:pPr>
      <w:tabs>
        <w:tab w:val="right" w:leader="dot" w:pos="9350"/>
      </w:tabs>
      <w:spacing w:after="80"/>
      <w:ind w:left="440"/>
    </w:pPr>
    <w:rPr>
      <w:rFonts w:cs="Times New Roman"/>
      <w:noProof/>
    </w:rPr>
  </w:style>
  <w:style w:type="paragraph" w:styleId="TOC4">
    <w:name w:val="toc 4"/>
    <w:basedOn w:val="a0"/>
    <w:next w:val="a0"/>
    <w:autoRedefine/>
    <w:uiPriority w:val="39"/>
    <w:unhideWhenUsed/>
    <w:rsid w:val="00237419"/>
    <w:pPr>
      <w:spacing w:after="100" w:line="278" w:lineRule="auto"/>
      <w:ind w:left="720"/>
    </w:pPr>
    <w:rPr>
      <w:rFonts w:asciiTheme="minorHAnsi" w:eastAsiaTheme="minorEastAsia" w:hAnsiTheme="minorHAnsi"/>
      <w:kern w:val="2"/>
      <w:sz w:val="24"/>
      <w:szCs w:val="24"/>
      <w14:ligatures w14:val="standardContextual"/>
    </w:rPr>
  </w:style>
  <w:style w:type="paragraph" w:styleId="TOC5">
    <w:name w:val="toc 5"/>
    <w:basedOn w:val="a0"/>
    <w:next w:val="a0"/>
    <w:autoRedefine/>
    <w:uiPriority w:val="39"/>
    <w:unhideWhenUsed/>
    <w:rsid w:val="00237419"/>
    <w:pPr>
      <w:spacing w:after="100" w:line="278" w:lineRule="auto"/>
      <w:ind w:left="960"/>
    </w:pPr>
    <w:rPr>
      <w:rFonts w:asciiTheme="minorHAnsi" w:eastAsiaTheme="minorEastAsia" w:hAnsiTheme="minorHAnsi"/>
      <w:kern w:val="2"/>
      <w:sz w:val="24"/>
      <w:szCs w:val="24"/>
      <w14:ligatures w14:val="standardContextual"/>
    </w:rPr>
  </w:style>
  <w:style w:type="paragraph" w:styleId="TOC6">
    <w:name w:val="toc 6"/>
    <w:basedOn w:val="a0"/>
    <w:next w:val="a0"/>
    <w:autoRedefine/>
    <w:uiPriority w:val="39"/>
    <w:unhideWhenUsed/>
    <w:rsid w:val="00237419"/>
    <w:pPr>
      <w:spacing w:after="100" w:line="278" w:lineRule="auto"/>
      <w:ind w:left="1200"/>
    </w:pPr>
    <w:rPr>
      <w:rFonts w:asciiTheme="minorHAnsi" w:eastAsiaTheme="minorEastAsia" w:hAnsiTheme="minorHAnsi"/>
      <w:kern w:val="2"/>
      <w:sz w:val="24"/>
      <w:szCs w:val="24"/>
      <w14:ligatures w14:val="standardContextual"/>
    </w:rPr>
  </w:style>
  <w:style w:type="paragraph" w:styleId="TOC7">
    <w:name w:val="toc 7"/>
    <w:basedOn w:val="a0"/>
    <w:next w:val="a0"/>
    <w:autoRedefine/>
    <w:uiPriority w:val="39"/>
    <w:unhideWhenUsed/>
    <w:rsid w:val="00237419"/>
    <w:pPr>
      <w:spacing w:after="100" w:line="278" w:lineRule="auto"/>
      <w:ind w:left="1440"/>
    </w:pPr>
    <w:rPr>
      <w:rFonts w:asciiTheme="minorHAnsi" w:eastAsiaTheme="minorEastAsia" w:hAnsiTheme="minorHAnsi"/>
      <w:kern w:val="2"/>
      <w:sz w:val="24"/>
      <w:szCs w:val="24"/>
      <w14:ligatures w14:val="standardContextual"/>
    </w:rPr>
  </w:style>
  <w:style w:type="paragraph" w:styleId="TOC8">
    <w:name w:val="toc 8"/>
    <w:basedOn w:val="a0"/>
    <w:next w:val="a0"/>
    <w:autoRedefine/>
    <w:uiPriority w:val="39"/>
    <w:unhideWhenUsed/>
    <w:rsid w:val="00237419"/>
    <w:pPr>
      <w:spacing w:after="100" w:line="278" w:lineRule="auto"/>
      <w:ind w:left="1680"/>
    </w:pPr>
    <w:rPr>
      <w:rFonts w:asciiTheme="minorHAnsi" w:eastAsiaTheme="minorEastAsia" w:hAnsiTheme="minorHAnsi"/>
      <w:kern w:val="2"/>
      <w:sz w:val="24"/>
      <w:szCs w:val="24"/>
      <w14:ligatures w14:val="standardContextual"/>
    </w:rPr>
  </w:style>
  <w:style w:type="paragraph" w:styleId="TOC9">
    <w:name w:val="toc 9"/>
    <w:basedOn w:val="a0"/>
    <w:next w:val="a0"/>
    <w:autoRedefine/>
    <w:uiPriority w:val="39"/>
    <w:unhideWhenUsed/>
    <w:rsid w:val="00237419"/>
    <w:pPr>
      <w:spacing w:after="100" w:line="278" w:lineRule="auto"/>
      <w:ind w:left="1920"/>
    </w:pPr>
    <w:rPr>
      <w:rFonts w:asciiTheme="minorHAnsi" w:eastAsiaTheme="minorEastAsia" w:hAnsiTheme="minorHAnsi"/>
      <w:kern w:val="2"/>
      <w:sz w:val="24"/>
      <w:szCs w:val="24"/>
      <w14:ligatures w14:val="standardContextual"/>
    </w:rPr>
  </w:style>
  <w:style w:type="paragraph" w:styleId="a">
    <w:name w:val="List Number"/>
    <w:basedOn w:val="a0"/>
    <w:uiPriority w:val="99"/>
    <w:semiHidden/>
    <w:unhideWhenUsed/>
    <w:rsid w:val="006424B7"/>
    <w:pPr>
      <w:numPr>
        <w:numId w:val="216"/>
      </w:numPr>
      <w:spacing w:after="160" w:line="259" w:lineRule="auto"/>
      <w:contextualSpacing/>
    </w:pPr>
    <w:rPr>
      <w:rFonts w:asciiTheme="minorHAnsi" w:hAnsiTheme="minorHAnsi"/>
      <w:kern w:val="2"/>
      <w14:ligatures w14:val="standardContextual"/>
    </w:rPr>
  </w:style>
  <w:style w:type="paragraph" w:customStyle="1" w:styleId="A10">
    <w:name w:val="A1"/>
    <w:basedOn w:val="aff5"/>
    <w:qFormat/>
    <w:rsid w:val="00856537"/>
    <w:pPr>
      <w:keepNext/>
      <w:keepLines/>
      <w:spacing w:after="360"/>
      <w:jc w:val="center"/>
    </w:pPr>
    <w:rPr>
      <w:rFonts w:ascii="Cambria" w:eastAsia="Cambria" w:hAnsi="Cambria" w:cs="Times New Roman"/>
      <w:b/>
      <w:bCs/>
      <w:color w:val="074F6A"/>
      <w:sz w:val="36"/>
      <w:szCs w:val="36"/>
      <w:lang w:val="pt-BR"/>
    </w:rPr>
  </w:style>
  <w:style w:type="paragraph" w:customStyle="1" w:styleId="A20">
    <w:name w:val="A2"/>
    <w:basedOn w:val="a0"/>
    <w:qFormat/>
    <w:rsid w:val="00856537"/>
    <w:pPr>
      <w:keepNext/>
      <w:keepLines/>
      <w:spacing w:before="200" w:after="0"/>
    </w:pPr>
    <w:rPr>
      <w:rFonts w:ascii="Cambria" w:eastAsia="Cambria" w:hAnsi="Cambria" w:cs="Times New Roman"/>
      <w:b/>
      <w:bCs/>
      <w:color w:val="074F6A"/>
      <w:sz w:val="32"/>
      <w:szCs w:val="32"/>
      <w:lang w:val="pt-BR"/>
    </w:rPr>
  </w:style>
  <w:style w:type="paragraph" w:customStyle="1" w:styleId="A30">
    <w:name w:val="A3"/>
    <w:basedOn w:val="a0"/>
    <w:qFormat/>
    <w:rsid w:val="00856537"/>
    <w:pPr>
      <w:keepNext/>
      <w:keepLines/>
      <w:spacing w:before="200" w:after="0"/>
    </w:pPr>
    <w:rPr>
      <w:rFonts w:ascii="Cambria" w:eastAsia="Cambria" w:hAnsi="Cambria" w:cs="Times New Roman"/>
      <w:b/>
      <w:bCs/>
      <w:color w:val="074F6A"/>
      <w:sz w:val="28"/>
      <w:szCs w:val="28"/>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j.gov/education/news/2024/NJDOEInvitesPublicCommentonDraft2024ESSAStatePlan.pdf" TargetMode="External"/><Relationship Id="rId18" Type="http://schemas.openxmlformats.org/officeDocument/2006/relationships/footer" Target="footer1.xml"/><Relationship Id="rId26" Type="http://schemas.openxmlformats.org/officeDocument/2006/relationships/diagramColors" Target="diagrams/colors1.xml"/><Relationship Id="rId39" Type="http://schemas.openxmlformats.org/officeDocument/2006/relationships/hyperlink" Target="https://www.nj.gov/education/migrant/" TargetMode="External"/><Relationship Id="rId21" Type="http://schemas.openxmlformats.org/officeDocument/2006/relationships/hyperlink" Target="mailto:essa@doe.nj.gov" TargetMode="External"/><Relationship Id="rId34" Type="http://schemas.openxmlformats.org/officeDocument/2006/relationships/hyperlink" Target="https://www.nj.gov/education/essanj/docs/plan.pdf" TargetMode="External"/><Relationship Id="rId42" Type="http://schemas.openxmlformats.org/officeDocument/2006/relationships/hyperlink" Target="https://eppdata.doe.state.nj.us/" TargetMode="External"/><Relationship Id="rId47" Type="http://schemas.openxmlformats.org/officeDocument/2006/relationships/hyperlink" Target="https://www.nj.gov/education/about/counties/" TargetMode="External"/><Relationship Id="rId50" Type="http://schemas.openxmlformats.org/officeDocument/2006/relationships/hyperlink" Target="mailto:Mckinney.Vento@doe.nj.gov" TargetMode="External"/><Relationship Id="rId55" Type="http://schemas.openxmlformats.org/officeDocument/2006/relationships/hyperlink" Target="mailto:essa@doe.nj.gov"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oese.ed.gov/files/2020/04/njfy19performancereviewreport.pdf" TargetMode="External"/><Relationship Id="rId29" Type="http://schemas.openxmlformats.org/officeDocument/2006/relationships/hyperlink" Target="https://www.nj.gov/education/doedata/SecurityPrivacy.pdf" TargetMode="External"/><Relationship Id="rId41" Type="http://schemas.openxmlformats.org/officeDocument/2006/relationships/hyperlink" Target="https://www.nj.gov/education/migrant/" TargetMode="External"/><Relationship Id="rId54" Type="http://schemas.openxmlformats.org/officeDocument/2006/relationships/hyperlink" Target="https://www.nj.gov/education/broadcasts/2023/july/27/NJDOEInvitesPublicCommentontheProposedAmendmentstotheNewJerseyESSAStatePlan.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Layout" Target="diagrams/layout1.xml"/><Relationship Id="rId32" Type="http://schemas.openxmlformats.org/officeDocument/2006/relationships/hyperlink" Target="https://wida.wisc.edu/sites/default/files/resource/Research-Report-Examining-English-Learner-Testing-Proficiency-Growth-2023.pdf" TargetMode="External"/><Relationship Id="rId37" Type="http://schemas.openxmlformats.org/officeDocument/2006/relationships/hyperlink" Target="https://www.cast.org/impact/universal-design-for-learning-udl" TargetMode="External"/><Relationship Id="rId40" Type="http://schemas.openxmlformats.org/officeDocument/2006/relationships/hyperlink" Target="https://www.nj.gov/education/migrant/" TargetMode="External"/><Relationship Id="rId45" Type="http://schemas.openxmlformats.org/officeDocument/2006/relationships/hyperlink" Target="http://www.state.nj.us/education/code/current/title6a/chap17.pdf" TargetMode="External"/><Relationship Id="rId53" Type="http://schemas.openxmlformats.org/officeDocument/2006/relationships/hyperlink" Target="mailto:essa@doe.nj.gov" TargetMode="External"/><Relationship Id="rId58" Type="http://schemas.openxmlformats.org/officeDocument/2006/relationships/hyperlink" Target="https://www.nj.gov/education/grants/opportunities/2018/18-EK40-H05.shtml"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diagramData" Target="diagrams/data1.xml"/><Relationship Id="rId28" Type="http://schemas.openxmlformats.org/officeDocument/2006/relationships/image" Target="media/image6.jpeg"/><Relationship Id="rId36" Type="http://schemas.openxmlformats.org/officeDocument/2006/relationships/image" Target="media/image7.png"/><Relationship Id="rId49" Type="http://schemas.openxmlformats.org/officeDocument/2006/relationships/hyperlink" Target="https://www.state.nj.us/education/homeless/index.shtml" TargetMode="External"/><Relationship Id="rId57" Type="http://schemas.openxmlformats.org/officeDocument/2006/relationships/hyperlink" Target="https://www.nj.gov/education/essanj/docs/StakeholderGuidance.pdf"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www.nj.gov/education/title1/accountability/" TargetMode="External"/><Relationship Id="rId44" Type="http://schemas.openxmlformats.org/officeDocument/2006/relationships/hyperlink" Target="https://www.state.nj.us/education/code/current/title6a/chap17.pdf" TargetMode="External"/><Relationship Id="rId52" Type="http://schemas.openxmlformats.org/officeDocument/2006/relationships/footer" Target="footer3.xml"/><Relationship Id="rId60" Type="http://schemas.openxmlformats.org/officeDocument/2006/relationships/hyperlink" Target="mailto:reportcard@doe.nj.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ssa@doe.nj.gov" TargetMode="External"/><Relationship Id="rId22" Type="http://schemas.openxmlformats.org/officeDocument/2006/relationships/hyperlink" Target="https://oese.ed.gov/files/2020/04/njfy19performancereviewreport.pdf" TargetMode="External"/><Relationship Id="rId27" Type="http://schemas.microsoft.com/office/2007/relationships/diagramDrawing" Target="diagrams/drawing1.xml"/><Relationship Id="rId30" Type="http://schemas.openxmlformats.org/officeDocument/2006/relationships/hyperlink" Target="https://www.nj.gov/education/title1/accountability/" TargetMode="External"/><Relationship Id="rId35" Type="http://schemas.openxmlformats.org/officeDocument/2006/relationships/hyperlink" Target="https://www.nj.gov/education/chartsch/accountability/docs/PerformanceFramework.pdf" TargetMode="External"/><Relationship Id="rId43" Type="http://schemas.openxmlformats.org/officeDocument/2006/relationships/hyperlink" Target="https://www.nj.gov/education/essanj/" TargetMode="External"/><Relationship Id="rId48" Type="http://schemas.openxmlformats.org/officeDocument/2006/relationships/hyperlink" Target="mailto:Mckinney.Vento@doe.nj.gov" TargetMode="External"/><Relationship Id="rId56" Type="http://schemas.openxmlformats.org/officeDocument/2006/relationships/hyperlink" Target="https://nj.gov/education/safety/sandp/attendance/docs/DataBasedDecisionMakingChronicAbsenteeism.pdf" TargetMode="Externa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diagramQuickStyle" Target="diagrams/quickStyle1.xml"/><Relationship Id="rId33" Type="http://schemas.openxmlformats.org/officeDocument/2006/relationships/hyperlink" Target="https://www.nj.gov/education/title1/accountability/" TargetMode="External"/><Relationship Id="rId38" Type="http://schemas.openxmlformats.org/officeDocument/2006/relationships/hyperlink" Target="https://www.nj.gov/education/federalfunding/examples/njtss/index.shtml" TargetMode="External"/><Relationship Id="rId46" Type="http://schemas.openxmlformats.org/officeDocument/2006/relationships/hyperlink" Target="https://www.nj.gov/education/homeless/grantees/" TargetMode="External"/><Relationship Id="rId59" Type="http://schemas.openxmlformats.org/officeDocument/2006/relationships/hyperlink" Target="https://rc.doe.state.nj.u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onsortium.uchicago.edu/sites/default/files/publications/Pre-K%20Attendance%20Research%20Summary.pdf" TargetMode="External"/><Relationship Id="rId2" Type="http://schemas.openxmlformats.org/officeDocument/2006/relationships/hyperlink" Target="https://www.brookings.edu/wp-content/uploads/2016/10/es_20161027_chronic_absenteeism.pdf" TargetMode="External"/><Relationship Id="rId1" Type="http://schemas.openxmlformats.org/officeDocument/2006/relationships/hyperlink" Target="https://www.brookings.edu/wp-content/uploads/2016/10/es_20161027_chronic_absenteeism.pdf" TargetMode="External"/><Relationship Id="rId5" Type="http://schemas.openxmlformats.org/officeDocument/2006/relationships/hyperlink" Target="https://consortium.uchicago.edu/sites/default/files/2019-11/5%20Key%20Findings-MG-Final.pdf" TargetMode="External"/><Relationship Id="rId4" Type="http://schemas.openxmlformats.org/officeDocument/2006/relationships/hyperlink" Target="https://ies.ed.gov/ncee/edlabs/regions/west/relwestFiles/pdf/508_ChronicAbsenteeism_NatlSummary_Balfanz_Byrnes_2012.pdf" TargetMode="Externa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185996-9BA9-4BAC-AD7F-48C5C8F08226}" type="doc">
      <dgm:prSet loTypeId="urn:microsoft.com/office/officeart/2005/8/layout/default#1" loCatId="list" qsTypeId="urn:microsoft.com/office/officeart/2005/8/quickstyle/simple1" qsCatId="simple" csTypeId="urn:microsoft.com/office/officeart/2005/8/colors/accent5_2" csCatId="accent5" phldr="1"/>
      <dgm:spPr/>
      <dgm:t>
        <a:bodyPr/>
        <a:lstStyle/>
        <a:p>
          <a:endParaRPr lang="en-US"/>
        </a:p>
      </dgm:t>
    </dgm:pt>
    <dgm:pt modelId="{6414652F-1DA1-4172-B14D-19A542275A7D}">
      <dgm:prSet phldrT="[Text]" phldr="0"/>
      <dgm:spPr/>
      <dgm:t>
        <a:bodyPr/>
        <a:lstStyle/>
        <a:p>
          <a:pPr rtl="0"/>
          <a:r>
            <a:rPr lang="en-US" dirty="0">
              <a:latin typeface="Times New Roman" panose="02020603050405020304" pitchFamily="18" charset="0"/>
              <a:cs typeface="Times New Roman" panose="02020603050405020304" pitchFamily="18" charset="0"/>
            </a:rPr>
            <a:t>Use best available metrics, while accounting for inherent limitations of data</a:t>
          </a:r>
        </a:p>
      </dgm:t>
    </dgm:pt>
    <dgm:pt modelId="{5FA62C6E-238E-420D-B7AC-502DEE6FF281}" type="parTrans" cxnId="{EBF83F10-13FC-4A99-9738-FEA45B823DB7}">
      <dgm:prSet/>
      <dgm:spPr/>
      <dgm:t>
        <a:bodyPr/>
        <a:lstStyle/>
        <a:p>
          <a:endParaRPr lang="en-US"/>
        </a:p>
      </dgm:t>
    </dgm:pt>
    <dgm:pt modelId="{4288B291-556E-4AC8-A2A6-7DF0AAE76EFE}" type="sibTrans" cxnId="{EBF83F10-13FC-4A99-9738-FEA45B823DB7}">
      <dgm:prSet/>
      <dgm:spPr/>
      <dgm:t>
        <a:bodyPr/>
        <a:lstStyle/>
        <a:p>
          <a:endParaRPr lang="en-US"/>
        </a:p>
      </dgm:t>
    </dgm:pt>
    <dgm:pt modelId="{B958AA60-5997-45FE-90E5-BB483F5B256B}">
      <dgm:prSet phldrT="[Text]" phldr="0"/>
      <dgm:spPr/>
      <dgm:t>
        <a:bodyPr/>
        <a:lstStyle/>
        <a:p>
          <a:pPr rtl="0"/>
          <a:r>
            <a:rPr lang="en-US" dirty="0">
              <a:latin typeface="Times New Roman" panose="02020603050405020304" pitchFamily="18" charset="0"/>
              <a:cs typeface="Times New Roman" panose="02020603050405020304" pitchFamily="18" charset="0"/>
            </a:rPr>
            <a:t>Make changes through an iterative process</a:t>
          </a:r>
        </a:p>
      </dgm:t>
    </dgm:pt>
    <dgm:pt modelId="{2A1CE2BA-50FC-4EF1-9C2E-DED807A83B51}" type="parTrans" cxnId="{7FF27F50-4510-4EF0-9ADE-4B419F1A931C}">
      <dgm:prSet/>
      <dgm:spPr/>
      <dgm:t>
        <a:bodyPr/>
        <a:lstStyle/>
        <a:p>
          <a:endParaRPr lang="en-US"/>
        </a:p>
      </dgm:t>
    </dgm:pt>
    <dgm:pt modelId="{85E16430-880F-4ED4-9CE7-8474D45B712F}" type="sibTrans" cxnId="{7FF27F50-4510-4EF0-9ADE-4B419F1A931C}">
      <dgm:prSet/>
      <dgm:spPr/>
      <dgm:t>
        <a:bodyPr/>
        <a:lstStyle/>
        <a:p>
          <a:endParaRPr lang="en-US"/>
        </a:p>
      </dgm:t>
    </dgm:pt>
    <dgm:pt modelId="{F697A02E-23FE-42EF-B6A4-955009F72A4F}">
      <dgm:prSet phldrT="[Text]" phldr="0"/>
      <dgm:spPr/>
      <dgm:t>
        <a:bodyPr/>
        <a:lstStyle/>
        <a:p>
          <a:pPr rtl="0"/>
          <a:r>
            <a:rPr lang="en-US" dirty="0">
              <a:latin typeface="Times New Roman" panose="02020603050405020304" pitchFamily="18" charset="0"/>
              <a:cs typeface="Times New Roman" panose="02020603050405020304" pitchFamily="18" charset="0"/>
            </a:rPr>
            <a:t>Provide a comprehensive view of school performance</a:t>
          </a:r>
        </a:p>
      </dgm:t>
    </dgm:pt>
    <dgm:pt modelId="{987B1FFE-D38D-4402-9E61-4ABEFB987AD2}" type="parTrans" cxnId="{EE9522B7-34FE-49CB-BF7E-483C43F337A6}">
      <dgm:prSet/>
      <dgm:spPr/>
      <dgm:t>
        <a:bodyPr/>
        <a:lstStyle/>
        <a:p>
          <a:endParaRPr lang="en-US"/>
        </a:p>
      </dgm:t>
    </dgm:pt>
    <dgm:pt modelId="{E1543BF5-B7E5-425D-BD80-491C96867EA9}" type="sibTrans" cxnId="{EE9522B7-34FE-49CB-BF7E-483C43F337A6}">
      <dgm:prSet/>
      <dgm:spPr/>
      <dgm:t>
        <a:bodyPr/>
        <a:lstStyle/>
        <a:p>
          <a:endParaRPr lang="en-US"/>
        </a:p>
      </dgm:t>
    </dgm:pt>
    <dgm:pt modelId="{45435968-9D9C-43C5-885D-97DEEB21199E}">
      <dgm:prSet phldrT="[Text]" phldr="0"/>
      <dgm:spPr/>
      <dgm:t>
        <a:bodyPr/>
        <a:lstStyle/>
        <a:p>
          <a:pPr rtl="0"/>
          <a:r>
            <a:rPr lang="en-US" dirty="0">
              <a:latin typeface="Times New Roman" panose="02020603050405020304" pitchFamily="18" charset="0"/>
              <a:cs typeface="Times New Roman" panose="02020603050405020304" pitchFamily="18" charset="0"/>
            </a:rPr>
            <a:t>Differentiate among schools as fairly as possible</a:t>
          </a:r>
        </a:p>
      </dgm:t>
    </dgm:pt>
    <dgm:pt modelId="{217A1050-586B-4864-AC60-20F8A5B78F56}" type="parTrans" cxnId="{6B794C20-7155-4C4E-8D3F-8CBDA3747EC1}">
      <dgm:prSet/>
      <dgm:spPr/>
      <dgm:t>
        <a:bodyPr/>
        <a:lstStyle/>
        <a:p>
          <a:endParaRPr lang="en-US"/>
        </a:p>
      </dgm:t>
    </dgm:pt>
    <dgm:pt modelId="{0DDC42E6-E72F-4EDC-813C-87FBB5A91B75}" type="sibTrans" cxnId="{6B794C20-7155-4C4E-8D3F-8CBDA3747EC1}">
      <dgm:prSet/>
      <dgm:spPr/>
      <dgm:t>
        <a:bodyPr/>
        <a:lstStyle/>
        <a:p>
          <a:endParaRPr lang="en-US"/>
        </a:p>
      </dgm:t>
    </dgm:pt>
    <dgm:pt modelId="{77DF6B3D-63AD-4624-B74D-57FE52448119}">
      <dgm:prSet phldr="0"/>
      <dgm:spPr/>
      <dgm:t>
        <a:bodyPr/>
        <a:lstStyle/>
        <a:p>
          <a:pPr rtl="0"/>
          <a:r>
            <a:rPr lang="en-US" dirty="0">
              <a:latin typeface="Times New Roman" panose="02020603050405020304" pitchFamily="18" charset="0"/>
              <a:cs typeface="Times New Roman" panose="02020603050405020304" pitchFamily="18" charset="0"/>
            </a:rPr>
            <a:t>Adhere to Federal and State laws</a:t>
          </a:r>
        </a:p>
      </dgm:t>
    </dgm:pt>
    <dgm:pt modelId="{3605FDA0-4FA8-4CCB-A53E-CA2B2484340B}" type="parTrans" cxnId="{EFA783CC-C392-475D-9636-047919C50DF0}">
      <dgm:prSet/>
      <dgm:spPr/>
      <dgm:t>
        <a:bodyPr/>
        <a:lstStyle/>
        <a:p>
          <a:endParaRPr lang="en-US"/>
        </a:p>
      </dgm:t>
    </dgm:pt>
    <dgm:pt modelId="{485FCD16-0BA1-492F-BA5E-A5A544D26A56}" type="sibTrans" cxnId="{EFA783CC-C392-475D-9636-047919C50DF0}">
      <dgm:prSet/>
      <dgm:spPr/>
      <dgm:t>
        <a:bodyPr/>
        <a:lstStyle/>
        <a:p>
          <a:endParaRPr lang="en-US"/>
        </a:p>
      </dgm:t>
    </dgm:pt>
    <dgm:pt modelId="{76A58850-9A36-40A5-9A07-C8F621F08B29}">
      <dgm:prSet phldrT="[Text]" phldr="0"/>
      <dgm:spPr/>
      <dgm:t>
        <a:bodyPr/>
        <a:lstStyle/>
        <a:p>
          <a:r>
            <a:rPr lang="en-US" dirty="0">
              <a:latin typeface="Times New Roman" panose="02020603050405020304" pitchFamily="18" charset="0"/>
              <a:cs typeface="Times New Roman" panose="02020603050405020304" pitchFamily="18" charset="0"/>
            </a:rPr>
            <a:t>Measure what matters</a:t>
          </a:r>
        </a:p>
      </dgm:t>
    </dgm:pt>
    <dgm:pt modelId="{E2857120-D5AE-4B50-88D0-653E69410254}" type="sibTrans" cxnId="{8BA5BAC7-E63A-4FCB-88E4-564F791698B4}">
      <dgm:prSet/>
      <dgm:spPr/>
      <dgm:t>
        <a:bodyPr/>
        <a:lstStyle/>
        <a:p>
          <a:endParaRPr lang="en-US"/>
        </a:p>
      </dgm:t>
    </dgm:pt>
    <dgm:pt modelId="{50ADB38C-2E95-428B-B659-67BD9838320A}" type="parTrans" cxnId="{8BA5BAC7-E63A-4FCB-88E4-564F791698B4}">
      <dgm:prSet/>
      <dgm:spPr/>
      <dgm:t>
        <a:bodyPr/>
        <a:lstStyle/>
        <a:p>
          <a:endParaRPr lang="en-US"/>
        </a:p>
      </dgm:t>
    </dgm:pt>
    <dgm:pt modelId="{BB2B91FE-6E30-4124-800F-09BAC4126A3D}" type="pres">
      <dgm:prSet presAssocID="{E0185996-9BA9-4BAC-AD7F-48C5C8F08226}" presName="diagram" presStyleCnt="0">
        <dgm:presLayoutVars>
          <dgm:dir/>
          <dgm:resizeHandles val="exact"/>
        </dgm:presLayoutVars>
      </dgm:prSet>
      <dgm:spPr/>
    </dgm:pt>
    <dgm:pt modelId="{4116CC9D-EE52-483C-A2E0-085B86DF6B73}" type="pres">
      <dgm:prSet presAssocID="{76A58850-9A36-40A5-9A07-C8F621F08B29}" presName="node" presStyleLbl="node1" presStyleIdx="0" presStyleCnt="6" custScaleX="112672" custLinFactNeighborX="3424" custLinFactNeighborY="4146">
        <dgm:presLayoutVars>
          <dgm:bulletEnabled val="1"/>
        </dgm:presLayoutVars>
      </dgm:prSet>
      <dgm:spPr/>
    </dgm:pt>
    <dgm:pt modelId="{79C28CCA-8FF4-4B2C-A92C-A2C17CD69BC9}" type="pres">
      <dgm:prSet presAssocID="{E2857120-D5AE-4B50-88D0-653E69410254}" presName="sibTrans" presStyleCnt="0"/>
      <dgm:spPr/>
    </dgm:pt>
    <dgm:pt modelId="{827A475B-292F-4C28-A96A-DEEDAF94467D}" type="pres">
      <dgm:prSet presAssocID="{6414652F-1DA1-4172-B14D-19A542275A7D}" presName="node" presStyleLbl="node1" presStyleIdx="1" presStyleCnt="6" custScaleX="112672" custLinFactNeighborX="285" custLinFactNeighborY="4144">
        <dgm:presLayoutVars>
          <dgm:bulletEnabled val="1"/>
        </dgm:presLayoutVars>
      </dgm:prSet>
      <dgm:spPr/>
    </dgm:pt>
    <dgm:pt modelId="{919B1D39-1EB9-4866-B698-BBD3200D47ED}" type="pres">
      <dgm:prSet presAssocID="{4288B291-556E-4AC8-A2A6-7DF0AAE76EFE}" presName="sibTrans" presStyleCnt="0"/>
      <dgm:spPr/>
    </dgm:pt>
    <dgm:pt modelId="{C9A2DA5E-735A-401D-9656-CB8934ADB4AF}" type="pres">
      <dgm:prSet presAssocID="{B958AA60-5997-45FE-90E5-BB483F5B256B}" presName="node" presStyleLbl="node1" presStyleIdx="2" presStyleCnt="6" custScaleX="112672" custLinFactNeighborX="-2765" custLinFactNeighborY="4002">
        <dgm:presLayoutVars>
          <dgm:bulletEnabled val="1"/>
        </dgm:presLayoutVars>
      </dgm:prSet>
      <dgm:spPr/>
    </dgm:pt>
    <dgm:pt modelId="{241D596B-E376-438A-8D02-C7B6F731F705}" type="pres">
      <dgm:prSet presAssocID="{85E16430-880F-4ED4-9CE7-8474D45B712F}" presName="sibTrans" presStyleCnt="0"/>
      <dgm:spPr/>
    </dgm:pt>
    <dgm:pt modelId="{EC5F1DD0-992B-4DFC-8378-D017FC18B989}" type="pres">
      <dgm:prSet presAssocID="{F697A02E-23FE-42EF-B6A4-955009F72A4F}" presName="node" presStyleLbl="node1" presStyleIdx="3" presStyleCnt="6" custScaleX="112672" custLinFactNeighborX="3683" custLinFactNeighborY="-3311">
        <dgm:presLayoutVars>
          <dgm:bulletEnabled val="1"/>
        </dgm:presLayoutVars>
      </dgm:prSet>
      <dgm:spPr/>
    </dgm:pt>
    <dgm:pt modelId="{C6E3FA3F-1BB5-4F10-B0E2-BB645E8794AC}" type="pres">
      <dgm:prSet presAssocID="{E1543BF5-B7E5-425D-BD80-491C96867EA9}" presName="sibTrans" presStyleCnt="0"/>
      <dgm:spPr/>
    </dgm:pt>
    <dgm:pt modelId="{55F85C59-6EED-48E2-9904-A9BDCA7A73C9}" type="pres">
      <dgm:prSet presAssocID="{45435968-9D9C-43C5-885D-97DEEB21199E}" presName="node" presStyleLbl="node1" presStyleIdx="4" presStyleCnt="6" custScaleX="112672" custLinFactNeighborY="-3339">
        <dgm:presLayoutVars>
          <dgm:bulletEnabled val="1"/>
        </dgm:presLayoutVars>
      </dgm:prSet>
      <dgm:spPr/>
    </dgm:pt>
    <dgm:pt modelId="{A9B7D9D5-5C3B-4E87-8F36-1EA1E9812B05}" type="pres">
      <dgm:prSet presAssocID="{0DDC42E6-E72F-4EDC-813C-87FBB5A91B75}" presName="sibTrans" presStyleCnt="0"/>
      <dgm:spPr/>
    </dgm:pt>
    <dgm:pt modelId="{88E066AD-A78C-4F46-A010-EED2F3E642CA}" type="pres">
      <dgm:prSet presAssocID="{77DF6B3D-63AD-4624-B74D-57FE52448119}" presName="node" presStyleLbl="node1" presStyleIdx="5" presStyleCnt="6" custScaleX="112672" custLinFactNeighborX="-2657" custLinFactNeighborY="-3310">
        <dgm:presLayoutVars>
          <dgm:bulletEnabled val="1"/>
        </dgm:presLayoutVars>
      </dgm:prSet>
      <dgm:spPr/>
    </dgm:pt>
  </dgm:ptLst>
  <dgm:cxnLst>
    <dgm:cxn modelId="{EBF83F10-13FC-4A99-9738-FEA45B823DB7}" srcId="{E0185996-9BA9-4BAC-AD7F-48C5C8F08226}" destId="{6414652F-1DA1-4172-B14D-19A542275A7D}" srcOrd="1" destOrd="0" parTransId="{5FA62C6E-238E-420D-B7AC-502DEE6FF281}" sibTransId="{4288B291-556E-4AC8-A2A6-7DF0AAE76EFE}"/>
    <dgm:cxn modelId="{6B794C20-7155-4C4E-8D3F-8CBDA3747EC1}" srcId="{E0185996-9BA9-4BAC-AD7F-48C5C8F08226}" destId="{45435968-9D9C-43C5-885D-97DEEB21199E}" srcOrd="4" destOrd="0" parTransId="{217A1050-586B-4864-AC60-20F8A5B78F56}" sibTransId="{0DDC42E6-E72F-4EDC-813C-87FBB5A91B75}"/>
    <dgm:cxn modelId="{9FD9314C-2B8B-491B-87C6-EF9E85082E5D}" type="presOf" srcId="{45435968-9D9C-43C5-885D-97DEEB21199E}" destId="{55F85C59-6EED-48E2-9904-A9BDCA7A73C9}" srcOrd="0" destOrd="0" presId="urn:microsoft.com/office/officeart/2005/8/layout/default#1"/>
    <dgm:cxn modelId="{7FF27F50-4510-4EF0-9ADE-4B419F1A931C}" srcId="{E0185996-9BA9-4BAC-AD7F-48C5C8F08226}" destId="{B958AA60-5997-45FE-90E5-BB483F5B256B}" srcOrd="2" destOrd="0" parTransId="{2A1CE2BA-50FC-4EF1-9C2E-DED807A83B51}" sibTransId="{85E16430-880F-4ED4-9CE7-8474D45B712F}"/>
    <dgm:cxn modelId="{F65D8751-AA21-4845-BBC0-5781FB20DC95}" type="presOf" srcId="{F697A02E-23FE-42EF-B6A4-955009F72A4F}" destId="{EC5F1DD0-992B-4DFC-8378-D017FC18B989}" srcOrd="0" destOrd="0" presId="urn:microsoft.com/office/officeart/2005/8/layout/default#1"/>
    <dgm:cxn modelId="{A228AF77-05CB-4D01-B763-492EA7AC1F6B}" type="presOf" srcId="{77DF6B3D-63AD-4624-B74D-57FE52448119}" destId="{88E066AD-A78C-4F46-A010-EED2F3E642CA}" srcOrd="0" destOrd="0" presId="urn:microsoft.com/office/officeart/2005/8/layout/default#1"/>
    <dgm:cxn modelId="{96CA4A98-1C70-4A69-904F-1F286F71CB07}" type="presOf" srcId="{E0185996-9BA9-4BAC-AD7F-48C5C8F08226}" destId="{BB2B91FE-6E30-4124-800F-09BAC4126A3D}" srcOrd="0" destOrd="0" presId="urn:microsoft.com/office/officeart/2005/8/layout/default#1"/>
    <dgm:cxn modelId="{EE9522B7-34FE-49CB-BF7E-483C43F337A6}" srcId="{E0185996-9BA9-4BAC-AD7F-48C5C8F08226}" destId="{F697A02E-23FE-42EF-B6A4-955009F72A4F}" srcOrd="3" destOrd="0" parTransId="{987B1FFE-D38D-4402-9E61-4ABEFB987AD2}" sibTransId="{E1543BF5-B7E5-425D-BD80-491C96867EA9}"/>
    <dgm:cxn modelId="{DBEBCDC3-7B5E-49EE-8274-F42BD7875BF2}" type="presOf" srcId="{B958AA60-5997-45FE-90E5-BB483F5B256B}" destId="{C9A2DA5E-735A-401D-9656-CB8934ADB4AF}" srcOrd="0" destOrd="0" presId="urn:microsoft.com/office/officeart/2005/8/layout/default#1"/>
    <dgm:cxn modelId="{8BA5BAC7-E63A-4FCB-88E4-564F791698B4}" srcId="{E0185996-9BA9-4BAC-AD7F-48C5C8F08226}" destId="{76A58850-9A36-40A5-9A07-C8F621F08B29}" srcOrd="0" destOrd="0" parTransId="{50ADB38C-2E95-428B-B659-67BD9838320A}" sibTransId="{E2857120-D5AE-4B50-88D0-653E69410254}"/>
    <dgm:cxn modelId="{EFA783CC-C392-475D-9636-047919C50DF0}" srcId="{E0185996-9BA9-4BAC-AD7F-48C5C8F08226}" destId="{77DF6B3D-63AD-4624-B74D-57FE52448119}" srcOrd="5" destOrd="0" parTransId="{3605FDA0-4FA8-4CCB-A53E-CA2B2484340B}" sibTransId="{485FCD16-0BA1-492F-BA5E-A5A544D26A56}"/>
    <dgm:cxn modelId="{212B8AE0-FE95-478B-BF0C-F6DD9D2A351B}" type="presOf" srcId="{6414652F-1DA1-4172-B14D-19A542275A7D}" destId="{827A475B-292F-4C28-A96A-DEEDAF94467D}" srcOrd="0" destOrd="0" presId="urn:microsoft.com/office/officeart/2005/8/layout/default#1"/>
    <dgm:cxn modelId="{5D1895E6-2112-4277-B229-73BDB69C5768}" type="presOf" srcId="{76A58850-9A36-40A5-9A07-C8F621F08B29}" destId="{4116CC9D-EE52-483C-A2E0-085B86DF6B73}" srcOrd="0" destOrd="0" presId="urn:microsoft.com/office/officeart/2005/8/layout/default#1"/>
    <dgm:cxn modelId="{FD45C977-1571-4F82-9AE4-B0EF37457026}" type="presParOf" srcId="{BB2B91FE-6E30-4124-800F-09BAC4126A3D}" destId="{4116CC9D-EE52-483C-A2E0-085B86DF6B73}" srcOrd="0" destOrd="0" presId="urn:microsoft.com/office/officeart/2005/8/layout/default#1"/>
    <dgm:cxn modelId="{10089D81-2A1F-4219-A3DB-B6DEDC84EED0}" type="presParOf" srcId="{BB2B91FE-6E30-4124-800F-09BAC4126A3D}" destId="{79C28CCA-8FF4-4B2C-A92C-A2C17CD69BC9}" srcOrd="1" destOrd="0" presId="urn:microsoft.com/office/officeart/2005/8/layout/default#1"/>
    <dgm:cxn modelId="{5ACB74FB-617D-4179-B6FA-DF0582D1EBA8}" type="presParOf" srcId="{BB2B91FE-6E30-4124-800F-09BAC4126A3D}" destId="{827A475B-292F-4C28-A96A-DEEDAF94467D}" srcOrd="2" destOrd="0" presId="urn:microsoft.com/office/officeart/2005/8/layout/default#1"/>
    <dgm:cxn modelId="{71A46AC6-443E-43F9-B8A6-8D78A54C2A2B}" type="presParOf" srcId="{BB2B91FE-6E30-4124-800F-09BAC4126A3D}" destId="{919B1D39-1EB9-4866-B698-BBD3200D47ED}" srcOrd="3" destOrd="0" presId="urn:microsoft.com/office/officeart/2005/8/layout/default#1"/>
    <dgm:cxn modelId="{85173271-1D99-4847-8B1F-096FB5B9D5EC}" type="presParOf" srcId="{BB2B91FE-6E30-4124-800F-09BAC4126A3D}" destId="{C9A2DA5E-735A-401D-9656-CB8934ADB4AF}" srcOrd="4" destOrd="0" presId="urn:microsoft.com/office/officeart/2005/8/layout/default#1"/>
    <dgm:cxn modelId="{883386F3-6D70-4DD8-B5F4-63DE1B6B4B81}" type="presParOf" srcId="{BB2B91FE-6E30-4124-800F-09BAC4126A3D}" destId="{241D596B-E376-438A-8D02-C7B6F731F705}" srcOrd="5" destOrd="0" presId="urn:microsoft.com/office/officeart/2005/8/layout/default#1"/>
    <dgm:cxn modelId="{34FD9E38-DB2F-4273-B3A0-CC3D1FF396CD}" type="presParOf" srcId="{BB2B91FE-6E30-4124-800F-09BAC4126A3D}" destId="{EC5F1DD0-992B-4DFC-8378-D017FC18B989}" srcOrd="6" destOrd="0" presId="urn:microsoft.com/office/officeart/2005/8/layout/default#1"/>
    <dgm:cxn modelId="{5681F1BA-5CB0-46C5-8789-4AB3A19C3EA0}" type="presParOf" srcId="{BB2B91FE-6E30-4124-800F-09BAC4126A3D}" destId="{C6E3FA3F-1BB5-4F10-B0E2-BB645E8794AC}" srcOrd="7" destOrd="0" presId="urn:microsoft.com/office/officeart/2005/8/layout/default#1"/>
    <dgm:cxn modelId="{62813F6B-374C-41D4-BD90-39CA37A39C6B}" type="presParOf" srcId="{BB2B91FE-6E30-4124-800F-09BAC4126A3D}" destId="{55F85C59-6EED-48E2-9904-A9BDCA7A73C9}" srcOrd="8" destOrd="0" presId="urn:microsoft.com/office/officeart/2005/8/layout/default#1"/>
    <dgm:cxn modelId="{CAD9BC9E-30A9-4812-848F-3D5F27FFEF3A}" type="presParOf" srcId="{BB2B91FE-6E30-4124-800F-09BAC4126A3D}" destId="{A9B7D9D5-5C3B-4E87-8F36-1EA1E9812B05}" srcOrd="9" destOrd="0" presId="urn:microsoft.com/office/officeart/2005/8/layout/default#1"/>
    <dgm:cxn modelId="{DE2952A0-17EB-446C-A0FB-F120043A7135}" type="presParOf" srcId="{BB2B91FE-6E30-4124-800F-09BAC4126A3D}" destId="{88E066AD-A78C-4F46-A010-EED2F3E642CA}" srcOrd="10" destOrd="0" presId="urn:microsoft.com/office/officeart/2005/8/layout/defaul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16CC9D-EE52-483C-A2E0-085B86DF6B73}">
      <dsp:nvSpPr>
        <dsp:cNvPr id="0" name=""/>
        <dsp:cNvSpPr/>
      </dsp:nvSpPr>
      <dsp:spPr>
        <a:xfrm>
          <a:off x="217748" y="34823"/>
          <a:ext cx="1516671" cy="80765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Times New Roman" panose="02020603050405020304" pitchFamily="18" charset="0"/>
              <a:cs typeface="Times New Roman" panose="02020603050405020304" pitchFamily="18" charset="0"/>
            </a:rPr>
            <a:t>Measure what matters</a:t>
          </a:r>
        </a:p>
      </dsp:txBody>
      <dsp:txXfrm>
        <a:off x="217748" y="34823"/>
        <a:ext cx="1516671" cy="807656"/>
      </dsp:txXfrm>
    </dsp:sp>
    <dsp:sp modelId="{827A475B-292F-4C28-A96A-DEEDAF94467D}">
      <dsp:nvSpPr>
        <dsp:cNvPr id="0" name=""/>
        <dsp:cNvSpPr/>
      </dsp:nvSpPr>
      <dsp:spPr>
        <a:xfrm>
          <a:off x="1826775" y="34807"/>
          <a:ext cx="1516671" cy="80765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en-US" sz="1200" kern="1200" dirty="0">
              <a:latin typeface="Times New Roman" panose="02020603050405020304" pitchFamily="18" charset="0"/>
              <a:cs typeface="Times New Roman" panose="02020603050405020304" pitchFamily="18" charset="0"/>
            </a:rPr>
            <a:t>Use best available metrics, while accounting for inherent limitations of data</a:t>
          </a:r>
        </a:p>
      </dsp:txBody>
      <dsp:txXfrm>
        <a:off x="1826775" y="34807"/>
        <a:ext cx="1516671" cy="807656"/>
      </dsp:txXfrm>
    </dsp:sp>
    <dsp:sp modelId="{C9A2DA5E-735A-401D-9656-CB8934ADB4AF}">
      <dsp:nvSpPr>
        <dsp:cNvPr id="0" name=""/>
        <dsp:cNvSpPr/>
      </dsp:nvSpPr>
      <dsp:spPr>
        <a:xfrm>
          <a:off x="3437000" y="33660"/>
          <a:ext cx="1516671" cy="80765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en-US" sz="1200" kern="1200" dirty="0">
              <a:latin typeface="Times New Roman" panose="02020603050405020304" pitchFamily="18" charset="0"/>
              <a:cs typeface="Times New Roman" panose="02020603050405020304" pitchFamily="18" charset="0"/>
            </a:rPr>
            <a:t>Make changes through an iterative process</a:t>
          </a:r>
        </a:p>
      </dsp:txBody>
      <dsp:txXfrm>
        <a:off x="3437000" y="33660"/>
        <a:ext cx="1516671" cy="807656"/>
      </dsp:txXfrm>
    </dsp:sp>
    <dsp:sp modelId="{EC5F1DD0-992B-4DFC-8378-D017FC18B989}">
      <dsp:nvSpPr>
        <dsp:cNvPr id="0" name=""/>
        <dsp:cNvSpPr/>
      </dsp:nvSpPr>
      <dsp:spPr>
        <a:xfrm>
          <a:off x="221234" y="916863"/>
          <a:ext cx="1516671" cy="80765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en-US" sz="1200" kern="1200" dirty="0">
              <a:latin typeface="Times New Roman" panose="02020603050405020304" pitchFamily="18" charset="0"/>
              <a:cs typeface="Times New Roman" panose="02020603050405020304" pitchFamily="18" charset="0"/>
            </a:rPr>
            <a:t>Provide a comprehensive view of school performance</a:t>
          </a:r>
        </a:p>
      </dsp:txBody>
      <dsp:txXfrm>
        <a:off x="221234" y="916863"/>
        <a:ext cx="1516671" cy="807656"/>
      </dsp:txXfrm>
    </dsp:sp>
    <dsp:sp modelId="{55F85C59-6EED-48E2-9904-A9BDCA7A73C9}">
      <dsp:nvSpPr>
        <dsp:cNvPr id="0" name=""/>
        <dsp:cNvSpPr/>
      </dsp:nvSpPr>
      <dsp:spPr>
        <a:xfrm>
          <a:off x="1822939" y="916637"/>
          <a:ext cx="1516671" cy="80765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en-US" sz="1200" kern="1200" dirty="0">
              <a:latin typeface="Times New Roman" panose="02020603050405020304" pitchFamily="18" charset="0"/>
              <a:cs typeface="Times New Roman" panose="02020603050405020304" pitchFamily="18" charset="0"/>
            </a:rPr>
            <a:t>Differentiate among schools as fairly as possible</a:t>
          </a:r>
        </a:p>
      </dsp:txBody>
      <dsp:txXfrm>
        <a:off x="1822939" y="916637"/>
        <a:ext cx="1516671" cy="807656"/>
      </dsp:txXfrm>
    </dsp:sp>
    <dsp:sp modelId="{88E066AD-A78C-4F46-A010-EED2F3E642CA}">
      <dsp:nvSpPr>
        <dsp:cNvPr id="0" name=""/>
        <dsp:cNvSpPr/>
      </dsp:nvSpPr>
      <dsp:spPr>
        <a:xfrm>
          <a:off x="3438454" y="916871"/>
          <a:ext cx="1516671" cy="80765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en-US" sz="1200" kern="1200" dirty="0">
              <a:latin typeface="Times New Roman" panose="02020603050405020304" pitchFamily="18" charset="0"/>
              <a:cs typeface="Times New Roman" panose="02020603050405020304" pitchFamily="18" charset="0"/>
            </a:rPr>
            <a:t>Adhere to Federal and State laws</a:t>
          </a:r>
        </a:p>
      </dsp:txBody>
      <dsp:txXfrm>
        <a:off x="3438454" y="916871"/>
        <a:ext cx="1516671" cy="80765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contDir" val="sameDir"/>
          <dgm:param type="flowDir" val="row"/>
          <dgm:param type="grDir" val="tL"/>
          <dgm:param type="off" val="ctr"/>
        </dgm:alg>
      </dgm:if>
      <dgm:else name="Name2">
        <dgm:alg type="snake">
          <dgm:param type="contDir" val="sameDir"/>
          <dgm:param type="flowDir" val="row"/>
          <dgm:param type="grDir" val="t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607b4a9-cd0e-47c9-a480-4b50f42bfa5d">
      <Terms xmlns="http://schemas.microsoft.com/office/infopath/2007/PartnerControls"/>
    </lcf76f155ced4ddcb4097134ff3c332f>
    <_ip_UnifiedCompliancePolicyProperties xmlns="http://schemas.microsoft.com/sharepoint/v3" xsi:nil="true"/>
    <TaxCatchAll xmlns="c4be73a0-6699-4902-ac9a-94c7d891f17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9D79268244CFC49851E07AE846A2F63" ma:contentTypeVersion="21" ma:contentTypeDescription="Create a new document." ma:contentTypeScope="" ma:versionID="a293f4da4963fdba420633f8789a09a0">
  <xsd:schema xmlns:xsd="http://www.w3.org/2001/XMLSchema" xmlns:xs="http://www.w3.org/2001/XMLSchema" xmlns:p="http://schemas.microsoft.com/office/2006/metadata/properties" xmlns:ns1="http://schemas.microsoft.com/sharepoint/v3" xmlns:ns2="b607b4a9-cd0e-47c9-a480-4b50f42bfa5d" xmlns:ns3="c4be73a0-6699-4902-ac9a-94c7d891f177" targetNamespace="http://schemas.microsoft.com/office/2006/metadata/properties" ma:root="true" ma:fieldsID="8883a6cbb9c2adcc0d8face3fe519da3" ns1:_="" ns2:_="" ns3:_="">
    <xsd:import namespace="http://schemas.microsoft.com/sharepoint/v3"/>
    <xsd:import namespace="b607b4a9-cd0e-47c9-a480-4b50f42bfa5d"/>
    <xsd:import namespace="c4be73a0-6699-4902-ac9a-94c7d891f1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07b4a9-cd0e-47c9-a480-4b50f42bfa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829e9b-2c9c-4724-8f43-688495af2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be73a0-6699-4902-ac9a-94c7d891f1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1465245-6ed8-4702-8db5-011e37b148a1}" ma:internalName="TaxCatchAll" ma:showField="CatchAllData" ma:web="c4be73a0-6699-4902-ac9a-94c7d891f1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BA1542-A038-4019-B344-9E68CD66F199}">
  <ds:schemaRefs>
    <ds:schemaRef ds:uri="http://schemas.openxmlformats.org/officeDocument/2006/bibliography"/>
  </ds:schemaRefs>
</ds:datastoreItem>
</file>

<file path=customXml/itemProps2.xml><?xml version="1.0" encoding="utf-8"?>
<ds:datastoreItem xmlns:ds="http://schemas.openxmlformats.org/officeDocument/2006/customXml" ds:itemID="{BDB8297E-2DD0-4231-9B4C-2A16D01C9B0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B26946-38B0-47AD-AD71-82B03477D09E}">
  <ds:schemaRefs>
    <ds:schemaRef ds:uri="http://schemas.microsoft.com/sharepoint/v3/contenttype/forms"/>
  </ds:schemaRefs>
</ds:datastoreItem>
</file>

<file path=customXml/itemProps4.xml><?xml version="1.0" encoding="utf-8"?>
<ds:datastoreItem xmlns:ds="http://schemas.openxmlformats.org/officeDocument/2006/customXml" ds:itemID="{496B958C-B4D1-48E1-9F85-FA558AE2AB63}"/>
</file>

<file path=docProps/app.xml><?xml version="1.0" encoding="utf-8"?>
<Properties xmlns="http://schemas.openxmlformats.org/officeDocument/2006/extended-properties" xmlns:vt="http://schemas.openxmlformats.org/officeDocument/2006/docPropsVTypes">
  <Template>Normal</Template>
  <TotalTime>35</TotalTime>
  <Pages>201</Pages>
  <Words>72560</Words>
  <Characters>413596</Characters>
  <Application>Microsoft Office Word</Application>
  <DocSecurity>0</DocSecurity>
  <Lines>3446</Lines>
  <Paragraphs>970</Paragraphs>
  <ScaleCrop>false</ScaleCrop>
  <HeadingPairs>
    <vt:vector size="2" baseType="variant">
      <vt:variant>
        <vt:lpstr>Title</vt:lpstr>
      </vt:variant>
      <vt:variant>
        <vt:i4>1</vt:i4>
      </vt:variant>
    </vt:vector>
  </HeadingPairs>
  <TitlesOfParts>
    <vt:vector size="1" baseType="lpstr">
      <vt:lpstr>2024 New Jersey State ESSA Plan</vt:lpstr>
    </vt:vector>
  </TitlesOfParts>
  <Company>State of New Jersey</Company>
  <LinksUpToDate>false</LinksUpToDate>
  <CharactersWithSpaces>485186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New Jersey State ESSA Plan</dc:title>
  <dc:creator>New Jersey Department of Education</dc:creator>
  <cp:lastModifiedBy>Administrator</cp:lastModifiedBy>
  <cp:revision>25</cp:revision>
  <cp:lastPrinted>2025-03-07T00:09:00Z</cp:lastPrinted>
  <dcterms:created xsi:type="dcterms:W3CDTF">2025-05-29T19:20:00Z</dcterms:created>
  <dcterms:modified xsi:type="dcterms:W3CDTF">2025-10-10T08:10:00Z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0x010100E9D79268244CFC49851E07AE846A2F63</vt:lpwstr>
  </property>
  <property fmtid="{D5CDD505-2E9C-101B-9397-08002B2CF9AE}" pid="3" name="GrammarlyDocumentId">
    <vt:lpwstr>6e3455544d12b1e88530544784db043765ddf070e379b38babc3533f15a15d4d</vt:lpwstr>
  </property>
  <property fmtid="{D5CDD505-2E9C-101B-9397-08002B2CF9AE}" pid="4" name="UseMLCFooter">
    <vt:i4>1</vt:i4>
  </property>
</Properties>
</file>