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BD80C" w14:textId="7AF8B29F" w:rsidR="00485620" w:rsidRPr="005D4734" w:rsidRDefault="004F5411" w:rsidP="005D4734">
      <w:pPr>
        <w:pStyle w:val="Heading1"/>
        <w:spacing w:before="1600" w:after="2000"/>
        <w:ind w:left="-432" w:right="-288"/>
      </w:pPr>
      <w:bookmarkStart w:id="0" w:name="_Toc198630541"/>
      <w:bookmarkStart w:id="1" w:name="_Toc204259419"/>
      <w:bookmarkStart w:id="2" w:name="_Toc204259450"/>
      <w:r w:rsidRPr="005D4734">
        <w:t>Appendices</w:t>
      </w:r>
      <w:bookmarkEnd w:id="0"/>
      <w:r w:rsidR="00485620" w:rsidRPr="005D4734">
        <w:t xml:space="preserve"> for the </w:t>
      </w:r>
      <w:r w:rsidR="00485620" w:rsidRPr="005D4734">
        <w:br/>
        <w:t xml:space="preserve">New Jersey Literacy Framework: </w:t>
      </w:r>
      <w:r w:rsidR="00485620" w:rsidRPr="005D4734">
        <w:br/>
        <w:t xml:space="preserve">A Guide to High Quality </w:t>
      </w:r>
      <w:r w:rsidR="005D4734">
        <w:br/>
      </w:r>
      <w:r w:rsidR="00485620" w:rsidRPr="005D4734">
        <w:t>Instructional Materials</w:t>
      </w:r>
      <w:bookmarkEnd w:id="1"/>
      <w:bookmarkEnd w:id="2"/>
    </w:p>
    <w:p w14:paraId="03759D8B" w14:textId="42DC97E9" w:rsidR="00485620" w:rsidRPr="00485620" w:rsidRDefault="00485620" w:rsidP="00485620">
      <w:pPr>
        <w:jc w:val="center"/>
        <w:rPr>
          <w:sz w:val="44"/>
          <w:szCs w:val="40"/>
        </w:rPr>
      </w:pPr>
      <w:r w:rsidRPr="00485620">
        <w:rPr>
          <w:sz w:val="44"/>
          <w:szCs w:val="40"/>
        </w:rPr>
        <w:t>Office of Learning Equity and Academic Recovery</w:t>
      </w:r>
    </w:p>
    <w:p w14:paraId="689C4000" w14:textId="690F6CD1" w:rsidR="00485620" w:rsidRPr="00485620" w:rsidRDefault="00485620" w:rsidP="00485620">
      <w:pPr>
        <w:spacing w:after="240"/>
        <w:jc w:val="center"/>
        <w:rPr>
          <w:sz w:val="44"/>
          <w:szCs w:val="40"/>
        </w:rPr>
      </w:pPr>
      <w:r w:rsidRPr="00485620">
        <w:rPr>
          <w:sz w:val="44"/>
          <w:szCs w:val="40"/>
        </w:rPr>
        <w:t>New Jersey Department of Education</w:t>
      </w:r>
      <w:r>
        <w:rPr>
          <w:sz w:val="44"/>
          <w:szCs w:val="40"/>
        </w:rPr>
        <w:br w:type="page"/>
      </w:r>
    </w:p>
    <w:p w14:paraId="0E1EDE23" w14:textId="7D1763EE" w:rsidR="00072BFB" w:rsidRDefault="00203C35" w:rsidP="00DE38D2">
      <w:pPr>
        <w:pBdr>
          <w:top w:val="single" w:sz="4" w:space="4" w:color="auto"/>
          <w:left w:val="single" w:sz="4" w:space="4" w:color="auto"/>
          <w:bottom w:val="single" w:sz="4" w:space="4" w:color="auto"/>
          <w:right w:val="single" w:sz="4" w:space="4" w:color="auto"/>
        </w:pBdr>
        <w:shd w:val="clear" w:color="auto" w:fill="F2F2F2" w:themeFill="background1" w:themeFillShade="F2"/>
        <w:rPr>
          <w:sz w:val="36"/>
          <w:szCs w:val="36"/>
        </w:rPr>
      </w:pPr>
      <w:r w:rsidRPr="00072BFB">
        <w:rPr>
          <w:b/>
          <w:bCs/>
          <w:sz w:val="36"/>
          <w:szCs w:val="36"/>
        </w:rPr>
        <w:lastRenderedPageBreak/>
        <w:t>Note</w:t>
      </w:r>
      <w:r w:rsidRPr="00072BFB">
        <w:rPr>
          <w:sz w:val="36"/>
          <w:szCs w:val="36"/>
        </w:rPr>
        <w:t>: In th</w:t>
      </w:r>
      <w:r w:rsidR="00485620" w:rsidRPr="00072BFB">
        <w:rPr>
          <w:sz w:val="36"/>
          <w:szCs w:val="36"/>
        </w:rPr>
        <w:t>e</w:t>
      </w:r>
      <w:r w:rsidRPr="00072BFB">
        <w:rPr>
          <w:sz w:val="36"/>
          <w:szCs w:val="36"/>
        </w:rPr>
        <w:t xml:space="preserve"> </w:t>
      </w:r>
      <w:r w:rsidR="00072BFB" w:rsidRPr="00072BFB">
        <w:rPr>
          <w:i/>
          <w:iCs/>
          <w:sz w:val="36"/>
          <w:szCs w:val="36"/>
        </w:rPr>
        <w:t>New Jersey Literacy Framework: A Guide to High Quality Instructional Materials</w:t>
      </w:r>
      <w:r w:rsidR="00072BFB">
        <w:rPr>
          <w:sz w:val="36"/>
          <w:szCs w:val="36"/>
        </w:rPr>
        <w:t xml:space="preserve"> </w:t>
      </w:r>
      <w:r w:rsidRPr="00072BFB">
        <w:rPr>
          <w:sz w:val="36"/>
          <w:szCs w:val="36"/>
        </w:rPr>
        <w:t xml:space="preserve">PDF, Appendices A through C.2 </w:t>
      </w:r>
      <w:r w:rsidR="00485620" w:rsidRPr="00072BFB">
        <w:rPr>
          <w:sz w:val="36"/>
          <w:szCs w:val="36"/>
        </w:rPr>
        <w:t xml:space="preserve">were </w:t>
      </w:r>
      <w:r w:rsidR="00001BEA" w:rsidRPr="00072BFB">
        <w:rPr>
          <w:sz w:val="36"/>
          <w:szCs w:val="36"/>
        </w:rPr>
        <w:t xml:space="preserve">provided </w:t>
      </w:r>
      <w:r w:rsidR="00460967" w:rsidRPr="00072BFB">
        <w:rPr>
          <w:sz w:val="36"/>
          <w:szCs w:val="36"/>
        </w:rPr>
        <w:t>as samples</w:t>
      </w:r>
      <w:r w:rsidRPr="00072BFB">
        <w:rPr>
          <w:sz w:val="36"/>
          <w:szCs w:val="36"/>
        </w:rPr>
        <w:t xml:space="preserve">. </w:t>
      </w:r>
      <w:r w:rsidR="00485620" w:rsidRPr="00072BFB">
        <w:rPr>
          <w:sz w:val="36"/>
          <w:szCs w:val="36"/>
        </w:rPr>
        <w:t xml:space="preserve">This document provides </w:t>
      </w:r>
      <w:proofErr w:type="gramStart"/>
      <w:r w:rsidR="00485620" w:rsidRPr="00072BFB">
        <w:rPr>
          <w:sz w:val="36"/>
          <w:szCs w:val="36"/>
        </w:rPr>
        <w:t>the editable</w:t>
      </w:r>
      <w:proofErr w:type="gramEnd"/>
      <w:r w:rsidR="00485620" w:rsidRPr="00072BFB">
        <w:rPr>
          <w:sz w:val="36"/>
          <w:szCs w:val="36"/>
        </w:rPr>
        <w:t xml:space="preserve"> versions of </w:t>
      </w:r>
      <w:r w:rsidR="00072BFB">
        <w:rPr>
          <w:sz w:val="36"/>
          <w:szCs w:val="36"/>
        </w:rPr>
        <w:t>Appendices A through C.2</w:t>
      </w:r>
      <w:r w:rsidR="00072BFB">
        <w:rPr>
          <w:sz w:val="36"/>
          <w:szCs w:val="36"/>
        </w:rPr>
        <w:br w:type="page"/>
      </w:r>
    </w:p>
    <w:p w14:paraId="5BE2FE6A" w14:textId="77777777" w:rsidR="00072BFB" w:rsidRDefault="00072BFB" w:rsidP="00072BFB">
      <w:pPr>
        <w:pStyle w:val="Heading2"/>
      </w:pPr>
      <w:bookmarkStart w:id="3" w:name="_Toc204259451"/>
      <w:r w:rsidRPr="00072BFB">
        <w:t>Table of Contents</w:t>
      </w:r>
      <w:bookmarkEnd w:id="3"/>
    </w:p>
    <w:p w14:paraId="6F1ECB93" w14:textId="3D731BC1" w:rsidR="00072BFB" w:rsidRPr="00072BFB" w:rsidRDefault="00072BFB" w:rsidP="00072BFB">
      <w:pPr>
        <w:pStyle w:val="TOC1"/>
        <w:tabs>
          <w:tab w:val="right" w:leader="dot" w:pos="10070"/>
        </w:tabs>
        <w:spacing w:after="240"/>
        <w:rPr>
          <w:rFonts w:asciiTheme="minorHAnsi" w:eastAsiaTheme="minorEastAsia" w:hAnsiTheme="minorHAnsi" w:cstheme="minorBidi"/>
          <w:noProof/>
          <w:kern w:val="2"/>
          <w:sz w:val="28"/>
          <w:szCs w:val="28"/>
          <w14:ligatures w14:val="standardContextual"/>
        </w:rPr>
      </w:pPr>
      <w:r w:rsidRPr="00072BFB">
        <w:rPr>
          <w:sz w:val="28"/>
          <w:szCs w:val="24"/>
        </w:rPr>
        <w:fldChar w:fldCharType="begin"/>
      </w:r>
      <w:r w:rsidRPr="00072BFB">
        <w:rPr>
          <w:sz w:val="28"/>
          <w:szCs w:val="24"/>
        </w:rPr>
        <w:instrText xml:space="preserve"> TOC \o "1-2" \h \z \u </w:instrText>
      </w:r>
      <w:r w:rsidRPr="00072BFB">
        <w:rPr>
          <w:sz w:val="28"/>
          <w:szCs w:val="24"/>
        </w:rPr>
        <w:fldChar w:fldCharType="separate"/>
      </w:r>
      <w:hyperlink w:anchor="_Toc204259452" w:history="1">
        <w:r w:rsidRPr="00072BFB">
          <w:rPr>
            <w:rStyle w:val="Hyperlink"/>
            <w:noProof/>
            <w:sz w:val="28"/>
            <w:szCs w:val="24"/>
          </w:rPr>
          <w:t>Appendix A—HQIM Rubric</w:t>
        </w:r>
        <w:r w:rsidRPr="00072BFB">
          <w:rPr>
            <w:noProof/>
            <w:webHidden/>
            <w:sz w:val="28"/>
            <w:szCs w:val="24"/>
          </w:rPr>
          <w:tab/>
        </w:r>
        <w:r w:rsidRPr="00072BFB">
          <w:rPr>
            <w:noProof/>
            <w:webHidden/>
            <w:sz w:val="28"/>
            <w:szCs w:val="24"/>
          </w:rPr>
          <w:fldChar w:fldCharType="begin"/>
        </w:r>
        <w:r w:rsidRPr="00072BFB">
          <w:rPr>
            <w:noProof/>
            <w:webHidden/>
            <w:sz w:val="28"/>
            <w:szCs w:val="24"/>
          </w:rPr>
          <w:instrText xml:space="preserve"> PAGEREF _Toc204259452 \h </w:instrText>
        </w:r>
        <w:r w:rsidRPr="00072BFB">
          <w:rPr>
            <w:noProof/>
            <w:webHidden/>
            <w:sz w:val="28"/>
            <w:szCs w:val="24"/>
          </w:rPr>
        </w:r>
        <w:r w:rsidRPr="00072BFB">
          <w:rPr>
            <w:noProof/>
            <w:webHidden/>
            <w:sz w:val="28"/>
            <w:szCs w:val="24"/>
          </w:rPr>
          <w:fldChar w:fldCharType="separate"/>
        </w:r>
        <w:r w:rsidRPr="00072BFB">
          <w:rPr>
            <w:noProof/>
            <w:webHidden/>
            <w:sz w:val="28"/>
            <w:szCs w:val="24"/>
          </w:rPr>
          <w:t>4</w:t>
        </w:r>
        <w:r w:rsidRPr="00072BFB">
          <w:rPr>
            <w:noProof/>
            <w:webHidden/>
            <w:sz w:val="28"/>
            <w:szCs w:val="24"/>
          </w:rPr>
          <w:fldChar w:fldCharType="end"/>
        </w:r>
      </w:hyperlink>
    </w:p>
    <w:p w14:paraId="0B74C08A" w14:textId="212575C0" w:rsidR="00072BFB" w:rsidRPr="00072BFB" w:rsidRDefault="00072BFB" w:rsidP="00072BFB">
      <w:pPr>
        <w:pStyle w:val="TOC2"/>
        <w:tabs>
          <w:tab w:val="right" w:leader="dot" w:pos="10070"/>
        </w:tabs>
        <w:spacing w:after="240"/>
        <w:ind w:left="0"/>
        <w:rPr>
          <w:rFonts w:asciiTheme="minorHAnsi" w:eastAsiaTheme="minorEastAsia" w:hAnsiTheme="minorHAnsi" w:cstheme="minorBidi"/>
          <w:noProof/>
          <w:kern w:val="2"/>
          <w:sz w:val="28"/>
          <w:szCs w:val="28"/>
          <w14:ligatures w14:val="standardContextual"/>
        </w:rPr>
      </w:pPr>
      <w:hyperlink w:anchor="_Toc204259453" w:history="1">
        <w:r w:rsidRPr="00072BFB">
          <w:rPr>
            <w:rStyle w:val="Hyperlink"/>
            <w:noProof/>
            <w:sz w:val="28"/>
            <w:szCs w:val="24"/>
          </w:rPr>
          <w:t>Appendix B—HQIM Implementation Checklist</w:t>
        </w:r>
        <w:r w:rsidRPr="00072BFB">
          <w:rPr>
            <w:noProof/>
            <w:webHidden/>
            <w:sz w:val="28"/>
            <w:szCs w:val="24"/>
          </w:rPr>
          <w:tab/>
        </w:r>
        <w:r w:rsidRPr="00072BFB">
          <w:rPr>
            <w:noProof/>
            <w:webHidden/>
            <w:sz w:val="28"/>
            <w:szCs w:val="24"/>
          </w:rPr>
          <w:fldChar w:fldCharType="begin"/>
        </w:r>
        <w:r w:rsidRPr="00072BFB">
          <w:rPr>
            <w:noProof/>
            <w:webHidden/>
            <w:sz w:val="28"/>
            <w:szCs w:val="24"/>
          </w:rPr>
          <w:instrText xml:space="preserve"> PAGEREF _Toc204259453 \h </w:instrText>
        </w:r>
        <w:r w:rsidRPr="00072BFB">
          <w:rPr>
            <w:noProof/>
            <w:webHidden/>
            <w:sz w:val="28"/>
            <w:szCs w:val="24"/>
          </w:rPr>
        </w:r>
        <w:r w:rsidRPr="00072BFB">
          <w:rPr>
            <w:noProof/>
            <w:webHidden/>
            <w:sz w:val="28"/>
            <w:szCs w:val="24"/>
          </w:rPr>
          <w:fldChar w:fldCharType="separate"/>
        </w:r>
        <w:r w:rsidRPr="00072BFB">
          <w:rPr>
            <w:noProof/>
            <w:webHidden/>
            <w:sz w:val="28"/>
            <w:szCs w:val="24"/>
          </w:rPr>
          <w:t>16</w:t>
        </w:r>
        <w:r w:rsidRPr="00072BFB">
          <w:rPr>
            <w:noProof/>
            <w:webHidden/>
            <w:sz w:val="28"/>
            <w:szCs w:val="24"/>
          </w:rPr>
          <w:fldChar w:fldCharType="end"/>
        </w:r>
      </w:hyperlink>
    </w:p>
    <w:p w14:paraId="190B249C" w14:textId="1CB4F46A" w:rsidR="00072BFB" w:rsidRPr="00072BFB" w:rsidRDefault="00072BFB" w:rsidP="00072BFB">
      <w:pPr>
        <w:pStyle w:val="TOC2"/>
        <w:tabs>
          <w:tab w:val="right" w:leader="dot" w:pos="10070"/>
        </w:tabs>
        <w:spacing w:after="240"/>
        <w:ind w:left="0"/>
        <w:rPr>
          <w:rFonts w:asciiTheme="minorHAnsi" w:eastAsiaTheme="minorEastAsia" w:hAnsiTheme="minorHAnsi" w:cstheme="minorBidi"/>
          <w:noProof/>
          <w:kern w:val="2"/>
          <w:sz w:val="28"/>
          <w:szCs w:val="28"/>
          <w14:ligatures w14:val="standardContextual"/>
        </w:rPr>
      </w:pPr>
      <w:hyperlink w:anchor="_Toc204259454" w:history="1">
        <w:r w:rsidRPr="00072BFB">
          <w:rPr>
            <w:rStyle w:val="Hyperlink"/>
            <w:noProof/>
            <w:sz w:val="28"/>
            <w:szCs w:val="24"/>
          </w:rPr>
          <w:t>Appendix C.1—HQIM Family 2-pager</w:t>
        </w:r>
        <w:r w:rsidRPr="00072BFB">
          <w:rPr>
            <w:noProof/>
            <w:webHidden/>
            <w:sz w:val="28"/>
            <w:szCs w:val="24"/>
          </w:rPr>
          <w:tab/>
        </w:r>
        <w:r w:rsidRPr="00072BFB">
          <w:rPr>
            <w:noProof/>
            <w:webHidden/>
            <w:sz w:val="28"/>
            <w:szCs w:val="24"/>
          </w:rPr>
          <w:fldChar w:fldCharType="begin"/>
        </w:r>
        <w:r w:rsidRPr="00072BFB">
          <w:rPr>
            <w:noProof/>
            <w:webHidden/>
            <w:sz w:val="28"/>
            <w:szCs w:val="24"/>
          </w:rPr>
          <w:instrText xml:space="preserve"> PAGEREF _Toc204259454 \h </w:instrText>
        </w:r>
        <w:r w:rsidRPr="00072BFB">
          <w:rPr>
            <w:noProof/>
            <w:webHidden/>
            <w:sz w:val="28"/>
            <w:szCs w:val="24"/>
          </w:rPr>
        </w:r>
        <w:r w:rsidRPr="00072BFB">
          <w:rPr>
            <w:noProof/>
            <w:webHidden/>
            <w:sz w:val="28"/>
            <w:szCs w:val="24"/>
          </w:rPr>
          <w:fldChar w:fldCharType="separate"/>
        </w:r>
        <w:r w:rsidRPr="00072BFB">
          <w:rPr>
            <w:noProof/>
            <w:webHidden/>
            <w:sz w:val="28"/>
            <w:szCs w:val="24"/>
          </w:rPr>
          <w:t>19</w:t>
        </w:r>
        <w:r w:rsidRPr="00072BFB">
          <w:rPr>
            <w:noProof/>
            <w:webHidden/>
            <w:sz w:val="28"/>
            <w:szCs w:val="24"/>
          </w:rPr>
          <w:fldChar w:fldCharType="end"/>
        </w:r>
      </w:hyperlink>
    </w:p>
    <w:p w14:paraId="5B882A2B" w14:textId="61ADC16C" w:rsidR="00072BFB" w:rsidRPr="00072BFB" w:rsidRDefault="00072BFB" w:rsidP="00072BFB">
      <w:pPr>
        <w:pStyle w:val="TOC2"/>
        <w:tabs>
          <w:tab w:val="right" w:leader="dot" w:pos="10070"/>
        </w:tabs>
        <w:spacing w:after="240"/>
        <w:ind w:left="0"/>
        <w:rPr>
          <w:rFonts w:asciiTheme="minorHAnsi" w:eastAsiaTheme="minorEastAsia" w:hAnsiTheme="minorHAnsi" w:cstheme="minorBidi"/>
          <w:noProof/>
          <w:kern w:val="2"/>
          <w:sz w:val="28"/>
          <w:szCs w:val="28"/>
          <w14:ligatures w14:val="standardContextual"/>
        </w:rPr>
      </w:pPr>
      <w:hyperlink w:anchor="_Toc204259455" w:history="1">
        <w:r w:rsidRPr="00072BFB">
          <w:rPr>
            <w:rStyle w:val="Hyperlink"/>
            <w:noProof/>
            <w:sz w:val="28"/>
            <w:szCs w:val="24"/>
          </w:rPr>
          <w:t>Appendix C.2—HQIM Educator 2-pager</w:t>
        </w:r>
        <w:r w:rsidRPr="00072BFB">
          <w:rPr>
            <w:noProof/>
            <w:webHidden/>
            <w:sz w:val="28"/>
            <w:szCs w:val="24"/>
          </w:rPr>
          <w:tab/>
        </w:r>
        <w:r w:rsidRPr="00072BFB">
          <w:rPr>
            <w:noProof/>
            <w:webHidden/>
            <w:sz w:val="28"/>
            <w:szCs w:val="24"/>
          </w:rPr>
          <w:fldChar w:fldCharType="begin"/>
        </w:r>
        <w:r w:rsidRPr="00072BFB">
          <w:rPr>
            <w:noProof/>
            <w:webHidden/>
            <w:sz w:val="28"/>
            <w:szCs w:val="24"/>
          </w:rPr>
          <w:instrText xml:space="preserve"> PAGEREF _Toc204259455 \h </w:instrText>
        </w:r>
        <w:r w:rsidRPr="00072BFB">
          <w:rPr>
            <w:noProof/>
            <w:webHidden/>
            <w:sz w:val="28"/>
            <w:szCs w:val="24"/>
          </w:rPr>
        </w:r>
        <w:r w:rsidRPr="00072BFB">
          <w:rPr>
            <w:noProof/>
            <w:webHidden/>
            <w:sz w:val="28"/>
            <w:szCs w:val="24"/>
          </w:rPr>
          <w:fldChar w:fldCharType="separate"/>
        </w:r>
        <w:r w:rsidRPr="00072BFB">
          <w:rPr>
            <w:noProof/>
            <w:webHidden/>
            <w:sz w:val="28"/>
            <w:szCs w:val="24"/>
          </w:rPr>
          <w:t>21</w:t>
        </w:r>
        <w:r w:rsidRPr="00072BFB">
          <w:rPr>
            <w:noProof/>
            <w:webHidden/>
            <w:sz w:val="28"/>
            <w:szCs w:val="24"/>
          </w:rPr>
          <w:fldChar w:fldCharType="end"/>
        </w:r>
      </w:hyperlink>
    </w:p>
    <w:p w14:paraId="7521F04D" w14:textId="11C6A7FD" w:rsidR="00072BFB" w:rsidRPr="00072BFB" w:rsidRDefault="00072BFB" w:rsidP="00072BFB">
      <w:pPr>
        <w:spacing w:after="240"/>
      </w:pPr>
      <w:r w:rsidRPr="00072BFB">
        <w:rPr>
          <w:sz w:val="28"/>
          <w:szCs w:val="24"/>
        </w:rPr>
        <w:fldChar w:fldCharType="end"/>
      </w:r>
    </w:p>
    <w:p w14:paraId="2407E7D8" w14:textId="2CAE06AB" w:rsidR="00203C35" w:rsidRPr="00072BFB" w:rsidRDefault="00203C35" w:rsidP="00072BFB">
      <w:pPr>
        <w:rPr>
          <w:sz w:val="36"/>
          <w:szCs w:val="36"/>
        </w:rPr>
        <w:sectPr w:rsidR="00203C35" w:rsidRPr="00072BFB" w:rsidSect="00CC1525">
          <w:footerReference w:type="default" r:id="rId11"/>
          <w:headerReference w:type="first" r:id="rId12"/>
          <w:footerReference w:type="first" r:id="rId13"/>
          <w:pgSz w:w="12240" w:h="15840"/>
          <w:pgMar w:top="1080" w:right="1080" w:bottom="1080" w:left="1080" w:header="720" w:footer="576" w:gutter="0"/>
          <w:cols w:space="720"/>
          <w:titlePg/>
          <w:docGrid w:linePitch="326"/>
        </w:sectPr>
      </w:pPr>
    </w:p>
    <w:p w14:paraId="74674087" w14:textId="6D847434" w:rsidR="009352A0" w:rsidRPr="00ED1C1E" w:rsidRDefault="004F5411" w:rsidP="007B0091">
      <w:pPr>
        <w:pStyle w:val="Heading2"/>
      </w:pPr>
      <w:bookmarkStart w:id="4" w:name="_Appendix_A_HQIM"/>
      <w:bookmarkStart w:id="5" w:name="_Toc198630542"/>
      <w:bookmarkStart w:id="6" w:name="_Toc204259452"/>
      <w:bookmarkEnd w:id="4"/>
      <w:r w:rsidRPr="00ED1C1E">
        <w:t>Appendix A</w:t>
      </w:r>
      <w:r w:rsidR="00857E2B" w:rsidRPr="00ED1C1E">
        <w:t>—</w:t>
      </w:r>
      <w:r w:rsidRPr="00ED1C1E">
        <w:t>HQIM Rubric</w:t>
      </w:r>
      <w:bookmarkEnd w:id="5"/>
      <w:bookmarkEnd w:id="6"/>
    </w:p>
    <w:p w14:paraId="74674088" w14:textId="77777777" w:rsidR="009352A0" w:rsidRPr="00ED1C1E" w:rsidRDefault="004F5411" w:rsidP="00CE0006">
      <w:pPr>
        <w:rPr>
          <w:rFonts w:eastAsia="Calibri" w:cs="Calibri"/>
          <w:szCs w:val="24"/>
        </w:rPr>
      </w:pPr>
      <w:r w:rsidRPr="00ED1C1E">
        <w:rPr>
          <w:rFonts w:eastAsia="Calibri" w:cs="Calibri"/>
          <w:szCs w:val="24"/>
        </w:rPr>
        <w:t xml:space="preserve">This rubric is designed to ensure that selected instructional materials are aligned to the New Jersey Student Learning Standards for English Language Arts (NJSLS-ELA) and reflect evidence-based instructional practices that support the diverse needs of all students. The rubric has been adapted from the NJTSS Tier 1 Core Analysis Tool. </w:t>
      </w:r>
    </w:p>
    <w:p w14:paraId="74674089" w14:textId="77777777" w:rsidR="009352A0" w:rsidRPr="00ED1C1E" w:rsidRDefault="004F5411" w:rsidP="00CE0006">
      <w:pPr>
        <w:rPr>
          <w:rFonts w:eastAsia="Calibri" w:cs="Calibri"/>
          <w:szCs w:val="24"/>
        </w:rPr>
      </w:pPr>
      <w:r w:rsidRPr="00ED1C1E">
        <w:rPr>
          <w:rFonts w:eastAsia="Calibri" w:cs="Calibri"/>
          <w:szCs w:val="24"/>
        </w:rPr>
        <w:t>The rubric must be used sequentially to evaluate one instructional program at a time.</w:t>
      </w:r>
    </w:p>
    <w:p w14:paraId="7467408A" w14:textId="77777777" w:rsidR="009352A0" w:rsidRPr="00ED1C1E" w:rsidRDefault="004F5411" w:rsidP="00AE1A6B">
      <w:pPr>
        <w:pStyle w:val="ListParagraph"/>
        <w:numPr>
          <w:ilvl w:val="0"/>
          <w:numId w:val="27"/>
        </w:numPr>
      </w:pPr>
      <w:r w:rsidRPr="00ED1C1E">
        <w:t>Begin with Criterion 1 to determine whether the materials meet the expectations for alignment to research-based literacy instruction.</w:t>
      </w:r>
    </w:p>
    <w:p w14:paraId="7467408B" w14:textId="77777777" w:rsidR="009352A0" w:rsidRPr="00ED1C1E" w:rsidRDefault="004F5411" w:rsidP="00AE1A6B">
      <w:pPr>
        <w:pStyle w:val="ListParagraph"/>
        <w:numPr>
          <w:ilvl w:val="0"/>
          <w:numId w:val="27"/>
        </w:numPr>
        <w:spacing w:after="240"/>
      </w:pPr>
      <w:r w:rsidRPr="00ED1C1E">
        <w:t>Only if materials meet the expectations in Criterion 1 should reviewers proceed to Criterion 2, which evaluates inclusivity, accessibility, and local relevance.</w:t>
      </w:r>
    </w:p>
    <w:p w14:paraId="7467408C" w14:textId="77777777" w:rsidR="009352A0" w:rsidRPr="00ED1C1E" w:rsidRDefault="004F5411" w:rsidP="00CE0006">
      <w:pPr>
        <w:rPr>
          <w:rFonts w:eastAsia="Calibri" w:cs="Calibri"/>
          <w:szCs w:val="24"/>
        </w:rPr>
      </w:pPr>
      <w:r w:rsidRPr="00ED1C1E">
        <w:rPr>
          <w:rFonts w:eastAsia="Calibri" w:cs="Calibri"/>
          <w:szCs w:val="24"/>
        </w:rPr>
        <w:t>This process ensures that all materials considered for adoption are grounded in high-quality, research-based literacy practices before assessing their suitability for diverse learners and specific district needs.</w:t>
      </w:r>
    </w:p>
    <w:p w14:paraId="7467408D" w14:textId="0358296C" w:rsidR="009352A0" w:rsidRPr="00ED1C1E" w:rsidRDefault="004F5411" w:rsidP="00CE0006">
      <w:pPr>
        <w:rPr>
          <w:rFonts w:eastAsia="Calibri" w:cs="Calibri"/>
          <w:szCs w:val="24"/>
        </w:rPr>
      </w:pPr>
      <w:r w:rsidRPr="00ED1C1E">
        <w:rPr>
          <w:rFonts w:eastAsia="Calibri" w:cs="Calibri"/>
          <w:szCs w:val="24"/>
        </w:rPr>
        <w:t>As educators work to evaluate HQIM, read each element and determine the level at which the materials address the element at each grade level.</w:t>
      </w:r>
      <w:r w:rsidR="00014035" w:rsidRPr="00ED1C1E">
        <w:rPr>
          <w:rFonts w:eastAsia="Calibri" w:cs="Calibri"/>
          <w:szCs w:val="24"/>
        </w:rPr>
        <w:t xml:space="preserve"> </w:t>
      </w:r>
      <w:r w:rsidRPr="00ED1C1E">
        <w:rPr>
          <w:rFonts w:eastAsia="Calibri" w:cs="Calibri"/>
          <w:szCs w:val="24"/>
        </w:rPr>
        <w:t xml:space="preserve">Be sure to include any clarifying notes. </w:t>
      </w:r>
    </w:p>
    <w:p w14:paraId="7467408E" w14:textId="4F5F1734" w:rsidR="009352A0" w:rsidRPr="00ED1C1E" w:rsidRDefault="004F5411" w:rsidP="009579A4">
      <w:pPr>
        <w:pStyle w:val="beforelist"/>
        <w:rPr>
          <w:b/>
          <w:bCs/>
        </w:rPr>
      </w:pPr>
      <w:r w:rsidRPr="00ED1C1E">
        <w:rPr>
          <w:b/>
          <w:bCs/>
        </w:rPr>
        <w:t>Scale</w:t>
      </w:r>
      <w:r w:rsidR="009579A4" w:rsidRPr="00ED1C1E">
        <w:rPr>
          <w:b/>
          <w:bCs/>
        </w:rPr>
        <w:t>:</w:t>
      </w:r>
    </w:p>
    <w:p w14:paraId="7467408F" w14:textId="159CC2F2" w:rsidR="009352A0" w:rsidRPr="00ED1C1E" w:rsidRDefault="004F5411" w:rsidP="00AE1A6B">
      <w:pPr>
        <w:pStyle w:val="ListParagraph"/>
        <w:numPr>
          <w:ilvl w:val="0"/>
          <w:numId w:val="36"/>
        </w:numPr>
        <w:rPr>
          <w:rFonts w:eastAsia="Calibri" w:cs="Calibri"/>
          <w:color w:val="316519"/>
          <w:szCs w:val="24"/>
        </w:rPr>
      </w:pPr>
      <w:r w:rsidRPr="00ED1C1E">
        <w:rPr>
          <w:rFonts w:eastAsia="Calibri" w:cs="Calibri"/>
          <w:color w:val="316519"/>
          <w:szCs w:val="24"/>
        </w:rPr>
        <w:t>3</w:t>
      </w:r>
      <w:r w:rsidR="009579A4" w:rsidRPr="00ED1C1E">
        <w:rPr>
          <w:rFonts w:eastAsia="Calibri" w:cs="Calibri"/>
          <w:color w:val="316519"/>
          <w:szCs w:val="24"/>
        </w:rPr>
        <w:t>:</w:t>
      </w:r>
      <w:r w:rsidRPr="00ED1C1E">
        <w:rPr>
          <w:rFonts w:eastAsia="Calibri" w:cs="Calibri"/>
          <w:color w:val="316519"/>
          <w:szCs w:val="24"/>
        </w:rPr>
        <w:t xml:space="preserve"> Almost Always</w:t>
      </w:r>
    </w:p>
    <w:p w14:paraId="74674090" w14:textId="097D5255" w:rsidR="009352A0" w:rsidRPr="00ED1C1E" w:rsidRDefault="004F5411" w:rsidP="00AE1A6B">
      <w:pPr>
        <w:pStyle w:val="ListParagraph"/>
        <w:numPr>
          <w:ilvl w:val="0"/>
          <w:numId w:val="36"/>
        </w:numPr>
        <w:rPr>
          <w:rFonts w:eastAsia="Calibri" w:cs="Calibri"/>
          <w:color w:val="926F00"/>
          <w:szCs w:val="24"/>
        </w:rPr>
      </w:pPr>
      <w:r w:rsidRPr="00ED1C1E">
        <w:rPr>
          <w:rFonts w:eastAsia="Calibri" w:cs="Calibri"/>
          <w:color w:val="926F00"/>
          <w:szCs w:val="24"/>
        </w:rPr>
        <w:t>2</w:t>
      </w:r>
      <w:r w:rsidR="009579A4" w:rsidRPr="00ED1C1E">
        <w:rPr>
          <w:rFonts w:eastAsia="Calibri" w:cs="Calibri"/>
          <w:color w:val="926F00"/>
          <w:szCs w:val="24"/>
        </w:rPr>
        <w:t xml:space="preserve">: </w:t>
      </w:r>
      <w:r w:rsidRPr="00ED1C1E">
        <w:rPr>
          <w:rFonts w:eastAsia="Calibri" w:cs="Calibri"/>
          <w:color w:val="926F00"/>
          <w:szCs w:val="24"/>
        </w:rPr>
        <w:t>Sometimes</w:t>
      </w:r>
    </w:p>
    <w:p w14:paraId="74674091" w14:textId="78592250" w:rsidR="009352A0" w:rsidRPr="00ED1C1E" w:rsidRDefault="009579A4" w:rsidP="00AE1A6B">
      <w:pPr>
        <w:pStyle w:val="ListParagraph"/>
        <w:numPr>
          <w:ilvl w:val="0"/>
          <w:numId w:val="36"/>
        </w:numPr>
        <w:rPr>
          <w:rFonts w:eastAsia="Calibri" w:cs="Calibri"/>
          <w:color w:val="C94B00"/>
          <w:szCs w:val="24"/>
        </w:rPr>
      </w:pPr>
      <w:r w:rsidRPr="00ED1C1E">
        <w:rPr>
          <w:rFonts w:eastAsia="Calibri" w:cs="Calibri"/>
          <w:color w:val="C94B00"/>
          <w:szCs w:val="24"/>
        </w:rPr>
        <w:t xml:space="preserve">1: </w:t>
      </w:r>
      <w:r w:rsidR="004F5411" w:rsidRPr="00ED1C1E">
        <w:rPr>
          <w:rFonts w:eastAsia="Calibri" w:cs="Calibri"/>
          <w:color w:val="C94B00"/>
          <w:szCs w:val="24"/>
        </w:rPr>
        <w:t>Seldom</w:t>
      </w:r>
    </w:p>
    <w:p w14:paraId="6107453F" w14:textId="2B3B5083" w:rsidR="00DB6245" w:rsidRPr="00ED1C1E" w:rsidRDefault="009579A4" w:rsidP="00AE1A6B">
      <w:pPr>
        <w:pStyle w:val="ListParagraph"/>
        <w:numPr>
          <w:ilvl w:val="0"/>
          <w:numId w:val="36"/>
        </w:numPr>
        <w:spacing w:after="240"/>
        <w:rPr>
          <w:rFonts w:eastAsia="Calibri" w:cs="Calibri"/>
          <w:color w:val="C00000"/>
          <w:szCs w:val="24"/>
        </w:rPr>
      </w:pPr>
      <w:r w:rsidRPr="00ED1C1E">
        <w:rPr>
          <w:rFonts w:eastAsia="Calibri" w:cs="Calibri"/>
          <w:color w:val="C00000"/>
          <w:szCs w:val="24"/>
        </w:rPr>
        <w:t xml:space="preserve">0: </w:t>
      </w:r>
      <w:r w:rsidR="004F5411" w:rsidRPr="00ED1C1E">
        <w:rPr>
          <w:rFonts w:eastAsia="Calibri" w:cs="Calibri"/>
          <w:color w:val="C00000"/>
          <w:szCs w:val="24"/>
        </w:rPr>
        <w:t>Not Evident</w:t>
      </w:r>
    </w:p>
    <w:p w14:paraId="599ADF4B" w14:textId="76257216" w:rsidR="0082044D" w:rsidRPr="00ED1C1E" w:rsidRDefault="004F5411" w:rsidP="007B0091">
      <w:pPr>
        <w:pStyle w:val="Heading3"/>
      </w:pPr>
      <w:r w:rsidRPr="00ED1C1E">
        <w:t>Criterion 1: Assess Whether Students’ Needs are Met and Analyze Evidence of HQIM’s Alignment to Research-Based Practices</w:t>
      </w:r>
    </w:p>
    <w:p w14:paraId="23B077BB" w14:textId="2FEB6F9C" w:rsidR="0094795F" w:rsidRPr="00ED1C1E" w:rsidRDefault="0094795F" w:rsidP="00AC7159">
      <w:pPr>
        <w:pStyle w:val="Caption"/>
        <w:keepNext/>
        <w:spacing w:after="80"/>
      </w:pPr>
      <w:r w:rsidRPr="00ED1C1E">
        <w:t>Dimension 1: Assessment of Student Needs</w:t>
      </w:r>
    </w:p>
    <w:tbl>
      <w:tblPr>
        <w:tblW w:w="14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184"/>
        <w:gridCol w:w="576"/>
        <w:gridCol w:w="576"/>
        <w:gridCol w:w="576"/>
        <w:gridCol w:w="576"/>
        <w:gridCol w:w="6740"/>
      </w:tblGrid>
      <w:tr w:rsidR="001B3CF0" w:rsidRPr="00ED1C1E" w14:paraId="7467409D" w14:textId="77777777" w:rsidTr="167C3B19">
        <w:trPr>
          <w:trHeight w:val="327"/>
          <w:tblHeader/>
        </w:trPr>
        <w:tc>
          <w:tcPr>
            <w:tcW w:w="5184" w:type="dxa"/>
            <w:tcBorders>
              <w:right w:val="single" w:sz="4" w:space="0" w:color="FFFFFF" w:themeColor="background1"/>
            </w:tcBorders>
            <w:shd w:val="clear" w:color="auto" w:fill="124F73"/>
          </w:tcPr>
          <w:p w14:paraId="74674097" w14:textId="77777777" w:rsidR="009352A0" w:rsidRPr="00ED1C1E" w:rsidRDefault="004F5411" w:rsidP="00036A7F">
            <w:pPr>
              <w:spacing w:after="0"/>
              <w:rPr>
                <w:rFonts w:eastAsia="Calibri" w:cs="Calibri"/>
                <w:b/>
                <w:color w:val="FFFFFF" w:themeColor="background1"/>
                <w:szCs w:val="24"/>
              </w:rPr>
            </w:pPr>
            <w:r w:rsidRPr="00ED1C1E">
              <w:rPr>
                <w:rFonts w:eastAsia="Calibri" w:cs="Calibri"/>
                <w:b/>
                <w:color w:val="FFFFFF" w:themeColor="background1"/>
                <w:szCs w:val="24"/>
              </w:rPr>
              <w:t>Element</w:t>
            </w:r>
          </w:p>
        </w:tc>
        <w:tc>
          <w:tcPr>
            <w:tcW w:w="576" w:type="dxa"/>
            <w:tcBorders>
              <w:left w:val="single" w:sz="4" w:space="0" w:color="FFFFFF" w:themeColor="background1"/>
              <w:right w:val="single" w:sz="4" w:space="0" w:color="FFFFFF" w:themeColor="background1"/>
            </w:tcBorders>
            <w:shd w:val="clear" w:color="auto" w:fill="124F73"/>
          </w:tcPr>
          <w:p w14:paraId="74674098" w14:textId="77777777" w:rsidR="009352A0" w:rsidRPr="00ED1C1E" w:rsidRDefault="004F5411" w:rsidP="00036A7F">
            <w:pPr>
              <w:spacing w:after="0"/>
              <w:rPr>
                <w:rFonts w:eastAsia="Calibri" w:cs="Calibri"/>
                <w:b/>
                <w:color w:val="FFFFFF" w:themeColor="background1"/>
                <w:szCs w:val="24"/>
              </w:rPr>
            </w:pPr>
            <w:r w:rsidRPr="00ED1C1E">
              <w:rPr>
                <w:rFonts w:eastAsia="Calibri" w:cs="Calibri"/>
                <w:b/>
                <w:color w:val="FFFFFF" w:themeColor="background1"/>
                <w:szCs w:val="24"/>
              </w:rPr>
              <w:t>K</w:t>
            </w:r>
          </w:p>
        </w:tc>
        <w:tc>
          <w:tcPr>
            <w:tcW w:w="576" w:type="dxa"/>
            <w:tcBorders>
              <w:left w:val="single" w:sz="4" w:space="0" w:color="FFFFFF" w:themeColor="background1"/>
              <w:right w:val="single" w:sz="4" w:space="0" w:color="FFFFFF" w:themeColor="background1"/>
            </w:tcBorders>
            <w:shd w:val="clear" w:color="auto" w:fill="124F73"/>
          </w:tcPr>
          <w:p w14:paraId="74674099" w14:textId="77777777" w:rsidR="009352A0" w:rsidRPr="00ED1C1E" w:rsidRDefault="004F5411" w:rsidP="00036A7F">
            <w:pPr>
              <w:spacing w:after="0"/>
              <w:rPr>
                <w:rFonts w:eastAsia="Calibri" w:cs="Calibri"/>
                <w:b/>
                <w:color w:val="FFFFFF" w:themeColor="background1"/>
                <w:szCs w:val="24"/>
              </w:rPr>
            </w:pPr>
            <w:r w:rsidRPr="00ED1C1E">
              <w:rPr>
                <w:rFonts w:eastAsia="Calibri" w:cs="Calibri"/>
                <w:b/>
                <w:color w:val="FFFFFF" w:themeColor="background1"/>
                <w:szCs w:val="24"/>
              </w:rPr>
              <w:t>1</w:t>
            </w:r>
          </w:p>
        </w:tc>
        <w:tc>
          <w:tcPr>
            <w:tcW w:w="576" w:type="dxa"/>
            <w:tcBorders>
              <w:left w:val="single" w:sz="4" w:space="0" w:color="FFFFFF" w:themeColor="background1"/>
              <w:right w:val="single" w:sz="4" w:space="0" w:color="FFFFFF" w:themeColor="background1"/>
            </w:tcBorders>
            <w:shd w:val="clear" w:color="auto" w:fill="124F73"/>
          </w:tcPr>
          <w:p w14:paraId="7467409A" w14:textId="77777777" w:rsidR="009352A0" w:rsidRPr="00ED1C1E" w:rsidRDefault="004F5411" w:rsidP="00036A7F">
            <w:pPr>
              <w:spacing w:after="0"/>
              <w:rPr>
                <w:rFonts w:eastAsia="Calibri" w:cs="Calibri"/>
                <w:b/>
                <w:color w:val="FFFFFF" w:themeColor="background1"/>
                <w:szCs w:val="24"/>
              </w:rPr>
            </w:pPr>
            <w:r w:rsidRPr="00ED1C1E">
              <w:rPr>
                <w:rFonts w:eastAsia="Calibri" w:cs="Calibri"/>
                <w:b/>
                <w:color w:val="FFFFFF" w:themeColor="background1"/>
                <w:szCs w:val="24"/>
              </w:rPr>
              <w:t>2</w:t>
            </w:r>
          </w:p>
        </w:tc>
        <w:tc>
          <w:tcPr>
            <w:tcW w:w="576" w:type="dxa"/>
            <w:tcBorders>
              <w:left w:val="single" w:sz="4" w:space="0" w:color="FFFFFF" w:themeColor="background1"/>
              <w:right w:val="single" w:sz="4" w:space="0" w:color="FFFFFF" w:themeColor="background1"/>
            </w:tcBorders>
            <w:shd w:val="clear" w:color="auto" w:fill="124F73"/>
          </w:tcPr>
          <w:p w14:paraId="7467409B" w14:textId="77777777" w:rsidR="009352A0" w:rsidRPr="00ED1C1E" w:rsidRDefault="004F5411" w:rsidP="00036A7F">
            <w:pPr>
              <w:spacing w:after="0"/>
              <w:rPr>
                <w:rFonts w:eastAsia="Calibri" w:cs="Calibri"/>
                <w:b/>
                <w:color w:val="FFFFFF" w:themeColor="background1"/>
                <w:szCs w:val="24"/>
              </w:rPr>
            </w:pPr>
            <w:r w:rsidRPr="00ED1C1E">
              <w:rPr>
                <w:rFonts w:eastAsia="Calibri" w:cs="Calibri"/>
                <w:b/>
                <w:color w:val="FFFFFF" w:themeColor="background1"/>
                <w:szCs w:val="24"/>
              </w:rPr>
              <w:t>3</w:t>
            </w:r>
          </w:p>
        </w:tc>
        <w:tc>
          <w:tcPr>
            <w:tcW w:w="6740" w:type="dxa"/>
            <w:tcBorders>
              <w:left w:val="single" w:sz="4" w:space="0" w:color="FFFFFF" w:themeColor="background1"/>
            </w:tcBorders>
            <w:shd w:val="clear" w:color="auto" w:fill="124F73"/>
          </w:tcPr>
          <w:p w14:paraId="7467409C" w14:textId="77777777" w:rsidR="009352A0" w:rsidRPr="00ED1C1E" w:rsidRDefault="004F5411" w:rsidP="00036A7F">
            <w:pPr>
              <w:spacing w:after="0"/>
              <w:rPr>
                <w:rFonts w:eastAsia="Calibri" w:cs="Calibri"/>
                <w:b/>
                <w:color w:val="FFFFFF" w:themeColor="background1"/>
                <w:szCs w:val="24"/>
              </w:rPr>
            </w:pPr>
            <w:r w:rsidRPr="00ED1C1E">
              <w:rPr>
                <w:rFonts w:eastAsia="Calibri" w:cs="Calibri"/>
                <w:b/>
                <w:color w:val="FFFFFF" w:themeColor="background1"/>
                <w:szCs w:val="24"/>
              </w:rPr>
              <w:t>Evidence</w:t>
            </w:r>
          </w:p>
        </w:tc>
      </w:tr>
      <w:tr w:rsidR="001B3CF0" w:rsidRPr="00ED1C1E" w14:paraId="746740A4" w14:textId="77777777" w:rsidTr="167C3B19">
        <w:trPr>
          <w:trHeight w:val="1055"/>
        </w:trPr>
        <w:tc>
          <w:tcPr>
            <w:tcW w:w="5184" w:type="dxa"/>
            <w:shd w:val="clear" w:color="auto" w:fill="FAD41A"/>
          </w:tcPr>
          <w:p w14:paraId="7467409E" w14:textId="07F25238" w:rsidR="009352A0" w:rsidRPr="00ED1C1E" w:rsidRDefault="005B695D" w:rsidP="005B695D">
            <w:pPr>
              <w:spacing w:after="0"/>
              <w:ind w:left="288" w:hanging="288"/>
            </w:pPr>
            <w:r w:rsidRPr="00ED1C1E">
              <w:t xml:space="preserve">1. </w:t>
            </w:r>
            <w:r w:rsidR="004F5411" w:rsidRPr="00ED1C1E">
              <w:t>Universal screening data analyzed at classroom, grade, school, and district levels to determine to what degree instruction is meeting students’ needs in key areas</w:t>
            </w:r>
          </w:p>
        </w:tc>
        <w:tc>
          <w:tcPr>
            <w:tcW w:w="576" w:type="dxa"/>
          </w:tcPr>
          <w:p w14:paraId="7467409F" w14:textId="539BBEDB" w:rsidR="009352A0" w:rsidRPr="00ED1C1E" w:rsidRDefault="009352A0" w:rsidP="001B3CF0">
            <w:pPr>
              <w:pStyle w:val="tabletext"/>
              <w:spacing w:after="120"/>
              <w:jc w:val="both"/>
            </w:pPr>
          </w:p>
        </w:tc>
        <w:tc>
          <w:tcPr>
            <w:tcW w:w="576" w:type="dxa"/>
            <w:shd w:val="clear" w:color="auto" w:fill="auto"/>
          </w:tcPr>
          <w:p w14:paraId="746740A0" w14:textId="4B16DD4F" w:rsidR="009352A0" w:rsidRPr="00ED1C1E" w:rsidRDefault="009352A0" w:rsidP="001B3CF0">
            <w:pPr>
              <w:pStyle w:val="tabletext"/>
              <w:spacing w:after="120"/>
              <w:jc w:val="both"/>
              <w:rPr>
                <w:sz w:val="22"/>
              </w:rPr>
            </w:pPr>
          </w:p>
        </w:tc>
        <w:tc>
          <w:tcPr>
            <w:tcW w:w="576" w:type="dxa"/>
            <w:shd w:val="clear" w:color="auto" w:fill="auto"/>
          </w:tcPr>
          <w:p w14:paraId="746740A1" w14:textId="4734F2B8" w:rsidR="009352A0" w:rsidRPr="00ED1C1E" w:rsidRDefault="009352A0" w:rsidP="001B3CF0">
            <w:pPr>
              <w:pStyle w:val="tabletext"/>
              <w:spacing w:after="120"/>
              <w:jc w:val="both"/>
              <w:rPr>
                <w:sz w:val="22"/>
              </w:rPr>
            </w:pPr>
          </w:p>
        </w:tc>
        <w:tc>
          <w:tcPr>
            <w:tcW w:w="576" w:type="dxa"/>
            <w:shd w:val="clear" w:color="auto" w:fill="auto"/>
          </w:tcPr>
          <w:p w14:paraId="746740A2" w14:textId="55506093" w:rsidR="009352A0" w:rsidRPr="00ED1C1E" w:rsidRDefault="009352A0" w:rsidP="001B3CF0">
            <w:pPr>
              <w:pStyle w:val="tabletext"/>
              <w:spacing w:after="120"/>
              <w:jc w:val="both"/>
              <w:rPr>
                <w:sz w:val="22"/>
              </w:rPr>
            </w:pPr>
          </w:p>
        </w:tc>
        <w:tc>
          <w:tcPr>
            <w:tcW w:w="6740" w:type="dxa"/>
          </w:tcPr>
          <w:p w14:paraId="746740A3" w14:textId="77777777" w:rsidR="009352A0" w:rsidRPr="00ED1C1E" w:rsidRDefault="009352A0" w:rsidP="001B3CF0">
            <w:pPr>
              <w:spacing w:after="0" w:line="240" w:lineRule="auto"/>
              <w:jc w:val="both"/>
              <w:rPr>
                <w:rFonts w:ascii="Calibri" w:eastAsia="Calibri" w:hAnsi="Calibri" w:cs="Calibri"/>
                <w:sz w:val="20"/>
                <w:szCs w:val="20"/>
              </w:rPr>
            </w:pPr>
          </w:p>
        </w:tc>
      </w:tr>
    </w:tbl>
    <w:p w14:paraId="1A7454E1" w14:textId="6D41D1FB" w:rsidR="00C965A6" w:rsidRPr="00ED1C1E" w:rsidRDefault="00C965A6" w:rsidP="00AC7159">
      <w:pPr>
        <w:pStyle w:val="Caption"/>
        <w:keepNext/>
        <w:spacing w:before="240" w:after="80"/>
      </w:pPr>
      <w:r w:rsidRPr="00ED1C1E">
        <w:t>Dimension 2: External Materials Review</w:t>
      </w:r>
    </w:p>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86" w:type="dxa"/>
          <w:left w:w="86" w:type="dxa"/>
          <w:bottom w:w="86" w:type="dxa"/>
          <w:right w:w="86" w:type="dxa"/>
        </w:tblCellMar>
        <w:tblLook w:val="0620" w:firstRow="1" w:lastRow="0" w:firstColumn="0" w:lastColumn="0" w:noHBand="1" w:noVBand="1"/>
      </w:tblPr>
      <w:tblGrid>
        <w:gridCol w:w="5184"/>
        <w:gridCol w:w="576"/>
        <w:gridCol w:w="576"/>
        <w:gridCol w:w="576"/>
        <w:gridCol w:w="576"/>
        <w:gridCol w:w="6722"/>
      </w:tblGrid>
      <w:tr w:rsidR="009352A0" w:rsidRPr="00ED1C1E" w14:paraId="746740AD" w14:textId="77777777" w:rsidTr="00AC7159">
        <w:trPr>
          <w:tblHeader/>
        </w:trPr>
        <w:tc>
          <w:tcPr>
            <w:tcW w:w="5184" w:type="dxa"/>
            <w:tcBorders>
              <w:right w:val="single" w:sz="4" w:space="0" w:color="FFFFFF" w:themeColor="background1"/>
            </w:tcBorders>
            <w:shd w:val="clear" w:color="auto" w:fill="124F73"/>
          </w:tcPr>
          <w:p w14:paraId="746740A7" w14:textId="77777777" w:rsidR="009352A0" w:rsidRPr="00ED1C1E" w:rsidRDefault="004F5411" w:rsidP="0036648C">
            <w:pPr>
              <w:pStyle w:val="tabletext"/>
              <w:rPr>
                <w:b/>
                <w:bCs/>
                <w:color w:val="FFFFFF" w:themeColor="background1"/>
              </w:rPr>
            </w:pPr>
            <w:r w:rsidRPr="00ED1C1E">
              <w:rPr>
                <w:b/>
                <w:bCs/>
                <w:color w:val="FFFFFF" w:themeColor="background1"/>
              </w:rPr>
              <w:t>Element</w:t>
            </w:r>
          </w:p>
        </w:tc>
        <w:tc>
          <w:tcPr>
            <w:tcW w:w="576" w:type="dxa"/>
            <w:tcBorders>
              <w:left w:val="single" w:sz="4" w:space="0" w:color="FFFFFF" w:themeColor="background1"/>
              <w:right w:val="single" w:sz="4" w:space="0" w:color="FFFFFF" w:themeColor="background1"/>
            </w:tcBorders>
            <w:shd w:val="clear" w:color="auto" w:fill="124F73"/>
          </w:tcPr>
          <w:p w14:paraId="746740A8" w14:textId="77777777" w:rsidR="009352A0" w:rsidRPr="00ED1C1E" w:rsidRDefault="004F5411" w:rsidP="0036648C">
            <w:pPr>
              <w:pStyle w:val="tabletext"/>
              <w:rPr>
                <w:b/>
                <w:bCs/>
                <w:color w:val="FFFFFF" w:themeColor="background1"/>
              </w:rPr>
            </w:pPr>
            <w:r w:rsidRPr="00ED1C1E">
              <w:rPr>
                <w:b/>
                <w:bCs/>
                <w:color w:val="FFFFFF" w:themeColor="background1"/>
              </w:rPr>
              <w:t>K</w:t>
            </w:r>
          </w:p>
        </w:tc>
        <w:tc>
          <w:tcPr>
            <w:tcW w:w="576" w:type="dxa"/>
            <w:tcBorders>
              <w:left w:val="single" w:sz="4" w:space="0" w:color="FFFFFF" w:themeColor="background1"/>
              <w:right w:val="single" w:sz="4" w:space="0" w:color="FFFFFF" w:themeColor="background1"/>
            </w:tcBorders>
            <w:shd w:val="clear" w:color="auto" w:fill="124F73"/>
          </w:tcPr>
          <w:p w14:paraId="746740A9" w14:textId="77777777" w:rsidR="009352A0" w:rsidRPr="00ED1C1E" w:rsidRDefault="004F5411" w:rsidP="0036648C">
            <w:pPr>
              <w:pStyle w:val="tabletext"/>
              <w:rPr>
                <w:b/>
                <w:bCs/>
                <w:color w:val="FFFFFF" w:themeColor="background1"/>
              </w:rPr>
            </w:pPr>
            <w:r w:rsidRPr="00ED1C1E">
              <w:rPr>
                <w:b/>
                <w:bCs/>
                <w:color w:val="FFFFFF" w:themeColor="background1"/>
              </w:rPr>
              <w:t>1</w:t>
            </w:r>
          </w:p>
        </w:tc>
        <w:tc>
          <w:tcPr>
            <w:tcW w:w="576" w:type="dxa"/>
            <w:tcBorders>
              <w:left w:val="single" w:sz="4" w:space="0" w:color="FFFFFF" w:themeColor="background1"/>
              <w:right w:val="single" w:sz="4" w:space="0" w:color="FFFFFF" w:themeColor="background1"/>
            </w:tcBorders>
            <w:shd w:val="clear" w:color="auto" w:fill="124F73"/>
          </w:tcPr>
          <w:p w14:paraId="746740AA" w14:textId="77777777" w:rsidR="009352A0" w:rsidRPr="00ED1C1E" w:rsidRDefault="004F5411" w:rsidP="0036648C">
            <w:pPr>
              <w:pStyle w:val="tabletext"/>
              <w:rPr>
                <w:b/>
                <w:bCs/>
                <w:color w:val="FFFFFF" w:themeColor="background1"/>
              </w:rPr>
            </w:pPr>
            <w:r w:rsidRPr="00ED1C1E">
              <w:rPr>
                <w:b/>
                <w:bCs/>
                <w:color w:val="FFFFFF" w:themeColor="background1"/>
              </w:rPr>
              <w:t>2</w:t>
            </w:r>
          </w:p>
        </w:tc>
        <w:tc>
          <w:tcPr>
            <w:tcW w:w="576" w:type="dxa"/>
            <w:tcBorders>
              <w:left w:val="single" w:sz="4" w:space="0" w:color="FFFFFF" w:themeColor="background1"/>
              <w:right w:val="single" w:sz="4" w:space="0" w:color="FFFFFF" w:themeColor="background1"/>
            </w:tcBorders>
            <w:shd w:val="clear" w:color="auto" w:fill="124F73"/>
          </w:tcPr>
          <w:p w14:paraId="746740AB" w14:textId="77777777" w:rsidR="009352A0" w:rsidRPr="00ED1C1E" w:rsidRDefault="004F5411" w:rsidP="0036648C">
            <w:pPr>
              <w:pStyle w:val="tabletext"/>
              <w:rPr>
                <w:b/>
                <w:bCs/>
                <w:color w:val="FFFFFF" w:themeColor="background1"/>
              </w:rPr>
            </w:pPr>
            <w:r w:rsidRPr="00ED1C1E">
              <w:rPr>
                <w:b/>
                <w:bCs/>
                <w:color w:val="FFFFFF" w:themeColor="background1"/>
              </w:rPr>
              <w:t>3</w:t>
            </w:r>
          </w:p>
        </w:tc>
        <w:tc>
          <w:tcPr>
            <w:tcW w:w="6722" w:type="dxa"/>
            <w:tcBorders>
              <w:left w:val="single" w:sz="4" w:space="0" w:color="FFFFFF" w:themeColor="background1"/>
            </w:tcBorders>
            <w:shd w:val="clear" w:color="auto" w:fill="124F73"/>
          </w:tcPr>
          <w:p w14:paraId="746740AC" w14:textId="77777777" w:rsidR="009352A0" w:rsidRPr="00ED1C1E" w:rsidRDefault="004F5411" w:rsidP="0036648C">
            <w:pPr>
              <w:pStyle w:val="tabletext"/>
              <w:rPr>
                <w:b/>
                <w:bCs/>
                <w:color w:val="FFFFFF" w:themeColor="background1"/>
              </w:rPr>
            </w:pPr>
            <w:r w:rsidRPr="00ED1C1E">
              <w:rPr>
                <w:b/>
                <w:bCs/>
                <w:color w:val="FFFFFF" w:themeColor="background1"/>
              </w:rPr>
              <w:t>Evidence</w:t>
            </w:r>
          </w:p>
        </w:tc>
      </w:tr>
      <w:tr w:rsidR="00027FDA" w:rsidRPr="00ED1C1E" w14:paraId="746740B4" w14:textId="77777777" w:rsidTr="00AC7159">
        <w:tc>
          <w:tcPr>
            <w:tcW w:w="5184" w:type="dxa"/>
            <w:shd w:val="clear" w:color="auto" w:fill="FAD41A"/>
          </w:tcPr>
          <w:p w14:paraId="746740AE" w14:textId="30BA779A" w:rsidR="00027FDA" w:rsidRPr="00ED1C1E" w:rsidRDefault="005B695D" w:rsidP="005B695D">
            <w:pPr>
              <w:pStyle w:val="tabletext"/>
            </w:pPr>
            <w:r w:rsidRPr="00ED1C1E">
              <w:t xml:space="preserve">1. </w:t>
            </w:r>
            <w:r w:rsidR="00864850" w:rsidRPr="00ED1C1E">
              <w:t>Satisfies relevant criteria of district’s selected external review</w:t>
            </w:r>
          </w:p>
        </w:tc>
        <w:tc>
          <w:tcPr>
            <w:tcW w:w="576" w:type="dxa"/>
            <w:shd w:val="clear" w:color="auto" w:fill="auto"/>
          </w:tcPr>
          <w:p w14:paraId="746740AF" w14:textId="3E98940A" w:rsidR="00027FDA" w:rsidRPr="00ED1C1E" w:rsidRDefault="00027FDA" w:rsidP="0036648C">
            <w:pPr>
              <w:pStyle w:val="tabletext"/>
              <w:rPr>
                <w:rFonts w:ascii="Calibri" w:hAnsi="Calibri"/>
                <w:sz w:val="20"/>
                <w:szCs w:val="20"/>
              </w:rPr>
            </w:pPr>
          </w:p>
        </w:tc>
        <w:tc>
          <w:tcPr>
            <w:tcW w:w="576" w:type="dxa"/>
            <w:shd w:val="clear" w:color="auto" w:fill="auto"/>
          </w:tcPr>
          <w:p w14:paraId="746740B0" w14:textId="7E742436" w:rsidR="00027FDA" w:rsidRPr="00ED1C1E" w:rsidRDefault="00027FDA" w:rsidP="0036648C">
            <w:pPr>
              <w:pStyle w:val="tabletext"/>
              <w:rPr>
                <w:rFonts w:ascii="Calibri" w:hAnsi="Calibri"/>
                <w:sz w:val="20"/>
                <w:szCs w:val="20"/>
              </w:rPr>
            </w:pPr>
          </w:p>
        </w:tc>
        <w:tc>
          <w:tcPr>
            <w:tcW w:w="576" w:type="dxa"/>
            <w:shd w:val="clear" w:color="auto" w:fill="auto"/>
          </w:tcPr>
          <w:p w14:paraId="746740B1" w14:textId="489E30FD" w:rsidR="00027FDA" w:rsidRPr="00ED1C1E" w:rsidRDefault="00027FDA" w:rsidP="0036648C">
            <w:pPr>
              <w:pStyle w:val="tabletext"/>
              <w:rPr>
                <w:rFonts w:ascii="Calibri" w:hAnsi="Calibri"/>
                <w:sz w:val="20"/>
                <w:szCs w:val="20"/>
              </w:rPr>
            </w:pPr>
          </w:p>
        </w:tc>
        <w:tc>
          <w:tcPr>
            <w:tcW w:w="576" w:type="dxa"/>
            <w:shd w:val="clear" w:color="auto" w:fill="auto"/>
          </w:tcPr>
          <w:p w14:paraId="746740B2" w14:textId="77CA4009" w:rsidR="00027FDA" w:rsidRPr="00ED1C1E" w:rsidRDefault="00027FDA" w:rsidP="0036648C">
            <w:pPr>
              <w:pStyle w:val="tabletext"/>
              <w:rPr>
                <w:rFonts w:ascii="Calibri" w:hAnsi="Calibri"/>
                <w:sz w:val="20"/>
                <w:szCs w:val="20"/>
              </w:rPr>
            </w:pPr>
          </w:p>
        </w:tc>
        <w:tc>
          <w:tcPr>
            <w:tcW w:w="6722" w:type="dxa"/>
            <w:shd w:val="clear" w:color="auto" w:fill="auto"/>
          </w:tcPr>
          <w:p w14:paraId="746740B3" w14:textId="77777777" w:rsidR="00027FDA" w:rsidRPr="00ED1C1E" w:rsidRDefault="00027FDA" w:rsidP="0036648C">
            <w:pPr>
              <w:pStyle w:val="tabletext"/>
              <w:rPr>
                <w:rFonts w:ascii="Calibri" w:hAnsi="Calibri"/>
                <w:sz w:val="20"/>
                <w:szCs w:val="20"/>
              </w:rPr>
            </w:pPr>
          </w:p>
        </w:tc>
      </w:tr>
      <w:tr w:rsidR="00E02DD2" w:rsidRPr="00ED1C1E" w14:paraId="746740BB" w14:textId="77777777" w:rsidTr="00AC7159">
        <w:tc>
          <w:tcPr>
            <w:tcW w:w="5184" w:type="dxa"/>
            <w:shd w:val="clear" w:color="auto" w:fill="FAD41A"/>
          </w:tcPr>
          <w:p w14:paraId="746740B5" w14:textId="4297732B" w:rsidR="00027FDA" w:rsidRPr="00ED1C1E" w:rsidRDefault="005B695D" w:rsidP="005B695D">
            <w:pPr>
              <w:pStyle w:val="tabletext"/>
            </w:pPr>
            <w:r w:rsidRPr="00ED1C1E">
              <w:t xml:space="preserve">2. </w:t>
            </w:r>
            <w:r w:rsidR="00027FDA" w:rsidRPr="00ED1C1E">
              <w:t xml:space="preserve">When </w:t>
            </w:r>
            <w:r w:rsidR="006448B2" w:rsidRPr="00ED1C1E">
              <w:t xml:space="preserve">external </w:t>
            </w:r>
            <w:r w:rsidR="00027FDA" w:rsidRPr="00ED1C1E">
              <w:t>review is unavailable,</w:t>
            </w:r>
            <w:r w:rsidR="00014035" w:rsidRPr="00ED1C1E">
              <w:t xml:space="preserve"> </w:t>
            </w:r>
            <w:r w:rsidR="00027FDA" w:rsidRPr="00ED1C1E">
              <w:t xml:space="preserve">rigorous review has confirmed alignment to research-based practices in key areas (e.g., </w:t>
            </w:r>
            <w:hyperlink r:id="rId14" w:history="1">
              <w:r w:rsidR="00027FDA" w:rsidRPr="00ED1C1E">
                <w:rPr>
                  <w:rStyle w:val="Hyperlink"/>
                </w:rPr>
                <w:t>NJTSS-ER Tier 1 Core Analysis Tool</w:t>
              </w:r>
            </w:hyperlink>
            <w:r w:rsidR="00027FDA" w:rsidRPr="00ED1C1E">
              <w:t>)</w:t>
            </w:r>
          </w:p>
        </w:tc>
        <w:tc>
          <w:tcPr>
            <w:tcW w:w="576" w:type="dxa"/>
            <w:shd w:val="clear" w:color="auto" w:fill="F2F2F2" w:themeFill="background1" w:themeFillShade="F2"/>
          </w:tcPr>
          <w:p w14:paraId="746740B6" w14:textId="2AE095FD" w:rsidR="00027FDA" w:rsidRPr="00ED1C1E" w:rsidRDefault="00027FDA" w:rsidP="0036648C">
            <w:pPr>
              <w:pStyle w:val="tabletext"/>
              <w:rPr>
                <w:rFonts w:ascii="Calibri" w:hAnsi="Calibri"/>
                <w:sz w:val="20"/>
                <w:szCs w:val="20"/>
              </w:rPr>
            </w:pPr>
          </w:p>
        </w:tc>
        <w:tc>
          <w:tcPr>
            <w:tcW w:w="576" w:type="dxa"/>
            <w:shd w:val="clear" w:color="auto" w:fill="F2F2F2" w:themeFill="background1" w:themeFillShade="F2"/>
          </w:tcPr>
          <w:p w14:paraId="746740B7" w14:textId="04E6DB2A" w:rsidR="00027FDA" w:rsidRPr="00ED1C1E" w:rsidRDefault="00027FDA" w:rsidP="0036648C">
            <w:pPr>
              <w:pStyle w:val="tabletext"/>
              <w:rPr>
                <w:rFonts w:ascii="Calibri" w:hAnsi="Calibri"/>
                <w:sz w:val="20"/>
                <w:szCs w:val="20"/>
              </w:rPr>
            </w:pPr>
          </w:p>
        </w:tc>
        <w:tc>
          <w:tcPr>
            <w:tcW w:w="576" w:type="dxa"/>
            <w:shd w:val="clear" w:color="auto" w:fill="F2F2F2" w:themeFill="background1" w:themeFillShade="F2"/>
          </w:tcPr>
          <w:p w14:paraId="746740B8" w14:textId="277292FB" w:rsidR="00027FDA" w:rsidRPr="00ED1C1E" w:rsidRDefault="00027FDA" w:rsidP="0036648C">
            <w:pPr>
              <w:pStyle w:val="tabletext"/>
              <w:rPr>
                <w:rFonts w:ascii="Calibri" w:hAnsi="Calibri"/>
                <w:sz w:val="20"/>
                <w:szCs w:val="20"/>
              </w:rPr>
            </w:pPr>
          </w:p>
        </w:tc>
        <w:tc>
          <w:tcPr>
            <w:tcW w:w="576" w:type="dxa"/>
            <w:shd w:val="clear" w:color="auto" w:fill="F2F2F2" w:themeFill="background1" w:themeFillShade="F2"/>
          </w:tcPr>
          <w:p w14:paraId="746740B9" w14:textId="717D6DEA" w:rsidR="00027FDA" w:rsidRPr="00ED1C1E" w:rsidRDefault="00027FDA" w:rsidP="0036648C">
            <w:pPr>
              <w:pStyle w:val="tabletext"/>
              <w:rPr>
                <w:rFonts w:ascii="Calibri" w:hAnsi="Calibri"/>
                <w:sz w:val="20"/>
                <w:szCs w:val="20"/>
              </w:rPr>
            </w:pPr>
          </w:p>
        </w:tc>
        <w:tc>
          <w:tcPr>
            <w:tcW w:w="6722" w:type="dxa"/>
            <w:shd w:val="clear" w:color="auto" w:fill="F2F2F2" w:themeFill="background1" w:themeFillShade="F2"/>
          </w:tcPr>
          <w:p w14:paraId="746740BA" w14:textId="77777777" w:rsidR="00027FDA" w:rsidRPr="00ED1C1E" w:rsidRDefault="00027FDA" w:rsidP="0036648C">
            <w:pPr>
              <w:pStyle w:val="tabletext"/>
              <w:rPr>
                <w:rFonts w:ascii="Calibri" w:hAnsi="Calibri"/>
                <w:sz w:val="20"/>
                <w:szCs w:val="20"/>
              </w:rPr>
            </w:pPr>
          </w:p>
        </w:tc>
      </w:tr>
      <w:tr w:rsidR="00027FDA" w:rsidRPr="00ED1C1E" w14:paraId="746740C2" w14:textId="77777777" w:rsidTr="00AC7159">
        <w:tc>
          <w:tcPr>
            <w:tcW w:w="5184" w:type="dxa"/>
            <w:shd w:val="clear" w:color="auto" w:fill="FAD41A"/>
          </w:tcPr>
          <w:p w14:paraId="746740BC" w14:textId="43851878" w:rsidR="00027FDA" w:rsidRPr="00ED1C1E" w:rsidRDefault="005B695D" w:rsidP="005B695D">
            <w:pPr>
              <w:pStyle w:val="tabletext"/>
            </w:pPr>
            <w:r w:rsidRPr="00ED1C1E">
              <w:t xml:space="preserve">3. </w:t>
            </w:r>
            <w:r w:rsidR="00027FDA" w:rsidRPr="00ED1C1E">
              <w:t xml:space="preserve">Emphasizes </w:t>
            </w:r>
            <w:r w:rsidR="00096C5C" w:rsidRPr="00ED1C1E">
              <w:t>e</w:t>
            </w:r>
            <w:r w:rsidR="00027FDA" w:rsidRPr="00ED1C1E">
              <w:t xml:space="preserve">xplicit, </w:t>
            </w:r>
            <w:r w:rsidR="00096C5C" w:rsidRPr="00ED1C1E">
              <w:t>s</w:t>
            </w:r>
            <w:r w:rsidR="00027FDA" w:rsidRPr="00ED1C1E">
              <w:t xml:space="preserve">ystematic </w:t>
            </w:r>
            <w:r w:rsidR="00096C5C" w:rsidRPr="00ED1C1E">
              <w:t>p</w:t>
            </w:r>
            <w:r w:rsidR="00027FDA" w:rsidRPr="00ED1C1E">
              <w:t xml:space="preserve">honics </w:t>
            </w:r>
            <w:r w:rsidR="00096C5C" w:rsidRPr="00ED1C1E">
              <w:t>i</w:t>
            </w:r>
            <w:r w:rsidR="00027FDA" w:rsidRPr="00ED1C1E">
              <w:t xml:space="preserve">nstruction and </w:t>
            </w:r>
            <w:r w:rsidR="00096C5C" w:rsidRPr="00ED1C1E">
              <w:t>d</w:t>
            </w:r>
            <w:r w:rsidR="00027FDA" w:rsidRPr="00ED1C1E">
              <w:t xml:space="preserve">ecodable </w:t>
            </w:r>
            <w:r w:rsidR="00096C5C" w:rsidRPr="00ED1C1E">
              <w:t>t</w:t>
            </w:r>
            <w:r w:rsidR="00027FDA" w:rsidRPr="00ED1C1E">
              <w:t>exts</w:t>
            </w:r>
          </w:p>
        </w:tc>
        <w:tc>
          <w:tcPr>
            <w:tcW w:w="576" w:type="dxa"/>
            <w:shd w:val="clear" w:color="auto" w:fill="auto"/>
          </w:tcPr>
          <w:p w14:paraId="746740BD" w14:textId="3F297706" w:rsidR="00027FDA" w:rsidRPr="00ED1C1E" w:rsidRDefault="00027FDA" w:rsidP="0036648C">
            <w:pPr>
              <w:pStyle w:val="tabletext"/>
              <w:rPr>
                <w:rFonts w:ascii="Calibri" w:hAnsi="Calibri"/>
                <w:sz w:val="20"/>
                <w:szCs w:val="20"/>
              </w:rPr>
            </w:pPr>
          </w:p>
        </w:tc>
        <w:tc>
          <w:tcPr>
            <w:tcW w:w="576" w:type="dxa"/>
            <w:shd w:val="clear" w:color="auto" w:fill="auto"/>
          </w:tcPr>
          <w:p w14:paraId="746740BE" w14:textId="34C80429" w:rsidR="00027FDA" w:rsidRPr="00ED1C1E" w:rsidRDefault="00027FDA" w:rsidP="0036648C">
            <w:pPr>
              <w:pStyle w:val="tabletext"/>
              <w:rPr>
                <w:rFonts w:ascii="Calibri" w:hAnsi="Calibri"/>
                <w:sz w:val="20"/>
                <w:szCs w:val="20"/>
              </w:rPr>
            </w:pPr>
          </w:p>
        </w:tc>
        <w:tc>
          <w:tcPr>
            <w:tcW w:w="576" w:type="dxa"/>
            <w:shd w:val="clear" w:color="auto" w:fill="auto"/>
          </w:tcPr>
          <w:p w14:paraId="746740BF" w14:textId="785470B5" w:rsidR="00027FDA" w:rsidRPr="00ED1C1E" w:rsidRDefault="00027FDA" w:rsidP="0036648C">
            <w:pPr>
              <w:pStyle w:val="tabletext"/>
              <w:rPr>
                <w:rFonts w:ascii="Calibri" w:hAnsi="Calibri"/>
                <w:sz w:val="20"/>
                <w:szCs w:val="20"/>
              </w:rPr>
            </w:pPr>
          </w:p>
        </w:tc>
        <w:tc>
          <w:tcPr>
            <w:tcW w:w="576" w:type="dxa"/>
            <w:shd w:val="clear" w:color="auto" w:fill="auto"/>
          </w:tcPr>
          <w:p w14:paraId="746740C0" w14:textId="5A74CB76" w:rsidR="00027FDA" w:rsidRPr="00ED1C1E" w:rsidRDefault="00027FDA" w:rsidP="0036648C">
            <w:pPr>
              <w:pStyle w:val="tabletext"/>
              <w:rPr>
                <w:rFonts w:ascii="Calibri" w:hAnsi="Calibri"/>
                <w:sz w:val="20"/>
                <w:szCs w:val="20"/>
              </w:rPr>
            </w:pPr>
          </w:p>
        </w:tc>
        <w:tc>
          <w:tcPr>
            <w:tcW w:w="6722" w:type="dxa"/>
            <w:shd w:val="clear" w:color="auto" w:fill="auto"/>
          </w:tcPr>
          <w:p w14:paraId="746740C1" w14:textId="77777777" w:rsidR="00027FDA" w:rsidRPr="00ED1C1E" w:rsidRDefault="00027FDA" w:rsidP="0036648C">
            <w:pPr>
              <w:pStyle w:val="tabletext"/>
              <w:rPr>
                <w:rFonts w:ascii="Calibri" w:hAnsi="Calibri"/>
                <w:sz w:val="20"/>
                <w:szCs w:val="20"/>
              </w:rPr>
            </w:pPr>
          </w:p>
        </w:tc>
      </w:tr>
      <w:tr w:rsidR="00E02DD2" w:rsidRPr="00ED1C1E" w14:paraId="746740C9" w14:textId="77777777" w:rsidTr="00AC7159">
        <w:tc>
          <w:tcPr>
            <w:tcW w:w="5184" w:type="dxa"/>
            <w:shd w:val="clear" w:color="auto" w:fill="FAD41A"/>
          </w:tcPr>
          <w:p w14:paraId="746740C3" w14:textId="3FC50AB0" w:rsidR="00027FDA" w:rsidRPr="00ED1C1E" w:rsidRDefault="005B695D" w:rsidP="005B695D">
            <w:pPr>
              <w:pStyle w:val="tabletext"/>
            </w:pPr>
            <w:r w:rsidRPr="00ED1C1E">
              <w:t xml:space="preserve">4. </w:t>
            </w:r>
            <w:r w:rsidR="00027FDA" w:rsidRPr="00ED1C1E">
              <w:t xml:space="preserve">Avoids </w:t>
            </w:r>
            <w:r w:rsidR="00096C5C" w:rsidRPr="00ED1C1E">
              <w:t>p</w:t>
            </w:r>
            <w:r w:rsidR="00027FDA" w:rsidRPr="00ED1C1E">
              <w:t xml:space="preserve">ractices </w:t>
            </w:r>
            <w:r w:rsidR="00096C5C" w:rsidRPr="00ED1C1E">
              <w:t>u</w:t>
            </w:r>
            <w:r w:rsidR="00027FDA" w:rsidRPr="00ED1C1E">
              <w:t xml:space="preserve">nsupported by </w:t>
            </w:r>
            <w:r w:rsidR="00096C5C" w:rsidRPr="00ED1C1E">
              <w:t>r</w:t>
            </w:r>
            <w:r w:rsidR="00027FDA" w:rsidRPr="00ED1C1E">
              <w:t>esearch</w:t>
            </w:r>
          </w:p>
        </w:tc>
        <w:tc>
          <w:tcPr>
            <w:tcW w:w="576" w:type="dxa"/>
            <w:shd w:val="clear" w:color="auto" w:fill="F2F2F2" w:themeFill="background1" w:themeFillShade="F2"/>
          </w:tcPr>
          <w:p w14:paraId="746740C4" w14:textId="75712355" w:rsidR="00027FDA" w:rsidRPr="00ED1C1E" w:rsidRDefault="00027FDA" w:rsidP="0036648C">
            <w:pPr>
              <w:pStyle w:val="tabletext"/>
              <w:rPr>
                <w:rFonts w:ascii="Calibri" w:hAnsi="Calibri"/>
                <w:sz w:val="20"/>
                <w:szCs w:val="20"/>
              </w:rPr>
            </w:pPr>
          </w:p>
        </w:tc>
        <w:tc>
          <w:tcPr>
            <w:tcW w:w="576" w:type="dxa"/>
            <w:shd w:val="clear" w:color="auto" w:fill="F2F2F2" w:themeFill="background1" w:themeFillShade="F2"/>
          </w:tcPr>
          <w:p w14:paraId="746740C5" w14:textId="1065591C" w:rsidR="00027FDA" w:rsidRPr="00ED1C1E" w:rsidRDefault="00027FDA" w:rsidP="0036648C">
            <w:pPr>
              <w:pStyle w:val="tabletext"/>
              <w:rPr>
                <w:rFonts w:ascii="Calibri" w:hAnsi="Calibri"/>
                <w:sz w:val="20"/>
                <w:szCs w:val="20"/>
              </w:rPr>
            </w:pPr>
          </w:p>
        </w:tc>
        <w:tc>
          <w:tcPr>
            <w:tcW w:w="576" w:type="dxa"/>
            <w:shd w:val="clear" w:color="auto" w:fill="F2F2F2" w:themeFill="background1" w:themeFillShade="F2"/>
          </w:tcPr>
          <w:p w14:paraId="746740C6" w14:textId="1B1849F0" w:rsidR="00027FDA" w:rsidRPr="00ED1C1E" w:rsidRDefault="00027FDA" w:rsidP="0036648C">
            <w:pPr>
              <w:pStyle w:val="tabletext"/>
              <w:rPr>
                <w:rFonts w:ascii="Calibri" w:hAnsi="Calibri"/>
                <w:sz w:val="20"/>
                <w:szCs w:val="20"/>
              </w:rPr>
            </w:pPr>
          </w:p>
        </w:tc>
        <w:tc>
          <w:tcPr>
            <w:tcW w:w="576" w:type="dxa"/>
            <w:shd w:val="clear" w:color="auto" w:fill="F2F2F2" w:themeFill="background1" w:themeFillShade="F2"/>
          </w:tcPr>
          <w:p w14:paraId="746740C7" w14:textId="0DD92999" w:rsidR="00027FDA" w:rsidRPr="00ED1C1E" w:rsidRDefault="00027FDA" w:rsidP="0036648C">
            <w:pPr>
              <w:pStyle w:val="tabletext"/>
              <w:rPr>
                <w:rFonts w:ascii="Calibri" w:hAnsi="Calibri"/>
                <w:sz w:val="20"/>
                <w:szCs w:val="20"/>
              </w:rPr>
            </w:pPr>
          </w:p>
        </w:tc>
        <w:tc>
          <w:tcPr>
            <w:tcW w:w="6722" w:type="dxa"/>
            <w:shd w:val="clear" w:color="auto" w:fill="F2F2F2" w:themeFill="background1" w:themeFillShade="F2"/>
          </w:tcPr>
          <w:p w14:paraId="746740C8" w14:textId="77777777" w:rsidR="00027FDA" w:rsidRPr="00ED1C1E" w:rsidRDefault="00027FDA" w:rsidP="0036648C">
            <w:pPr>
              <w:pStyle w:val="tabletext"/>
              <w:rPr>
                <w:rFonts w:ascii="Calibri" w:hAnsi="Calibri"/>
                <w:sz w:val="20"/>
                <w:szCs w:val="20"/>
              </w:rPr>
            </w:pPr>
          </w:p>
        </w:tc>
      </w:tr>
      <w:tr w:rsidR="00027FDA" w:rsidRPr="00ED1C1E" w14:paraId="746740D0" w14:textId="77777777" w:rsidTr="00AC7159">
        <w:tc>
          <w:tcPr>
            <w:tcW w:w="5184" w:type="dxa"/>
            <w:shd w:val="clear" w:color="auto" w:fill="FAD41A"/>
          </w:tcPr>
          <w:p w14:paraId="746740CA" w14:textId="5B61B2B4" w:rsidR="00027FDA" w:rsidRPr="00ED1C1E" w:rsidRDefault="005B695D" w:rsidP="005B695D">
            <w:pPr>
              <w:pStyle w:val="tabletext"/>
            </w:pPr>
            <w:r w:rsidRPr="00ED1C1E">
              <w:t xml:space="preserve">5. </w:t>
            </w:r>
            <w:r w:rsidR="00096C5C" w:rsidRPr="00ED1C1E">
              <w:t>Emphasizes knowledge building</w:t>
            </w:r>
          </w:p>
        </w:tc>
        <w:tc>
          <w:tcPr>
            <w:tcW w:w="576" w:type="dxa"/>
            <w:shd w:val="clear" w:color="auto" w:fill="auto"/>
          </w:tcPr>
          <w:p w14:paraId="746740CB" w14:textId="3FDFE322" w:rsidR="00027FDA" w:rsidRPr="00ED1C1E" w:rsidRDefault="00027FDA" w:rsidP="0036648C">
            <w:pPr>
              <w:pStyle w:val="tabletext"/>
              <w:rPr>
                <w:rFonts w:ascii="Calibri" w:hAnsi="Calibri"/>
                <w:sz w:val="20"/>
                <w:szCs w:val="20"/>
              </w:rPr>
            </w:pPr>
          </w:p>
        </w:tc>
        <w:tc>
          <w:tcPr>
            <w:tcW w:w="576" w:type="dxa"/>
            <w:shd w:val="clear" w:color="auto" w:fill="auto"/>
          </w:tcPr>
          <w:p w14:paraId="746740CC" w14:textId="0B196BBE" w:rsidR="00027FDA" w:rsidRPr="00ED1C1E" w:rsidRDefault="00027FDA" w:rsidP="0036648C">
            <w:pPr>
              <w:pStyle w:val="tabletext"/>
              <w:rPr>
                <w:rFonts w:ascii="Calibri" w:hAnsi="Calibri"/>
                <w:sz w:val="20"/>
                <w:szCs w:val="20"/>
              </w:rPr>
            </w:pPr>
          </w:p>
        </w:tc>
        <w:tc>
          <w:tcPr>
            <w:tcW w:w="576" w:type="dxa"/>
            <w:shd w:val="clear" w:color="auto" w:fill="auto"/>
          </w:tcPr>
          <w:p w14:paraId="746740CD" w14:textId="69470A13" w:rsidR="00027FDA" w:rsidRPr="00ED1C1E" w:rsidRDefault="00027FDA" w:rsidP="0036648C">
            <w:pPr>
              <w:pStyle w:val="tabletext"/>
              <w:rPr>
                <w:rFonts w:ascii="Calibri" w:hAnsi="Calibri"/>
                <w:sz w:val="20"/>
                <w:szCs w:val="20"/>
              </w:rPr>
            </w:pPr>
          </w:p>
        </w:tc>
        <w:tc>
          <w:tcPr>
            <w:tcW w:w="576" w:type="dxa"/>
            <w:shd w:val="clear" w:color="auto" w:fill="auto"/>
          </w:tcPr>
          <w:p w14:paraId="746740CE" w14:textId="655A61A1" w:rsidR="00027FDA" w:rsidRPr="00ED1C1E" w:rsidRDefault="00027FDA" w:rsidP="0036648C">
            <w:pPr>
              <w:pStyle w:val="tabletext"/>
              <w:rPr>
                <w:rFonts w:ascii="Calibri" w:hAnsi="Calibri"/>
                <w:sz w:val="20"/>
                <w:szCs w:val="20"/>
              </w:rPr>
            </w:pPr>
          </w:p>
        </w:tc>
        <w:tc>
          <w:tcPr>
            <w:tcW w:w="6722" w:type="dxa"/>
            <w:shd w:val="clear" w:color="auto" w:fill="auto"/>
          </w:tcPr>
          <w:p w14:paraId="746740CF" w14:textId="77777777" w:rsidR="00027FDA" w:rsidRPr="00ED1C1E" w:rsidRDefault="00027FDA" w:rsidP="0036648C">
            <w:pPr>
              <w:pStyle w:val="tabletext"/>
              <w:rPr>
                <w:rFonts w:ascii="Calibri" w:hAnsi="Calibri"/>
                <w:sz w:val="20"/>
                <w:szCs w:val="20"/>
              </w:rPr>
            </w:pPr>
          </w:p>
        </w:tc>
      </w:tr>
      <w:tr w:rsidR="00E02DD2" w:rsidRPr="00ED1C1E" w14:paraId="746740D7" w14:textId="77777777" w:rsidTr="00AC7159">
        <w:tc>
          <w:tcPr>
            <w:tcW w:w="5184" w:type="dxa"/>
            <w:shd w:val="clear" w:color="auto" w:fill="FAD41A"/>
          </w:tcPr>
          <w:p w14:paraId="746740D1" w14:textId="7E052EAB" w:rsidR="00027FDA" w:rsidRPr="00ED1C1E" w:rsidRDefault="005B695D" w:rsidP="0036648C">
            <w:pPr>
              <w:pStyle w:val="tabletext"/>
            </w:pPr>
            <w:r w:rsidRPr="00ED1C1E">
              <w:t xml:space="preserve">6. </w:t>
            </w:r>
            <w:r w:rsidR="00027FDA" w:rsidRPr="00ED1C1E">
              <w:t>Avoids Basal Bloat</w:t>
            </w:r>
          </w:p>
        </w:tc>
        <w:tc>
          <w:tcPr>
            <w:tcW w:w="576" w:type="dxa"/>
            <w:shd w:val="clear" w:color="auto" w:fill="F2F2F2" w:themeFill="background1" w:themeFillShade="F2"/>
          </w:tcPr>
          <w:p w14:paraId="746740D2" w14:textId="56446908" w:rsidR="00027FDA" w:rsidRPr="00ED1C1E" w:rsidRDefault="00027FDA" w:rsidP="0036648C">
            <w:pPr>
              <w:pStyle w:val="tabletext"/>
              <w:rPr>
                <w:rFonts w:ascii="Calibri" w:hAnsi="Calibri"/>
                <w:sz w:val="20"/>
                <w:szCs w:val="20"/>
              </w:rPr>
            </w:pPr>
          </w:p>
        </w:tc>
        <w:tc>
          <w:tcPr>
            <w:tcW w:w="576" w:type="dxa"/>
            <w:shd w:val="clear" w:color="auto" w:fill="F2F2F2" w:themeFill="background1" w:themeFillShade="F2"/>
          </w:tcPr>
          <w:p w14:paraId="746740D3" w14:textId="197E3E1D" w:rsidR="00027FDA" w:rsidRPr="00ED1C1E" w:rsidRDefault="00027FDA" w:rsidP="0036648C">
            <w:pPr>
              <w:pStyle w:val="tabletext"/>
              <w:rPr>
                <w:rFonts w:ascii="Calibri" w:hAnsi="Calibri"/>
                <w:sz w:val="20"/>
                <w:szCs w:val="20"/>
              </w:rPr>
            </w:pPr>
          </w:p>
        </w:tc>
        <w:tc>
          <w:tcPr>
            <w:tcW w:w="576" w:type="dxa"/>
            <w:shd w:val="clear" w:color="auto" w:fill="F2F2F2" w:themeFill="background1" w:themeFillShade="F2"/>
          </w:tcPr>
          <w:p w14:paraId="746740D4" w14:textId="1B219FBA" w:rsidR="00027FDA" w:rsidRPr="00ED1C1E" w:rsidRDefault="00027FDA" w:rsidP="0036648C">
            <w:pPr>
              <w:pStyle w:val="tabletext"/>
              <w:rPr>
                <w:rFonts w:ascii="Calibri" w:hAnsi="Calibri"/>
                <w:sz w:val="20"/>
                <w:szCs w:val="20"/>
              </w:rPr>
            </w:pPr>
          </w:p>
        </w:tc>
        <w:tc>
          <w:tcPr>
            <w:tcW w:w="576" w:type="dxa"/>
            <w:shd w:val="clear" w:color="auto" w:fill="F2F2F2" w:themeFill="background1" w:themeFillShade="F2"/>
          </w:tcPr>
          <w:p w14:paraId="746740D5" w14:textId="73F95718" w:rsidR="00027FDA" w:rsidRPr="00ED1C1E" w:rsidRDefault="00027FDA" w:rsidP="0036648C">
            <w:pPr>
              <w:pStyle w:val="tabletext"/>
              <w:rPr>
                <w:rFonts w:ascii="Calibri" w:hAnsi="Calibri"/>
                <w:sz w:val="20"/>
                <w:szCs w:val="20"/>
              </w:rPr>
            </w:pPr>
          </w:p>
        </w:tc>
        <w:tc>
          <w:tcPr>
            <w:tcW w:w="6722" w:type="dxa"/>
            <w:shd w:val="clear" w:color="auto" w:fill="F2F2F2" w:themeFill="background1" w:themeFillShade="F2"/>
          </w:tcPr>
          <w:p w14:paraId="746740D6" w14:textId="77777777" w:rsidR="00027FDA" w:rsidRPr="00ED1C1E" w:rsidRDefault="00027FDA" w:rsidP="0036648C">
            <w:pPr>
              <w:pStyle w:val="tabletext"/>
              <w:rPr>
                <w:rFonts w:ascii="Calibri" w:hAnsi="Calibri"/>
                <w:sz w:val="20"/>
                <w:szCs w:val="20"/>
              </w:rPr>
            </w:pPr>
          </w:p>
        </w:tc>
      </w:tr>
    </w:tbl>
    <w:p w14:paraId="1C2DD2E8" w14:textId="77777777" w:rsidR="00AC7159" w:rsidRPr="00ED1C1E" w:rsidRDefault="005B695D" w:rsidP="00AC7159">
      <w:pPr>
        <w:tabs>
          <w:tab w:val="left" w:pos="4320"/>
          <w:tab w:val="left" w:pos="5400"/>
        </w:tabs>
        <w:spacing w:before="120" w:after="120"/>
      </w:pPr>
      <w:r w:rsidRPr="00ED1C1E">
        <w:rPr>
          <w:rFonts w:eastAsia="Calibri" w:cs="Calibri"/>
        </w:rPr>
        <w:t>7. Do the materials</w:t>
      </w:r>
      <w:r w:rsidR="001725C4" w:rsidRPr="00ED1C1E">
        <w:rPr>
          <w:rFonts w:eastAsia="Calibri" w:cs="Calibri"/>
        </w:rPr>
        <w:t xml:space="preserve"> pass Criterion 1</w:t>
      </w:r>
      <w:r w:rsidRPr="00ED1C1E">
        <w:rPr>
          <w:rFonts w:eastAsia="Calibri" w:cs="Calibri"/>
        </w:rPr>
        <w:t>?</w:t>
      </w:r>
    </w:p>
    <w:p w14:paraId="0826255B" w14:textId="77777777" w:rsidR="00AC7159" w:rsidRPr="00ED1C1E" w:rsidRDefault="001725C4" w:rsidP="00AC7159">
      <w:pPr>
        <w:pStyle w:val="ListParagraph"/>
        <w:numPr>
          <w:ilvl w:val="0"/>
          <w:numId w:val="39"/>
        </w:numPr>
        <w:tabs>
          <w:tab w:val="left" w:pos="4320"/>
          <w:tab w:val="left" w:pos="5400"/>
        </w:tabs>
        <w:rPr>
          <w:rFonts w:eastAsia="Calibri" w:cs="Calibri"/>
        </w:rPr>
      </w:pPr>
      <w:r w:rsidRPr="00ED1C1E">
        <w:rPr>
          <w:rFonts w:eastAsia="Calibri" w:cs="Calibri"/>
        </w:rPr>
        <w:t>Yes</w:t>
      </w:r>
    </w:p>
    <w:p w14:paraId="06AC843C" w14:textId="08282BD4" w:rsidR="00DB6245" w:rsidRPr="00ED1C1E" w:rsidRDefault="001725C4" w:rsidP="00AC7159">
      <w:pPr>
        <w:pStyle w:val="ListParagraph"/>
        <w:numPr>
          <w:ilvl w:val="0"/>
          <w:numId w:val="39"/>
        </w:numPr>
        <w:tabs>
          <w:tab w:val="left" w:pos="4320"/>
          <w:tab w:val="left" w:pos="5400"/>
        </w:tabs>
        <w:spacing w:before="120" w:after="240"/>
        <w:rPr>
          <w:rFonts w:eastAsia="Calibri" w:cs="Calibri"/>
        </w:rPr>
      </w:pPr>
      <w:r w:rsidRPr="00ED1C1E">
        <w:rPr>
          <w:rFonts w:eastAsia="Calibri" w:cs="Calibri"/>
        </w:rPr>
        <w:t>No</w:t>
      </w:r>
    </w:p>
    <w:p w14:paraId="62207972" w14:textId="3B2537F4" w:rsidR="001725C4" w:rsidRPr="00ED1C1E" w:rsidRDefault="001725C4" w:rsidP="0090794A">
      <w:pPr>
        <w:ind w:left="288"/>
        <w:rPr>
          <w:rFonts w:eastAsia="Calibri" w:cs="Calibri"/>
          <w:szCs w:val="24"/>
        </w:rPr>
      </w:pPr>
      <w:r w:rsidRPr="00ED1C1E">
        <w:rPr>
          <w:rFonts w:eastAsia="Calibri" w:cs="Calibri"/>
          <w:szCs w:val="24"/>
        </w:rPr>
        <w:t>If materials pass, move to criterion 2.</w:t>
      </w:r>
    </w:p>
    <w:p w14:paraId="746740DF" w14:textId="7D84EDBA" w:rsidR="009352A0" w:rsidRPr="00ED1C1E" w:rsidRDefault="004F5411" w:rsidP="007B0091">
      <w:pPr>
        <w:pStyle w:val="Heading3"/>
      </w:pPr>
      <w:r w:rsidRPr="00ED1C1E">
        <w:t xml:space="preserve">Criterion 2: Consider Suitability for Diverse Learners, Accessibility, </w:t>
      </w:r>
      <w:r w:rsidR="009A546E" w:rsidRPr="00ED1C1E">
        <w:t xml:space="preserve">and </w:t>
      </w:r>
      <w:r w:rsidRPr="00ED1C1E">
        <w:t xml:space="preserve">Local Context </w:t>
      </w:r>
    </w:p>
    <w:p w14:paraId="1F977011" w14:textId="30EE137F" w:rsidR="00554867" w:rsidRPr="00ED1C1E" w:rsidRDefault="009A546E" w:rsidP="00CE0006">
      <w:r w:rsidRPr="00ED1C1E">
        <w:rPr>
          <w:b/>
          <w:bCs/>
        </w:rPr>
        <w:t>Note:</w:t>
      </w:r>
      <w:r w:rsidRPr="00ED1C1E">
        <w:t xml:space="preserve"> </w:t>
      </w:r>
      <w:r w:rsidRPr="00ED1C1E">
        <w:rPr>
          <w:rFonts w:eastAsia="Calibri" w:cs="Calibri"/>
          <w:szCs w:val="24"/>
        </w:rPr>
        <w:t>Many of the considerations for diverse learners would benefit all learners.</w:t>
      </w:r>
    </w:p>
    <w:p w14:paraId="48898829" w14:textId="7E1F0512" w:rsidR="001D56FE" w:rsidRPr="00ED1C1E" w:rsidRDefault="001D56FE" w:rsidP="001D56FE">
      <w:pPr>
        <w:pStyle w:val="Caption"/>
        <w:keepNext/>
      </w:pPr>
      <w:r w:rsidRPr="00ED1C1E">
        <w:t>Dimension 1: Considerations for Students with Disabilities or Learning Difficulties</w:t>
      </w:r>
    </w:p>
    <w:tbl>
      <w:tblPr>
        <w:tblW w:w="14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184"/>
        <w:gridCol w:w="576"/>
        <w:gridCol w:w="576"/>
        <w:gridCol w:w="576"/>
        <w:gridCol w:w="576"/>
        <w:gridCol w:w="6739"/>
      </w:tblGrid>
      <w:tr w:rsidR="009352A0" w:rsidRPr="00ED1C1E" w14:paraId="746740E8" w14:textId="77777777" w:rsidTr="00DA70B7">
        <w:trPr>
          <w:tblHeader/>
        </w:trPr>
        <w:tc>
          <w:tcPr>
            <w:tcW w:w="5184" w:type="dxa"/>
            <w:tcBorders>
              <w:right w:val="single" w:sz="4" w:space="0" w:color="FFFFFF" w:themeColor="background1"/>
            </w:tcBorders>
            <w:shd w:val="clear" w:color="auto" w:fill="124F73"/>
          </w:tcPr>
          <w:p w14:paraId="746740E2" w14:textId="77777777" w:rsidR="009352A0" w:rsidRPr="00ED1C1E" w:rsidRDefault="004F5411" w:rsidP="0036648C">
            <w:pPr>
              <w:pStyle w:val="tabletext"/>
              <w:rPr>
                <w:b/>
                <w:bCs/>
                <w:color w:val="FFFFFF" w:themeColor="background1"/>
              </w:rPr>
            </w:pPr>
            <w:r w:rsidRPr="00ED1C1E">
              <w:rPr>
                <w:b/>
                <w:bCs/>
                <w:color w:val="FFFFFF" w:themeColor="background1"/>
              </w:rPr>
              <w:t>Element</w:t>
            </w:r>
          </w:p>
        </w:tc>
        <w:tc>
          <w:tcPr>
            <w:tcW w:w="576" w:type="dxa"/>
            <w:tcBorders>
              <w:left w:val="single" w:sz="4" w:space="0" w:color="FFFFFF" w:themeColor="background1"/>
              <w:right w:val="single" w:sz="4" w:space="0" w:color="FFFFFF" w:themeColor="background1"/>
            </w:tcBorders>
            <w:shd w:val="clear" w:color="auto" w:fill="124F73"/>
          </w:tcPr>
          <w:p w14:paraId="746740E3" w14:textId="77777777" w:rsidR="009352A0" w:rsidRPr="00ED1C1E" w:rsidRDefault="004F5411" w:rsidP="0036648C">
            <w:pPr>
              <w:pStyle w:val="tabletext"/>
              <w:rPr>
                <w:b/>
                <w:bCs/>
                <w:color w:val="FFFFFF" w:themeColor="background1"/>
              </w:rPr>
            </w:pPr>
            <w:r w:rsidRPr="00ED1C1E">
              <w:rPr>
                <w:b/>
                <w:bCs/>
                <w:color w:val="FFFFFF" w:themeColor="background1"/>
              </w:rPr>
              <w:t>K</w:t>
            </w:r>
          </w:p>
        </w:tc>
        <w:tc>
          <w:tcPr>
            <w:tcW w:w="576" w:type="dxa"/>
            <w:tcBorders>
              <w:left w:val="single" w:sz="4" w:space="0" w:color="FFFFFF" w:themeColor="background1"/>
              <w:right w:val="single" w:sz="4" w:space="0" w:color="FFFFFF" w:themeColor="background1"/>
            </w:tcBorders>
            <w:shd w:val="clear" w:color="auto" w:fill="124F73"/>
          </w:tcPr>
          <w:p w14:paraId="746740E4" w14:textId="77777777" w:rsidR="009352A0" w:rsidRPr="00ED1C1E" w:rsidRDefault="004F5411" w:rsidP="0036648C">
            <w:pPr>
              <w:pStyle w:val="tabletext"/>
              <w:rPr>
                <w:b/>
                <w:bCs/>
                <w:color w:val="FFFFFF" w:themeColor="background1"/>
              </w:rPr>
            </w:pPr>
            <w:r w:rsidRPr="00ED1C1E">
              <w:rPr>
                <w:b/>
                <w:bCs/>
                <w:color w:val="FFFFFF" w:themeColor="background1"/>
              </w:rPr>
              <w:t>1</w:t>
            </w:r>
          </w:p>
        </w:tc>
        <w:tc>
          <w:tcPr>
            <w:tcW w:w="576" w:type="dxa"/>
            <w:tcBorders>
              <w:left w:val="single" w:sz="4" w:space="0" w:color="FFFFFF" w:themeColor="background1"/>
              <w:right w:val="single" w:sz="4" w:space="0" w:color="FFFFFF" w:themeColor="background1"/>
            </w:tcBorders>
            <w:shd w:val="clear" w:color="auto" w:fill="124F73"/>
          </w:tcPr>
          <w:p w14:paraId="746740E5" w14:textId="77777777" w:rsidR="009352A0" w:rsidRPr="00ED1C1E" w:rsidRDefault="004F5411" w:rsidP="0036648C">
            <w:pPr>
              <w:pStyle w:val="tabletext"/>
              <w:rPr>
                <w:b/>
                <w:bCs/>
                <w:color w:val="FFFFFF" w:themeColor="background1"/>
              </w:rPr>
            </w:pPr>
            <w:r w:rsidRPr="00ED1C1E">
              <w:rPr>
                <w:b/>
                <w:bCs/>
                <w:color w:val="FFFFFF" w:themeColor="background1"/>
              </w:rPr>
              <w:t>2</w:t>
            </w:r>
          </w:p>
        </w:tc>
        <w:tc>
          <w:tcPr>
            <w:tcW w:w="576" w:type="dxa"/>
            <w:tcBorders>
              <w:left w:val="single" w:sz="4" w:space="0" w:color="FFFFFF" w:themeColor="background1"/>
              <w:right w:val="single" w:sz="4" w:space="0" w:color="FFFFFF" w:themeColor="background1"/>
            </w:tcBorders>
            <w:shd w:val="clear" w:color="auto" w:fill="124F73"/>
          </w:tcPr>
          <w:p w14:paraId="746740E6" w14:textId="77777777" w:rsidR="009352A0" w:rsidRPr="00ED1C1E" w:rsidRDefault="004F5411" w:rsidP="0036648C">
            <w:pPr>
              <w:pStyle w:val="tabletext"/>
              <w:rPr>
                <w:b/>
                <w:bCs/>
                <w:color w:val="FFFFFF" w:themeColor="background1"/>
              </w:rPr>
            </w:pPr>
            <w:r w:rsidRPr="00ED1C1E">
              <w:rPr>
                <w:b/>
                <w:bCs/>
                <w:color w:val="FFFFFF" w:themeColor="background1"/>
              </w:rPr>
              <w:t>3</w:t>
            </w:r>
          </w:p>
        </w:tc>
        <w:tc>
          <w:tcPr>
            <w:tcW w:w="6739" w:type="dxa"/>
            <w:tcBorders>
              <w:left w:val="single" w:sz="4" w:space="0" w:color="FFFFFF" w:themeColor="background1"/>
            </w:tcBorders>
            <w:shd w:val="clear" w:color="auto" w:fill="124F73"/>
          </w:tcPr>
          <w:p w14:paraId="746740E7" w14:textId="77777777" w:rsidR="009352A0" w:rsidRPr="00ED1C1E" w:rsidRDefault="004F5411" w:rsidP="0036648C">
            <w:pPr>
              <w:pStyle w:val="tabletext"/>
              <w:rPr>
                <w:b/>
                <w:bCs/>
                <w:color w:val="FFFFFF" w:themeColor="background1"/>
              </w:rPr>
            </w:pPr>
            <w:r w:rsidRPr="00ED1C1E">
              <w:rPr>
                <w:b/>
                <w:bCs/>
                <w:color w:val="FFFFFF" w:themeColor="background1"/>
              </w:rPr>
              <w:t>Evidence</w:t>
            </w:r>
          </w:p>
        </w:tc>
      </w:tr>
      <w:tr w:rsidR="00027FDA" w:rsidRPr="00ED1C1E" w14:paraId="746740EF" w14:textId="77777777" w:rsidTr="00DA70B7">
        <w:tc>
          <w:tcPr>
            <w:tcW w:w="5184" w:type="dxa"/>
            <w:shd w:val="clear" w:color="auto" w:fill="FAD41A"/>
          </w:tcPr>
          <w:p w14:paraId="746740E9" w14:textId="20F1E935" w:rsidR="00027FDA" w:rsidRPr="00ED1C1E" w:rsidRDefault="00027FDA" w:rsidP="001D56FE">
            <w:pPr>
              <w:pStyle w:val="tabletext"/>
              <w:ind w:left="288" w:hanging="288"/>
            </w:pPr>
            <w:r w:rsidRPr="00ED1C1E">
              <w:t>1. Includes explicit instructional routines and resources for differentiating/scaffolding reading instruction with emphasis on targeted, foundational word recognition and language comprehension skills for small-group and/or individualized support</w:t>
            </w:r>
            <w:r w:rsidR="00014035" w:rsidRPr="00ED1C1E">
              <w:t xml:space="preserve"> </w:t>
            </w:r>
          </w:p>
        </w:tc>
        <w:tc>
          <w:tcPr>
            <w:tcW w:w="576" w:type="dxa"/>
          </w:tcPr>
          <w:p w14:paraId="746740EA" w14:textId="17142E20" w:rsidR="00027FDA" w:rsidRPr="00ED1C1E" w:rsidRDefault="00027FDA" w:rsidP="0036648C">
            <w:pPr>
              <w:pStyle w:val="tabletext"/>
              <w:rPr>
                <w:rFonts w:ascii="Calibri" w:hAnsi="Calibri"/>
                <w:sz w:val="20"/>
                <w:szCs w:val="20"/>
              </w:rPr>
            </w:pPr>
          </w:p>
        </w:tc>
        <w:tc>
          <w:tcPr>
            <w:tcW w:w="576" w:type="dxa"/>
          </w:tcPr>
          <w:p w14:paraId="746740EB" w14:textId="7C3A51F2" w:rsidR="00027FDA" w:rsidRPr="00ED1C1E" w:rsidRDefault="00027FDA" w:rsidP="0036648C">
            <w:pPr>
              <w:pStyle w:val="tabletext"/>
              <w:rPr>
                <w:rFonts w:ascii="Calibri" w:hAnsi="Calibri"/>
                <w:sz w:val="20"/>
                <w:szCs w:val="20"/>
              </w:rPr>
            </w:pPr>
          </w:p>
        </w:tc>
        <w:tc>
          <w:tcPr>
            <w:tcW w:w="576" w:type="dxa"/>
          </w:tcPr>
          <w:p w14:paraId="746740EC" w14:textId="6466A653" w:rsidR="00027FDA" w:rsidRPr="00ED1C1E" w:rsidRDefault="00027FDA" w:rsidP="0036648C">
            <w:pPr>
              <w:pStyle w:val="tabletext"/>
              <w:rPr>
                <w:rFonts w:ascii="Calibri" w:hAnsi="Calibri"/>
                <w:sz w:val="20"/>
                <w:szCs w:val="20"/>
              </w:rPr>
            </w:pPr>
          </w:p>
        </w:tc>
        <w:tc>
          <w:tcPr>
            <w:tcW w:w="576" w:type="dxa"/>
          </w:tcPr>
          <w:p w14:paraId="746740ED" w14:textId="5107B044" w:rsidR="00027FDA" w:rsidRPr="00ED1C1E" w:rsidRDefault="00027FDA" w:rsidP="0036648C">
            <w:pPr>
              <w:pStyle w:val="tabletext"/>
              <w:rPr>
                <w:rFonts w:ascii="Calibri" w:hAnsi="Calibri"/>
                <w:sz w:val="20"/>
                <w:szCs w:val="20"/>
              </w:rPr>
            </w:pPr>
          </w:p>
        </w:tc>
        <w:tc>
          <w:tcPr>
            <w:tcW w:w="6739" w:type="dxa"/>
          </w:tcPr>
          <w:p w14:paraId="746740EE" w14:textId="77777777" w:rsidR="00027FDA" w:rsidRPr="00ED1C1E" w:rsidRDefault="00027FDA" w:rsidP="0036648C">
            <w:pPr>
              <w:pStyle w:val="tabletext"/>
              <w:rPr>
                <w:rFonts w:ascii="Calibri" w:hAnsi="Calibri"/>
                <w:sz w:val="20"/>
                <w:szCs w:val="20"/>
              </w:rPr>
            </w:pPr>
          </w:p>
        </w:tc>
      </w:tr>
      <w:tr w:rsidR="00027FDA" w:rsidRPr="00ED1C1E" w14:paraId="746740F6" w14:textId="77777777" w:rsidTr="00DA70B7">
        <w:tc>
          <w:tcPr>
            <w:tcW w:w="5184" w:type="dxa"/>
            <w:shd w:val="clear" w:color="auto" w:fill="FAD41A"/>
          </w:tcPr>
          <w:p w14:paraId="746740F0" w14:textId="77777777" w:rsidR="00027FDA" w:rsidRPr="00ED1C1E" w:rsidRDefault="00027FDA" w:rsidP="001D56FE">
            <w:pPr>
              <w:pStyle w:val="tabletext"/>
              <w:ind w:left="288" w:hanging="288"/>
            </w:pPr>
            <w:r w:rsidRPr="00ED1C1E">
              <w:t xml:space="preserve">2. Includes resources for providing </w:t>
            </w:r>
            <w:proofErr w:type="gramStart"/>
            <w:r w:rsidRPr="00ED1C1E">
              <w:t>accommodations</w:t>
            </w:r>
            <w:proofErr w:type="gramEnd"/>
            <w:r w:rsidRPr="00ED1C1E">
              <w:t xml:space="preserve"> and modifications (e.g., manipulatives, graphic organizers, audiobooks for grade level texts)</w:t>
            </w:r>
          </w:p>
        </w:tc>
        <w:tc>
          <w:tcPr>
            <w:tcW w:w="576" w:type="dxa"/>
            <w:shd w:val="clear" w:color="auto" w:fill="F2F2F2" w:themeFill="background1" w:themeFillShade="F2"/>
          </w:tcPr>
          <w:p w14:paraId="746740F1" w14:textId="00296212" w:rsidR="00027FDA" w:rsidRPr="00ED1C1E" w:rsidRDefault="00027FDA" w:rsidP="0036648C">
            <w:pPr>
              <w:pStyle w:val="tabletext"/>
              <w:rPr>
                <w:rFonts w:ascii="Calibri" w:hAnsi="Calibri"/>
                <w:sz w:val="20"/>
                <w:szCs w:val="20"/>
              </w:rPr>
            </w:pPr>
          </w:p>
        </w:tc>
        <w:tc>
          <w:tcPr>
            <w:tcW w:w="576" w:type="dxa"/>
            <w:shd w:val="clear" w:color="auto" w:fill="F2F2F2" w:themeFill="background1" w:themeFillShade="F2"/>
          </w:tcPr>
          <w:p w14:paraId="746740F2" w14:textId="4EA3FE11" w:rsidR="00027FDA" w:rsidRPr="00ED1C1E" w:rsidRDefault="00027FDA" w:rsidP="0036648C">
            <w:pPr>
              <w:pStyle w:val="tabletext"/>
              <w:rPr>
                <w:rFonts w:ascii="Calibri" w:hAnsi="Calibri"/>
                <w:sz w:val="20"/>
                <w:szCs w:val="20"/>
              </w:rPr>
            </w:pPr>
          </w:p>
        </w:tc>
        <w:tc>
          <w:tcPr>
            <w:tcW w:w="576" w:type="dxa"/>
            <w:shd w:val="clear" w:color="auto" w:fill="F2F2F2" w:themeFill="background1" w:themeFillShade="F2"/>
          </w:tcPr>
          <w:p w14:paraId="746740F3" w14:textId="0456AE7E" w:rsidR="00027FDA" w:rsidRPr="00ED1C1E" w:rsidRDefault="00027FDA" w:rsidP="0036648C">
            <w:pPr>
              <w:pStyle w:val="tabletext"/>
              <w:rPr>
                <w:rFonts w:ascii="Calibri" w:hAnsi="Calibri"/>
                <w:sz w:val="20"/>
                <w:szCs w:val="20"/>
              </w:rPr>
            </w:pPr>
          </w:p>
        </w:tc>
        <w:tc>
          <w:tcPr>
            <w:tcW w:w="576" w:type="dxa"/>
            <w:shd w:val="clear" w:color="auto" w:fill="F2F2F2" w:themeFill="background1" w:themeFillShade="F2"/>
          </w:tcPr>
          <w:p w14:paraId="746740F4" w14:textId="0C70D13F" w:rsidR="00027FDA" w:rsidRPr="00ED1C1E" w:rsidRDefault="00027FDA" w:rsidP="0036648C">
            <w:pPr>
              <w:pStyle w:val="tabletext"/>
              <w:rPr>
                <w:rFonts w:ascii="Calibri" w:hAnsi="Calibri"/>
                <w:sz w:val="20"/>
                <w:szCs w:val="20"/>
              </w:rPr>
            </w:pPr>
          </w:p>
        </w:tc>
        <w:tc>
          <w:tcPr>
            <w:tcW w:w="6739" w:type="dxa"/>
            <w:shd w:val="clear" w:color="auto" w:fill="F2F2F2" w:themeFill="background1" w:themeFillShade="F2"/>
          </w:tcPr>
          <w:p w14:paraId="746740F5" w14:textId="77777777" w:rsidR="00027FDA" w:rsidRPr="00ED1C1E" w:rsidRDefault="00027FDA" w:rsidP="0036648C">
            <w:pPr>
              <w:pStyle w:val="tabletext"/>
              <w:rPr>
                <w:rFonts w:ascii="Calibri" w:hAnsi="Calibri"/>
                <w:sz w:val="20"/>
                <w:szCs w:val="20"/>
              </w:rPr>
            </w:pPr>
          </w:p>
        </w:tc>
      </w:tr>
      <w:tr w:rsidR="00027FDA" w:rsidRPr="00ED1C1E" w14:paraId="746740FD" w14:textId="77777777" w:rsidTr="00DA70B7">
        <w:tc>
          <w:tcPr>
            <w:tcW w:w="5184" w:type="dxa"/>
            <w:shd w:val="clear" w:color="auto" w:fill="FAD41A"/>
          </w:tcPr>
          <w:p w14:paraId="746740F7" w14:textId="77777777" w:rsidR="00027FDA" w:rsidRPr="00ED1C1E" w:rsidRDefault="00027FDA" w:rsidP="001D56FE">
            <w:pPr>
              <w:pStyle w:val="tabletext"/>
              <w:ind w:left="288" w:hanging="288"/>
            </w:pPr>
            <w:r w:rsidRPr="00ED1C1E">
              <w:t>3. Provides ample opportunities for distributed skill practice and rereading texts (e.g., repeated practice, repeated reading, partner reading, choral reading)</w:t>
            </w:r>
          </w:p>
        </w:tc>
        <w:tc>
          <w:tcPr>
            <w:tcW w:w="576" w:type="dxa"/>
          </w:tcPr>
          <w:p w14:paraId="746740F8" w14:textId="583CCE67" w:rsidR="00027FDA" w:rsidRPr="00ED1C1E" w:rsidRDefault="00027FDA" w:rsidP="0036648C">
            <w:pPr>
              <w:pStyle w:val="tabletext"/>
              <w:rPr>
                <w:rFonts w:ascii="Calibri" w:hAnsi="Calibri"/>
                <w:sz w:val="20"/>
                <w:szCs w:val="20"/>
              </w:rPr>
            </w:pPr>
          </w:p>
        </w:tc>
        <w:tc>
          <w:tcPr>
            <w:tcW w:w="576" w:type="dxa"/>
          </w:tcPr>
          <w:p w14:paraId="746740F9" w14:textId="2FC72B2C" w:rsidR="00027FDA" w:rsidRPr="00ED1C1E" w:rsidRDefault="00027FDA" w:rsidP="0036648C">
            <w:pPr>
              <w:pStyle w:val="tabletext"/>
              <w:rPr>
                <w:rFonts w:ascii="Calibri" w:hAnsi="Calibri"/>
                <w:sz w:val="20"/>
                <w:szCs w:val="20"/>
              </w:rPr>
            </w:pPr>
          </w:p>
        </w:tc>
        <w:tc>
          <w:tcPr>
            <w:tcW w:w="576" w:type="dxa"/>
          </w:tcPr>
          <w:p w14:paraId="746740FA" w14:textId="06D00417" w:rsidR="00027FDA" w:rsidRPr="00ED1C1E" w:rsidRDefault="00027FDA" w:rsidP="0036648C">
            <w:pPr>
              <w:pStyle w:val="tabletext"/>
              <w:rPr>
                <w:rFonts w:ascii="Calibri" w:hAnsi="Calibri"/>
                <w:sz w:val="20"/>
                <w:szCs w:val="20"/>
              </w:rPr>
            </w:pPr>
          </w:p>
        </w:tc>
        <w:tc>
          <w:tcPr>
            <w:tcW w:w="576" w:type="dxa"/>
          </w:tcPr>
          <w:p w14:paraId="746740FB" w14:textId="7539964F" w:rsidR="00027FDA" w:rsidRPr="00ED1C1E" w:rsidRDefault="00027FDA" w:rsidP="0036648C">
            <w:pPr>
              <w:pStyle w:val="tabletext"/>
              <w:rPr>
                <w:rFonts w:ascii="Calibri" w:hAnsi="Calibri"/>
                <w:sz w:val="20"/>
                <w:szCs w:val="20"/>
              </w:rPr>
            </w:pPr>
          </w:p>
        </w:tc>
        <w:tc>
          <w:tcPr>
            <w:tcW w:w="6739" w:type="dxa"/>
          </w:tcPr>
          <w:p w14:paraId="746740FC" w14:textId="77777777" w:rsidR="00027FDA" w:rsidRPr="00ED1C1E" w:rsidRDefault="00027FDA" w:rsidP="0036648C">
            <w:pPr>
              <w:pStyle w:val="tabletext"/>
              <w:rPr>
                <w:rFonts w:ascii="Calibri" w:hAnsi="Calibri"/>
                <w:sz w:val="20"/>
                <w:szCs w:val="20"/>
              </w:rPr>
            </w:pPr>
          </w:p>
        </w:tc>
      </w:tr>
      <w:tr w:rsidR="00027FDA" w:rsidRPr="00ED1C1E" w14:paraId="74674104" w14:textId="77777777" w:rsidTr="00DA70B7">
        <w:trPr>
          <w:cantSplit/>
        </w:trPr>
        <w:tc>
          <w:tcPr>
            <w:tcW w:w="5184" w:type="dxa"/>
            <w:shd w:val="clear" w:color="auto" w:fill="FAD41A"/>
          </w:tcPr>
          <w:p w14:paraId="746740FE" w14:textId="77777777" w:rsidR="00027FDA" w:rsidRPr="00ED1C1E" w:rsidRDefault="00027FDA" w:rsidP="001D56FE">
            <w:pPr>
              <w:pStyle w:val="tabletext"/>
              <w:ind w:left="288" w:hanging="288"/>
            </w:pPr>
            <w:r w:rsidRPr="00ED1C1E">
              <w:t>4. Provides decodable, controlled texts (including words with previously and recently taught sound-spelling patterns) of varied genres and topics for application of skills and extended repeated practice</w:t>
            </w:r>
          </w:p>
        </w:tc>
        <w:tc>
          <w:tcPr>
            <w:tcW w:w="576" w:type="dxa"/>
            <w:shd w:val="clear" w:color="auto" w:fill="F2F2F2" w:themeFill="background1" w:themeFillShade="F2"/>
          </w:tcPr>
          <w:p w14:paraId="746740FF" w14:textId="410B5CEE" w:rsidR="00027FDA" w:rsidRPr="00ED1C1E" w:rsidRDefault="00027FDA" w:rsidP="0036648C">
            <w:pPr>
              <w:pStyle w:val="tabletext"/>
              <w:rPr>
                <w:rFonts w:ascii="Calibri" w:hAnsi="Calibri"/>
                <w:sz w:val="20"/>
                <w:szCs w:val="20"/>
              </w:rPr>
            </w:pPr>
          </w:p>
        </w:tc>
        <w:tc>
          <w:tcPr>
            <w:tcW w:w="576" w:type="dxa"/>
            <w:shd w:val="clear" w:color="auto" w:fill="F2F2F2" w:themeFill="background1" w:themeFillShade="F2"/>
          </w:tcPr>
          <w:p w14:paraId="74674100" w14:textId="6BF8DD91" w:rsidR="00027FDA" w:rsidRPr="00ED1C1E" w:rsidRDefault="00027FDA" w:rsidP="0036648C">
            <w:pPr>
              <w:pStyle w:val="tabletext"/>
              <w:rPr>
                <w:rFonts w:ascii="Calibri" w:hAnsi="Calibri"/>
                <w:sz w:val="20"/>
                <w:szCs w:val="20"/>
              </w:rPr>
            </w:pPr>
          </w:p>
        </w:tc>
        <w:tc>
          <w:tcPr>
            <w:tcW w:w="576" w:type="dxa"/>
            <w:shd w:val="clear" w:color="auto" w:fill="F2F2F2" w:themeFill="background1" w:themeFillShade="F2"/>
          </w:tcPr>
          <w:p w14:paraId="74674101" w14:textId="4558EBFA" w:rsidR="00027FDA" w:rsidRPr="00ED1C1E" w:rsidRDefault="00027FDA" w:rsidP="0036648C">
            <w:pPr>
              <w:pStyle w:val="tabletext"/>
              <w:rPr>
                <w:rFonts w:ascii="Calibri" w:hAnsi="Calibri"/>
                <w:sz w:val="20"/>
                <w:szCs w:val="20"/>
              </w:rPr>
            </w:pPr>
          </w:p>
        </w:tc>
        <w:tc>
          <w:tcPr>
            <w:tcW w:w="576" w:type="dxa"/>
            <w:shd w:val="clear" w:color="auto" w:fill="F2F2F2" w:themeFill="background1" w:themeFillShade="F2"/>
          </w:tcPr>
          <w:p w14:paraId="74674102" w14:textId="7F61A9A9" w:rsidR="00027FDA" w:rsidRPr="00ED1C1E" w:rsidRDefault="00027FDA" w:rsidP="0036648C">
            <w:pPr>
              <w:pStyle w:val="tabletext"/>
              <w:rPr>
                <w:rFonts w:ascii="Calibri" w:hAnsi="Calibri"/>
                <w:sz w:val="20"/>
                <w:szCs w:val="20"/>
              </w:rPr>
            </w:pPr>
          </w:p>
        </w:tc>
        <w:tc>
          <w:tcPr>
            <w:tcW w:w="6739" w:type="dxa"/>
            <w:shd w:val="clear" w:color="auto" w:fill="F2F2F2" w:themeFill="background1" w:themeFillShade="F2"/>
          </w:tcPr>
          <w:p w14:paraId="74674103" w14:textId="77777777" w:rsidR="00027FDA" w:rsidRPr="00ED1C1E" w:rsidRDefault="00027FDA" w:rsidP="0036648C">
            <w:pPr>
              <w:pStyle w:val="tabletext"/>
              <w:rPr>
                <w:rFonts w:ascii="Calibri" w:hAnsi="Calibri"/>
                <w:sz w:val="20"/>
                <w:szCs w:val="20"/>
              </w:rPr>
            </w:pPr>
          </w:p>
        </w:tc>
      </w:tr>
      <w:tr w:rsidR="00027FDA" w:rsidRPr="00ED1C1E" w14:paraId="7467410B" w14:textId="77777777" w:rsidTr="00DA70B7">
        <w:tc>
          <w:tcPr>
            <w:tcW w:w="5184" w:type="dxa"/>
            <w:shd w:val="clear" w:color="auto" w:fill="FAD41A"/>
          </w:tcPr>
          <w:p w14:paraId="74674105" w14:textId="77777777" w:rsidR="00027FDA" w:rsidRPr="00ED1C1E" w:rsidRDefault="00027FDA" w:rsidP="001D56FE">
            <w:pPr>
              <w:pStyle w:val="tabletext"/>
              <w:ind w:left="288" w:hanging="288"/>
            </w:pPr>
            <w:r w:rsidRPr="00ED1C1E">
              <w:t>5. Includes assessments with explicit criteria to screen for potential reading problems and to monitor the progress of students who require small-group or individualized differentiated instruction</w:t>
            </w:r>
          </w:p>
        </w:tc>
        <w:tc>
          <w:tcPr>
            <w:tcW w:w="576" w:type="dxa"/>
          </w:tcPr>
          <w:p w14:paraId="74674106" w14:textId="6015AE1A" w:rsidR="00027FDA" w:rsidRPr="00ED1C1E" w:rsidRDefault="00027FDA" w:rsidP="0036648C">
            <w:pPr>
              <w:pStyle w:val="tabletext"/>
              <w:rPr>
                <w:rFonts w:ascii="Calibri" w:hAnsi="Calibri"/>
                <w:sz w:val="20"/>
                <w:szCs w:val="20"/>
              </w:rPr>
            </w:pPr>
          </w:p>
        </w:tc>
        <w:tc>
          <w:tcPr>
            <w:tcW w:w="576" w:type="dxa"/>
          </w:tcPr>
          <w:p w14:paraId="74674107" w14:textId="3AC4F6DC" w:rsidR="00027FDA" w:rsidRPr="00ED1C1E" w:rsidRDefault="00027FDA" w:rsidP="0036648C">
            <w:pPr>
              <w:pStyle w:val="tabletext"/>
              <w:rPr>
                <w:rFonts w:ascii="Calibri" w:hAnsi="Calibri"/>
                <w:sz w:val="20"/>
                <w:szCs w:val="20"/>
              </w:rPr>
            </w:pPr>
          </w:p>
        </w:tc>
        <w:tc>
          <w:tcPr>
            <w:tcW w:w="576" w:type="dxa"/>
          </w:tcPr>
          <w:p w14:paraId="74674108" w14:textId="313F207A" w:rsidR="00027FDA" w:rsidRPr="00ED1C1E" w:rsidRDefault="00027FDA" w:rsidP="0036648C">
            <w:pPr>
              <w:pStyle w:val="tabletext"/>
              <w:rPr>
                <w:rFonts w:ascii="Calibri" w:hAnsi="Calibri"/>
                <w:sz w:val="20"/>
                <w:szCs w:val="20"/>
              </w:rPr>
            </w:pPr>
          </w:p>
        </w:tc>
        <w:tc>
          <w:tcPr>
            <w:tcW w:w="576" w:type="dxa"/>
          </w:tcPr>
          <w:p w14:paraId="74674109" w14:textId="5DCDB7E5" w:rsidR="00027FDA" w:rsidRPr="00ED1C1E" w:rsidRDefault="00027FDA" w:rsidP="0036648C">
            <w:pPr>
              <w:pStyle w:val="tabletext"/>
              <w:rPr>
                <w:rFonts w:ascii="Calibri" w:hAnsi="Calibri"/>
                <w:sz w:val="20"/>
                <w:szCs w:val="20"/>
              </w:rPr>
            </w:pPr>
          </w:p>
        </w:tc>
        <w:tc>
          <w:tcPr>
            <w:tcW w:w="6739" w:type="dxa"/>
          </w:tcPr>
          <w:p w14:paraId="7467410A" w14:textId="77777777" w:rsidR="00027FDA" w:rsidRPr="00ED1C1E" w:rsidRDefault="00027FDA" w:rsidP="0036648C">
            <w:pPr>
              <w:pStyle w:val="tabletext"/>
              <w:rPr>
                <w:rFonts w:ascii="Calibri" w:hAnsi="Calibri"/>
                <w:sz w:val="20"/>
                <w:szCs w:val="20"/>
              </w:rPr>
            </w:pPr>
          </w:p>
        </w:tc>
      </w:tr>
    </w:tbl>
    <w:p w14:paraId="7213C991" w14:textId="77777777" w:rsidR="00AC7159" w:rsidRPr="00ED1C1E" w:rsidRDefault="0036648C" w:rsidP="00AC7159">
      <w:pPr>
        <w:tabs>
          <w:tab w:val="left" w:pos="9360"/>
          <w:tab w:val="left" w:pos="10440"/>
        </w:tabs>
        <w:spacing w:before="240" w:after="120"/>
      </w:pPr>
      <w:r w:rsidRPr="00ED1C1E">
        <w:t>6. Do the materials meet the needs of students with disabilities or learning difficulties?</w:t>
      </w:r>
    </w:p>
    <w:p w14:paraId="08AE170D" w14:textId="77777777" w:rsidR="00AC7159" w:rsidRPr="00ED1C1E" w:rsidRDefault="0036648C" w:rsidP="00AC7159">
      <w:pPr>
        <w:pStyle w:val="ListParagraph"/>
        <w:numPr>
          <w:ilvl w:val="0"/>
          <w:numId w:val="38"/>
        </w:numPr>
        <w:tabs>
          <w:tab w:val="left" w:pos="9360"/>
          <w:tab w:val="left" w:pos="10440"/>
        </w:tabs>
      </w:pPr>
      <w:r w:rsidRPr="00ED1C1E">
        <w:t>Yes</w:t>
      </w:r>
    </w:p>
    <w:p w14:paraId="2F6C5375" w14:textId="4039E90B" w:rsidR="0036648C" w:rsidRPr="00ED1C1E" w:rsidRDefault="0036648C" w:rsidP="00AC7159">
      <w:pPr>
        <w:pStyle w:val="ListParagraph"/>
        <w:numPr>
          <w:ilvl w:val="0"/>
          <w:numId w:val="38"/>
        </w:numPr>
        <w:tabs>
          <w:tab w:val="left" w:pos="9360"/>
          <w:tab w:val="left" w:pos="10440"/>
        </w:tabs>
        <w:spacing w:after="240"/>
      </w:pPr>
      <w:r w:rsidRPr="00ED1C1E">
        <w:t>No</w:t>
      </w:r>
    </w:p>
    <w:p w14:paraId="6C50A066" w14:textId="118311C6" w:rsidR="0036648C" w:rsidRPr="00ED1C1E" w:rsidRDefault="0036648C" w:rsidP="167C3B19">
      <w:pPr>
        <w:spacing w:after="1320"/>
      </w:pPr>
      <w:r w:rsidRPr="00ED1C1E">
        <w:t>Evidence:</w:t>
      </w:r>
      <w:r w:rsidRPr="00ED1C1E">
        <w:br w:type="page"/>
      </w:r>
    </w:p>
    <w:p w14:paraId="21628E02" w14:textId="03EFD794" w:rsidR="00441B8E" w:rsidRPr="00ED1C1E" w:rsidRDefault="00441B8E" w:rsidP="00CE0006">
      <w:pPr>
        <w:rPr>
          <w:rFonts w:eastAsia="Calibri" w:cs="Calibri"/>
          <w:szCs w:val="24"/>
        </w:rPr>
      </w:pPr>
      <w:r w:rsidRPr="00ED1C1E">
        <w:rPr>
          <w:rFonts w:eastAsia="Calibri" w:cs="Calibri"/>
          <w:b/>
          <w:bCs/>
          <w:szCs w:val="24"/>
        </w:rPr>
        <w:t>Note:</w:t>
      </w:r>
      <w:r w:rsidRPr="00ED1C1E">
        <w:rPr>
          <w:rFonts w:eastAsia="Calibri" w:cs="Calibri"/>
          <w:szCs w:val="24"/>
        </w:rPr>
        <w:t xml:space="preserve"> Examples are provided for Spanish speakers; however, the elements can be applied to support students who speak a variety of home languages.</w:t>
      </w:r>
    </w:p>
    <w:p w14:paraId="5976B6AA" w14:textId="4AF134FA" w:rsidR="00587BEE" w:rsidRPr="00ED1C1E" w:rsidRDefault="00587BEE" w:rsidP="00587BEE">
      <w:pPr>
        <w:pStyle w:val="Caption"/>
        <w:keepNext/>
      </w:pPr>
      <w:r w:rsidRPr="00ED1C1E">
        <w:t>Dimension 2: Considerations for Multilingual Learners</w:t>
      </w:r>
    </w:p>
    <w:tbl>
      <w:tblPr>
        <w:tblW w:w="14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72" w:type="dxa"/>
          <w:left w:w="100" w:type="dxa"/>
          <w:bottom w:w="72" w:type="dxa"/>
          <w:right w:w="100" w:type="dxa"/>
        </w:tblCellMar>
        <w:tblLook w:val="0620" w:firstRow="1" w:lastRow="0" w:firstColumn="0" w:lastColumn="0" w:noHBand="1" w:noVBand="1"/>
      </w:tblPr>
      <w:tblGrid>
        <w:gridCol w:w="5472"/>
        <w:gridCol w:w="576"/>
        <w:gridCol w:w="576"/>
        <w:gridCol w:w="576"/>
        <w:gridCol w:w="576"/>
        <w:gridCol w:w="6768"/>
      </w:tblGrid>
      <w:tr w:rsidR="009352A0" w:rsidRPr="00ED1C1E" w14:paraId="74674119" w14:textId="77777777" w:rsidTr="00AC7159">
        <w:trPr>
          <w:trHeight w:val="288"/>
          <w:tblHeader/>
        </w:trPr>
        <w:tc>
          <w:tcPr>
            <w:tcW w:w="5472" w:type="dxa"/>
            <w:tcBorders>
              <w:right w:val="single" w:sz="4" w:space="0" w:color="FFFFFF" w:themeColor="background1"/>
            </w:tcBorders>
            <w:shd w:val="clear" w:color="auto" w:fill="124F73"/>
          </w:tcPr>
          <w:p w14:paraId="74674113" w14:textId="77777777" w:rsidR="009352A0" w:rsidRPr="00ED1C1E" w:rsidRDefault="004F5411" w:rsidP="00F668CF">
            <w:pPr>
              <w:pStyle w:val="tabletext"/>
              <w:rPr>
                <w:b/>
                <w:bCs/>
                <w:color w:val="FFFFFF" w:themeColor="background1"/>
              </w:rPr>
            </w:pPr>
            <w:r w:rsidRPr="00ED1C1E">
              <w:rPr>
                <w:b/>
                <w:bCs/>
                <w:color w:val="FFFFFF" w:themeColor="background1"/>
              </w:rPr>
              <w:t>Elements</w:t>
            </w:r>
          </w:p>
        </w:tc>
        <w:tc>
          <w:tcPr>
            <w:tcW w:w="576" w:type="dxa"/>
            <w:tcBorders>
              <w:left w:val="single" w:sz="4" w:space="0" w:color="FFFFFF" w:themeColor="background1"/>
              <w:right w:val="single" w:sz="4" w:space="0" w:color="FFFFFF" w:themeColor="background1"/>
            </w:tcBorders>
            <w:shd w:val="clear" w:color="auto" w:fill="124F73"/>
          </w:tcPr>
          <w:p w14:paraId="74674114" w14:textId="77777777" w:rsidR="009352A0" w:rsidRPr="00ED1C1E" w:rsidRDefault="004F5411" w:rsidP="00F668CF">
            <w:pPr>
              <w:pStyle w:val="tabletext"/>
              <w:rPr>
                <w:b/>
                <w:bCs/>
                <w:color w:val="FFFFFF" w:themeColor="background1"/>
              </w:rPr>
            </w:pPr>
            <w:r w:rsidRPr="00ED1C1E">
              <w:rPr>
                <w:b/>
                <w:bCs/>
                <w:color w:val="FFFFFF" w:themeColor="background1"/>
              </w:rPr>
              <w:t>K</w:t>
            </w:r>
          </w:p>
        </w:tc>
        <w:tc>
          <w:tcPr>
            <w:tcW w:w="576" w:type="dxa"/>
            <w:tcBorders>
              <w:left w:val="single" w:sz="4" w:space="0" w:color="FFFFFF" w:themeColor="background1"/>
              <w:right w:val="single" w:sz="4" w:space="0" w:color="FFFFFF" w:themeColor="background1"/>
            </w:tcBorders>
            <w:shd w:val="clear" w:color="auto" w:fill="124F73"/>
          </w:tcPr>
          <w:p w14:paraId="74674115" w14:textId="77777777" w:rsidR="009352A0" w:rsidRPr="00ED1C1E" w:rsidRDefault="004F5411" w:rsidP="00F668CF">
            <w:pPr>
              <w:pStyle w:val="tabletext"/>
              <w:rPr>
                <w:b/>
                <w:bCs/>
                <w:color w:val="FFFFFF" w:themeColor="background1"/>
              </w:rPr>
            </w:pPr>
            <w:r w:rsidRPr="00ED1C1E">
              <w:rPr>
                <w:b/>
                <w:bCs/>
                <w:color w:val="FFFFFF" w:themeColor="background1"/>
              </w:rPr>
              <w:t>1</w:t>
            </w:r>
          </w:p>
        </w:tc>
        <w:tc>
          <w:tcPr>
            <w:tcW w:w="576" w:type="dxa"/>
            <w:tcBorders>
              <w:left w:val="single" w:sz="4" w:space="0" w:color="FFFFFF" w:themeColor="background1"/>
              <w:right w:val="single" w:sz="4" w:space="0" w:color="FFFFFF" w:themeColor="background1"/>
            </w:tcBorders>
            <w:shd w:val="clear" w:color="auto" w:fill="124F73"/>
          </w:tcPr>
          <w:p w14:paraId="74674116" w14:textId="77777777" w:rsidR="009352A0" w:rsidRPr="00ED1C1E" w:rsidRDefault="004F5411" w:rsidP="00F668CF">
            <w:pPr>
              <w:pStyle w:val="tabletext"/>
              <w:rPr>
                <w:b/>
                <w:bCs/>
                <w:color w:val="FFFFFF" w:themeColor="background1"/>
              </w:rPr>
            </w:pPr>
            <w:r w:rsidRPr="00ED1C1E">
              <w:rPr>
                <w:b/>
                <w:bCs/>
                <w:color w:val="FFFFFF" w:themeColor="background1"/>
              </w:rPr>
              <w:t>2</w:t>
            </w:r>
          </w:p>
        </w:tc>
        <w:tc>
          <w:tcPr>
            <w:tcW w:w="576" w:type="dxa"/>
            <w:tcBorders>
              <w:left w:val="single" w:sz="4" w:space="0" w:color="FFFFFF" w:themeColor="background1"/>
              <w:right w:val="single" w:sz="4" w:space="0" w:color="FFFFFF" w:themeColor="background1"/>
            </w:tcBorders>
            <w:shd w:val="clear" w:color="auto" w:fill="124F73"/>
          </w:tcPr>
          <w:p w14:paraId="74674117" w14:textId="77777777" w:rsidR="009352A0" w:rsidRPr="00ED1C1E" w:rsidRDefault="004F5411" w:rsidP="00F668CF">
            <w:pPr>
              <w:pStyle w:val="tabletext"/>
              <w:rPr>
                <w:b/>
                <w:bCs/>
                <w:color w:val="FFFFFF" w:themeColor="background1"/>
              </w:rPr>
            </w:pPr>
            <w:r w:rsidRPr="00ED1C1E">
              <w:rPr>
                <w:b/>
                <w:bCs/>
                <w:color w:val="FFFFFF" w:themeColor="background1"/>
              </w:rPr>
              <w:t>3</w:t>
            </w:r>
          </w:p>
        </w:tc>
        <w:tc>
          <w:tcPr>
            <w:tcW w:w="6768" w:type="dxa"/>
            <w:tcBorders>
              <w:left w:val="single" w:sz="4" w:space="0" w:color="FFFFFF" w:themeColor="background1"/>
            </w:tcBorders>
            <w:shd w:val="clear" w:color="auto" w:fill="124F73"/>
          </w:tcPr>
          <w:p w14:paraId="74674118" w14:textId="77777777" w:rsidR="009352A0" w:rsidRPr="00ED1C1E" w:rsidRDefault="004F5411" w:rsidP="00F668CF">
            <w:pPr>
              <w:pStyle w:val="tabletext"/>
              <w:rPr>
                <w:b/>
                <w:bCs/>
                <w:color w:val="FFFFFF" w:themeColor="background1"/>
              </w:rPr>
            </w:pPr>
            <w:r w:rsidRPr="00ED1C1E">
              <w:rPr>
                <w:b/>
                <w:bCs/>
                <w:color w:val="FFFFFF" w:themeColor="background1"/>
              </w:rPr>
              <w:t>Evidence</w:t>
            </w:r>
          </w:p>
        </w:tc>
      </w:tr>
      <w:tr w:rsidR="00027FDA" w:rsidRPr="00ED1C1E" w14:paraId="74674120" w14:textId="77777777" w:rsidTr="00AC7159">
        <w:tc>
          <w:tcPr>
            <w:tcW w:w="5472" w:type="dxa"/>
            <w:shd w:val="clear" w:color="auto" w:fill="FAD41A"/>
          </w:tcPr>
          <w:p w14:paraId="7467411A" w14:textId="2966B49C" w:rsidR="00027FDA" w:rsidRPr="00ED1C1E" w:rsidRDefault="00027FDA" w:rsidP="00A46181">
            <w:pPr>
              <w:pStyle w:val="tabletext"/>
              <w:ind w:left="288" w:hanging="288"/>
            </w:pPr>
            <w:r w:rsidRPr="00ED1C1E">
              <w:t>1. Includes texts of varied genres and topics for providing reading instruction in students’ home language and in English including authentic texts in home language.</w:t>
            </w:r>
          </w:p>
        </w:tc>
        <w:tc>
          <w:tcPr>
            <w:tcW w:w="576" w:type="dxa"/>
            <w:shd w:val="clear" w:color="auto" w:fill="auto"/>
            <w:tcMar>
              <w:top w:w="100" w:type="dxa"/>
              <w:left w:w="100" w:type="dxa"/>
              <w:bottom w:w="100" w:type="dxa"/>
              <w:right w:w="100" w:type="dxa"/>
            </w:tcMar>
          </w:tcPr>
          <w:p w14:paraId="7467411B" w14:textId="152E0C7D" w:rsidR="00027FDA" w:rsidRPr="00ED1C1E" w:rsidRDefault="00027FDA" w:rsidP="00F668CF">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1C" w14:textId="22A1C8B7" w:rsidR="00027FDA" w:rsidRPr="00ED1C1E" w:rsidRDefault="00027FDA" w:rsidP="00F668CF">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1D" w14:textId="339DDBE3" w:rsidR="00027FDA" w:rsidRPr="00ED1C1E" w:rsidRDefault="00027FDA" w:rsidP="00F668CF">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1E" w14:textId="4A097146" w:rsidR="00027FDA" w:rsidRPr="00ED1C1E" w:rsidRDefault="00027FDA" w:rsidP="00F668CF">
            <w:pPr>
              <w:pStyle w:val="tabletext"/>
              <w:rPr>
                <w:rFonts w:ascii="Calibri" w:hAnsi="Calibri"/>
                <w:sz w:val="20"/>
                <w:szCs w:val="20"/>
              </w:rPr>
            </w:pPr>
          </w:p>
        </w:tc>
        <w:tc>
          <w:tcPr>
            <w:tcW w:w="6768" w:type="dxa"/>
          </w:tcPr>
          <w:p w14:paraId="7467411F" w14:textId="77777777" w:rsidR="00027FDA" w:rsidRPr="00ED1C1E" w:rsidRDefault="00027FDA" w:rsidP="00F668CF">
            <w:pPr>
              <w:pStyle w:val="tabletext"/>
              <w:rPr>
                <w:rFonts w:ascii="Calibri" w:hAnsi="Calibri"/>
                <w:sz w:val="20"/>
                <w:szCs w:val="20"/>
              </w:rPr>
            </w:pPr>
          </w:p>
        </w:tc>
      </w:tr>
      <w:tr w:rsidR="00027FDA" w:rsidRPr="00ED1C1E" w14:paraId="74674127" w14:textId="77777777" w:rsidTr="00AC7159">
        <w:tc>
          <w:tcPr>
            <w:tcW w:w="5472" w:type="dxa"/>
            <w:shd w:val="clear" w:color="auto" w:fill="FAD41A"/>
          </w:tcPr>
          <w:p w14:paraId="74674121" w14:textId="77777777" w:rsidR="00027FDA" w:rsidRPr="00ED1C1E" w:rsidRDefault="00027FDA" w:rsidP="00A46181">
            <w:pPr>
              <w:pStyle w:val="tabletext"/>
              <w:ind w:left="288" w:hanging="288"/>
            </w:pPr>
            <w:r w:rsidRPr="00ED1C1E">
              <w:t>2. Uses knowledge of phonemes in students’ home language to support learning phonemes in English (e.g., discusses the features of sounds in English)</w:t>
            </w:r>
          </w:p>
        </w:tc>
        <w:tc>
          <w:tcPr>
            <w:tcW w:w="576" w:type="dxa"/>
            <w:shd w:val="clear" w:color="auto" w:fill="F2F2F2" w:themeFill="background1" w:themeFillShade="F2"/>
            <w:tcMar>
              <w:top w:w="100" w:type="dxa"/>
              <w:left w:w="100" w:type="dxa"/>
              <w:bottom w:w="100" w:type="dxa"/>
              <w:right w:w="100" w:type="dxa"/>
            </w:tcMar>
          </w:tcPr>
          <w:p w14:paraId="74674122" w14:textId="5B033487" w:rsidR="00027FDA" w:rsidRPr="00ED1C1E" w:rsidRDefault="00027FDA" w:rsidP="00F668CF">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23" w14:textId="2502FC7B" w:rsidR="00027FDA" w:rsidRPr="00ED1C1E" w:rsidRDefault="00027FDA" w:rsidP="00F668CF">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24" w14:textId="7E9CC190" w:rsidR="00027FDA" w:rsidRPr="00ED1C1E" w:rsidRDefault="00027FDA" w:rsidP="00F668CF">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25" w14:textId="5EBAAB12" w:rsidR="00027FDA" w:rsidRPr="00ED1C1E" w:rsidRDefault="00027FDA" w:rsidP="00F668CF">
            <w:pPr>
              <w:pStyle w:val="tabletext"/>
              <w:rPr>
                <w:rFonts w:ascii="Calibri" w:hAnsi="Calibri"/>
                <w:sz w:val="20"/>
                <w:szCs w:val="20"/>
              </w:rPr>
            </w:pPr>
          </w:p>
        </w:tc>
        <w:tc>
          <w:tcPr>
            <w:tcW w:w="6768" w:type="dxa"/>
            <w:shd w:val="clear" w:color="auto" w:fill="F2F2F2" w:themeFill="background1" w:themeFillShade="F2"/>
          </w:tcPr>
          <w:p w14:paraId="74674126" w14:textId="77777777" w:rsidR="00027FDA" w:rsidRPr="00ED1C1E" w:rsidRDefault="00027FDA" w:rsidP="00F668CF">
            <w:pPr>
              <w:pStyle w:val="tabletext"/>
              <w:rPr>
                <w:rFonts w:ascii="Calibri" w:hAnsi="Calibri"/>
                <w:sz w:val="20"/>
                <w:szCs w:val="20"/>
              </w:rPr>
            </w:pPr>
          </w:p>
        </w:tc>
      </w:tr>
      <w:tr w:rsidR="00027FDA" w:rsidRPr="00ED1C1E" w14:paraId="7467412E" w14:textId="77777777" w:rsidTr="00AC7159">
        <w:tc>
          <w:tcPr>
            <w:tcW w:w="5472" w:type="dxa"/>
            <w:shd w:val="clear" w:color="auto" w:fill="FAD41A"/>
          </w:tcPr>
          <w:p w14:paraId="74674128" w14:textId="77777777" w:rsidR="00027FDA" w:rsidRPr="00ED1C1E" w:rsidRDefault="00027FDA" w:rsidP="00A46181">
            <w:pPr>
              <w:pStyle w:val="tabletext"/>
              <w:ind w:left="288" w:hanging="288"/>
            </w:pPr>
            <w:r w:rsidRPr="00ED1C1E">
              <w:t xml:space="preserve">3. Uses knowledge of letters and letter-sound correspondences in students’ home language to support learning letters and letter-sound correspondences in English (e.g., analyzes </w:t>
            </w:r>
            <w:r w:rsidRPr="00ED1C1E">
              <w:rPr>
                <w:i/>
              </w:rPr>
              <w:t>ñ</w:t>
            </w:r>
            <w:r w:rsidRPr="00ED1C1E">
              <w:t xml:space="preserve"> /</w:t>
            </w:r>
            <w:r w:rsidRPr="00ED1C1E">
              <w:rPr>
                <w:rFonts w:ascii="Arial" w:hAnsi="Arial" w:cs="Arial"/>
              </w:rPr>
              <w:t>ɲ</w:t>
            </w:r>
            <w:r w:rsidRPr="00ED1C1E">
              <w:t xml:space="preserve">/ as compared to </w:t>
            </w:r>
            <w:r w:rsidRPr="00ED1C1E">
              <w:rPr>
                <w:i/>
              </w:rPr>
              <w:t>n</w:t>
            </w:r>
            <w:r w:rsidRPr="00ED1C1E">
              <w:t xml:space="preserve"> /n/, using target words from students’ home language)</w:t>
            </w:r>
          </w:p>
        </w:tc>
        <w:tc>
          <w:tcPr>
            <w:tcW w:w="576" w:type="dxa"/>
            <w:shd w:val="clear" w:color="auto" w:fill="auto"/>
            <w:tcMar>
              <w:top w:w="100" w:type="dxa"/>
              <w:left w:w="100" w:type="dxa"/>
              <w:bottom w:w="100" w:type="dxa"/>
              <w:right w:w="100" w:type="dxa"/>
            </w:tcMar>
          </w:tcPr>
          <w:p w14:paraId="74674129" w14:textId="38B276AD" w:rsidR="00027FDA" w:rsidRPr="00ED1C1E" w:rsidRDefault="00027FDA" w:rsidP="00F668CF">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2A" w14:textId="317F9A0C" w:rsidR="00027FDA" w:rsidRPr="00ED1C1E" w:rsidRDefault="00027FDA" w:rsidP="00F668CF">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2B" w14:textId="074597FA" w:rsidR="00027FDA" w:rsidRPr="00ED1C1E" w:rsidRDefault="00027FDA" w:rsidP="00F668CF">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2C" w14:textId="13E40E97" w:rsidR="00027FDA" w:rsidRPr="00ED1C1E" w:rsidRDefault="00027FDA" w:rsidP="00F668CF">
            <w:pPr>
              <w:pStyle w:val="tabletext"/>
              <w:rPr>
                <w:rFonts w:ascii="Calibri" w:hAnsi="Calibri"/>
                <w:sz w:val="20"/>
                <w:szCs w:val="20"/>
              </w:rPr>
            </w:pPr>
          </w:p>
        </w:tc>
        <w:tc>
          <w:tcPr>
            <w:tcW w:w="6768" w:type="dxa"/>
          </w:tcPr>
          <w:p w14:paraId="7467412D" w14:textId="77777777" w:rsidR="00027FDA" w:rsidRPr="00ED1C1E" w:rsidRDefault="00027FDA" w:rsidP="00F668CF">
            <w:pPr>
              <w:pStyle w:val="tabletext"/>
              <w:rPr>
                <w:rFonts w:ascii="Calibri" w:hAnsi="Calibri"/>
                <w:sz w:val="20"/>
                <w:szCs w:val="20"/>
              </w:rPr>
            </w:pPr>
          </w:p>
        </w:tc>
      </w:tr>
      <w:tr w:rsidR="00027FDA" w:rsidRPr="00ED1C1E" w14:paraId="74674135" w14:textId="77777777" w:rsidTr="00AC7159">
        <w:trPr>
          <w:cantSplit/>
        </w:trPr>
        <w:tc>
          <w:tcPr>
            <w:tcW w:w="5472" w:type="dxa"/>
            <w:shd w:val="clear" w:color="auto" w:fill="FAD41A"/>
          </w:tcPr>
          <w:p w14:paraId="7467412F" w14:textId="77777777" w:rsidR="00027FDA" w:rsidRPr="00ED1C1E" w:rsidRDefault="00027FDA" w:rsidP="00A46181">
            <w:pPr>
              <w:pStyle w:val="tabletext"/>
              <w:ind w:left="288" w:hanging="288"/>
            </w:pPr>
            <w:r w:rsidRPr="00ED1C1E">
              <w:t xml:space="preserve">4. Extends opportunities to incorporate word meanings into phonics and decoding instruction, leveraging visual representations or cognates (words whose spellings and meanings are similar across languages) whenever possible (e.g., incorporating a picture for the word </w:t>
            </w:r>
            <w:r w:rsidRPr="00ED1C1E">
              <w:rPr>
                <w:i/>
                <w:iCs/>
              </w:rPr>
              <w:t>boat</w:t>
            </w:r>
            <w:r w:rsidRPr="00ED1C1E">
              <w:t xml:space="preserve">, comparing the words </w:t>
            </w:r>
            <w:r w:rsidRPr="00ED1C1E">
              <w:rPr>
                <w:i/>
                <w:iCs/>
              </w:rPr>
              <w:t>banco</w:t>
            </w:r>
            <w:r w:rsidRPr="00ED1C1E">
              <w:t xml:space="preserve"> and </w:t>
            </w:r>
            <w:r w:rsidRPr="00ED1C1E">
              <w:rPr>
                <w:i/>
                <w:iCs/>
              </w:rPr>
              <w:t>bank</w:t>
            </w:r>
            <w:r w:rsidRPr="00ED1C1E">
              <w:t>)</w:t>
            </w:r>
          </w:p>
        </w:tc>
        <w:tc>
          <w:tcPr>
            <w:tcW w:w="576" w:type="dxa"/>
            <w:shd w:val="clear" w:color="auto" w:fill="F2F2F2" w:themeFill="background1" w:themeFillShade="F2"/>
            <w:tcMar>
              <w:top w:w="100" w:type="dxa"/>
              <w:left w:w="100" w:type="dxa"/>
              <w:bottom w:w="100" w:type="dxa"/>
              <w:right w:w="100" w:type="dxa"/>
            </w:tcMar>
          </w:tcPr>
          <w:p w14:paraId="74674130" w14:textId="04C5DDF9" w:rsidR="00027FDA" w:rsidRPr="00ED1C1E" w:rsidRDefault="00027FDA" w:rsidP="00F668CF">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31" w14:textId="35E1448B" w:rsidR="00027FDA" w:rsidRPr="00ED1C1E" w:rsidRDefault="00027FDA" w:rsidP="00F668CF">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32" w14:textId="1E0F4CFC" w:rsidR="00027FDA" w:rsidRPr="00ED1C1E" w:rsidRDefault="00027FDA" w:rsidP="00F668CF">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33" w14:textId="4C0913C6" w:rsidR="00027FDA" w:rsidRPr="00ED1C1E" w:rsidRDefault="00027FDA" w:rsidP="00F668CF">
            <w:pPr>
              <w:pStyle w:val="tabletext"/>
              <w:rPr>
                <w:rFonts w:ascii="Calibri" w:hAnsi="Calibri"/>
                <w:sz w:val="20"/>
                <w:szCs w:val="20"/>
              </w:rPr>
            </w:pPr>
          </w:p>
        </w:tc>
        <w:tc>
          <w:tcPr>
            <w:tcW w:w="6768" w:type="dxa"/>
            <w:shd w:val="clear" w:color="auto" w:fill="F2F2F2" w:themeFill="background1" w:themeFillShade="F2"/>
          </w:tcPr>
          <w:p w14:paraId="74674134" w14:textId="77777777" w:rsidR="00027FDA" w:rsidRPr="00ED1C1E" w:rsidRDefault="00027FDA" w:rsidP="00F668CF">
            <w:pPr>
              <w:pStyle w:val="tabletext"/>
              <w:rPr>
                <w:rFonts w:ascii="Calibri" w:hAnsi="Calibri"/>
                <w:sz w:val="20"/>
                <w:szCs w:val="20"/>
              </w:rPr>
            </w:pPr>
          </w:p>
        </w:tc>
      </w:tr>
      <w:tr w:rsidR="00027FDA" w:rsidRPr="00ED1C1E" w14:paraId="7467413C" w14:textId="77777777" w:rsidTr="00AC7159">
        <w:tc>
          <w:tcPr>
            <w:tcW w:w="5472" w:type="dxa"/>
            <w:shd w:val="clear" w:color="auto" w:fill="FAD41A"/>
          </w:tcPr>
          <w:p w14:paraId="74674136" w14:textId="77777777" w:rsidR="00027FDA" w:rsidRPr="00ED1C1E" w:rsidRDefault="00027FDA" w:rsidP="00A46181">
            <w:pPr>
              <w:pStyle w:val="tabletext"/>
              <w:ind w:left="288" w:hanging="288"/>
            </w:pPr>
            <w:r w:rsidRPr="00ED1C1E">
              <w:t>5. Provides opportunities to analyze the commonalities and differences between punctuation in students’ home language and in English to support reading fluency (e.g.,</w:t>
            </w:r>
            <w:r w:rsidRPr="00ED1C1E">
              <w:rPr>
                <w:i/>
                <w:iCs/>
              </w:rPr>
              <w:t xml:space="preserve"> ¿</w:t>
            </w:r>
            <w:proofErr w:type="spellStart"/>
            <w:r w:rsidRPr="00ED1C1E">
              <w:rPr>
                <w:i/>
                <w:iCs/>
              </w:rPr>
              <w:t>Qué</w:t>
            </w:r>
            <w:proofErr w:type="spellEnd"/>
            <w:r w:rsidRPr="00ED1C1E">
              <w:rPr>
                <w:i/>
                <w:iCs/>
              </w:rPr>
              <w:t xml:space="preserve"> hora es?</w:t>
            </w:r>
            <w:r w:rsidRPr="00ED1C1E">
              <w:t xml:space="preserve"> in comparison to </w:t>
            </w:r>
            <w:r w:rsidRPr="00ED1C1E">
              <w:rPr>
                <w:i/>
                <w:iCs/>
              </w:rPr>
              <w:t>What time is it?</w:t>
            </w:r>
            <w:r w:rsidRPr="00ED1C1E">
              <w:t>)</w:t>
            </w:r>
          </w:p>
        </w:tc>
        <w:tc>
          <w:tcPr>
            <w:tcW w:w="576" w:type="dxa"/>
            <w:shd w:val="clear" w:color="auto" w:fill="auto"/>
            <w:tcMar>
              <w:top w:w="100" w:type="dxa"/>
              <w:left w:w="100" w:type="dxa"/>
              <w:bottom w:w="100" w:type="dxa"/>
              <w:right w:w="100" w:type="dxa"/>
            </w:tcMar>
          </w:tcPr>
          <w:p w14:paraId="74674137" w14:textId="099138EF" w:rsidR="00027FDA" w:rsidRPr="00ED1C1E" w:rsidRDefault="00027FDA" w:rsidP="00F668CF">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38" w14:textId="2341D423" w:rsidR="00027FDA" w:rsidRPr="00ED1C1E" w:rsidRDefault="00027FDA" w:rsidP="00F668CF">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39" w14:textId="2F73F5BE" w:rsidR="00027FDA" w:rsidRPr="00ED1C1E" w:rsidRDefault="00027FDA" w:rsidP="00F668CF">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3A" w14:textId="0EA74840" w:rsidR="00027FDA" w:rsidRPr="00ED1C1E" w:rsidRDefault="00027FDA" w:rsidP="00F668CF">
            <w:pPr>
              <w:pStyle w:val="tabletext"/>
              <w:rPr>
                <w:rFonts w:ascii="Calibri" w:hAnsi="Calibri"/>
                <w:sz w:val="20"/>
                <w:szCs w:val="20"/>
              </w:rPr>
            </w:pPr>
          </w:p>
        </w:tc>
        <w:tc>
          <w:tcPr>
            <w:tcW w:w="6768" w:type="dxa"/>
          </w:tcPr>
          <w:p w14:paraId="7467413B" w14:textId="77777777" w:rsidR="00027FDA" w:rsidRPr="00ED1C1E" w:rsidRDefault="00027FDA" w:rsidP="00F668CF">
            <w:pPr>
              <w:pStyle w:val="tabletext"/>
              <w:rPr>
                <w:rFonts w:ascii="Calibri" w:hAnsi="Calibri"/>
                <w:sz w:val="20"/>
                <w:szCs w:val="20"/>
              </w:rPr>
            </w:pPr>
          </w:p>
        </w:tc>
      </w:tr>
      <w:tr w:rsidR="00027FDA" w:rsidRPr="00ED1C1E" w14:paraId="74674143" w14:textId="77777777" w:rsidTr="00AC7159">
        <w:tc>
          <w:tcPr>
            <w:tcW w:w="5472" w:type="dxa"/>
            <w:shd w:val="clear" w:color="auto" w:fill="FAD41A"/>
          </w:tcPr>
          <w:p w14:paraId="7467413D" w14:textId="3C31765A" w:rsidR="00027FDA" w:rsidRPr="00ED1C1E" w:rsidRDefault="00027FDA" w:rsidP="00A46181">
            <w:pPr>
              <w:pStyle w:val="tabletext"/>
              <w:ind w:left="288" w:hanging="288"/>
            </w:pPr>
            <w:r w:rsidRPr="00ED1C1E">
              <w:t>6. Provides ample opportunities to hear fluent and expressive reading in students’ home language and in English (e.g., interactive read-</w:t>
            </w:r>
            <w:proofErr w:type="spellStart"/>
            <w:r w:rsidRPr="00ED1C1E">
              <w:t>alouds</w:t>
            </w:r>
            <w:proofErr w:type="spellEnd"/>
            <w:r w:rsidRPr="00ED1C1E">
              <w:t>, modeled and shared reading, etc</w:t>
            </w:r>
            <w:r w:rsidR="00DA70B7" w:rsidRPr="00ED1C1E">
              <w:t>.</w:t>
            </w:r>
            <w:r w:rsidRPr="00ED1C1E">
              <w:t>)</w:t>
            </w:r>
          </w:p>
        </w:tc>
        <w:tc>
          <w:tcPr>
            <w:tcW w:w="576" w:type="dxa"/>
            <w:shd w:val="clear" w:color="auto" w:fill="F2F2F2" w:themeFill="background1" w:themeFillShade="F2"/>
            <w:tcMar>
              <w:top w:w="100" w:type="dxa"/>
              <w:left w:w="100" w:type="dxa"/>
              <w:bottom w:w="100" w:type="dxa"/>
              <w:right w:w="100" w:type="dxa"/>
            </w:tcMar>
          </w:tcPr>
          <w:p w14:paraId="7467413E" w14:textId="3C64AA29" w:rsidR="00027FDA" w:rsidRPr="00ED1C1E" w:rsidRDefault="00027FDA" w:rsidP="00F668CF">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3F" w14:textId="7CE0AFCC" w:rsidR="00027FDA" w:rsidRPr="00ED1C1E" w:rsidRDefault="00027FDA" w:rsidP="00F668CF">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40" w14:textId="52C51B32" w:rsidR="00027FDA" w:rsidRPr="00ED1C1E" w:rsidRDefault="00027FDA" w:rsidP="00F668CF">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41" w14:textId="6EB13131" w:rsidR="00027FDA" w:rsidRPr="00ED1C1E" w:rsidRDefault="00027FDA" w:rsidP="00F668CF">
            <w:pPr>
              <w:pStyle w:val="tabletext"/>
              <w:rPr>
                <w:rFonts w:ascii="Calibri" w:hAnsi="Calibri"/>
                <w:sz w:val="20"/>
                <w:szCs w:val="20"/>
              </w:rPr>
            </w:pPr>
          </w:p>
        </w:tc>
        <w:tc>
          <w:tcPr>
            <w:tcW w:w="6768" w:type="dxa"/>
            <w:shd w:val="clear" w:color="auto" w:fill="F2F2F2" w:themeFill="background1" w:themeFillShade="F2"/>
          </w:tcPr>
          <w:p w14:paraId="74674142" w14:textId="77777777" w:rsidR="00027FDA" w:rsidRPr="00ED1C1E" w:rsidRDefault="00027FDA" w:rsidP="00F668CF">
            <w:pPr>
              <w:pStyle w:val="tabletext"/>
              <w:rPr>
                <w:rFonts w:ascii="Calibri" w:hAnsi="Calibri"/>
                <w:sz w:val="20"/>
                <w:szCs w:val="20"/>
              </w:rPr>
            </w:pPr>
          </w:p>
        </w:tc>
      </w:tr>
      <w:tr w:rsidR="00027FDA" w:rsidRPr="00ED1C1E" w14:paraId="7467414A" w14:textId="77777777" w:rsidTr="00AC7159">
        <w:tc>
          <w:tcPr>
            <w:tcW w:w="5472" w:type="dxa"/>
            <w:shd w:val="clear" w:color="auto" w:fill="FAD41A"/>
          </w:tcPr>
          <w:p w14:paraId="74674144" w14:textId="50963728" w:rsidR="00027FDA" w:rsidRPr="00ED1C1E" w:rsidRDefault="00027FDA" w:rsidP="00A46181">
            <w:pPr>
              <w:pStyle w:val="tabletext"/>
              <w:ind w:left="288" w:hanging="288"/>
            </w:pPr>
            <w:r w:rsidRPr="00ED1C1E">
              <w:t>7. Provides ample opportunities to reread texts in students’ home language and in English (e.g., repeated reading, partner reading, choral reading, reader’s theater, etc</w:t>
            </w:r>
            <w:r w:rsidR="00DA70B7" w:rsidRPr="00ED1C1E">
              <w:t>.</w:t>
            </w:r>
            <w:r w:rsidRPr="00ED1C1E">
              <w:t>)</w:t>
            </w:r>
          </w:p>
        </w:tc>
        <w:tc>
          <w:tcPr>
            <w:tcW w:w="576" w:type="dxa"/>
            <w:shd w:val="clear" w:color="auto" w:fill="auto"/>
            <w:tcMar>
              <w:top w:w="100" w:type="dxa"/>
              <w:left w:w="100" w:type="dxa"/>
              <w:bottom w:w="100" w:type="dxa"/>
              <w:right w:w="100" w:type="dxa"/>
            </w:tcMar>
          </w:tcPr>
          <w:p w14:paraId="74674145" w14:textId="2340E4EB" w:rsidR="00027FDA" w:rsidRPr="00ED1C1E" w:rsidRDefault="00027FDA" w:rsidP="00F668CF">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46" w14:textId="0B9AD6AD" w:rsidR="00027FDA" w:rsidRPr="00ED1C1E" w:rsidRDefault="00027FDA" w:rsidP="00F668CF">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47" w14:textId="4E2A7361" w:rsidR="00027FDA" w:rsidRPr="00ED1C1E" w:rsidRDefault="00027FDA" w:rsidP="00F668CF">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48" w14:textId="4D99237C" w:rsidR="00027FDA" w:rsidRPr="00ED1C1E" w:rsidRDefault="00027FDA" w:rsidP="00F668CF">
            <w:pPr>
              <w:pStyle w:val="tabletext"/>
              <w:rPr>
                <w:rFonts w:ascii="Calibri" w:hAnsi="Calibri"/>
                <w:sz w:val="20"/>
                <w:szCs w:val="20"/>
              </w:rPr>
            </w:pPr>
          </w:p>
        </w:tc>
        <w:tc>
          <w:tcPr>
            <w:tcW w:w="6768" w:type="dxa"/>
          </w:tcPr>
          <w:p w14:paraId="74674149" w14:textId="77777777" w:rsidR="00027FDA" w:rsidRPr="00ED1C1E" w:rsidRDefault="00027FDA" w:rsidP="00F668CF">
            <w:pPr>
              <w:pStyle w:val="tabletext"/>
              <w:rPr>
                <w:rFonts w:ascii="Calibri" w:hAnsi="Calibri"/>
                <w:sz w:val="20"/>
                <w:szCs w:val="20"/>
              </w:rPr>
            </w:pPr>
          </w:p>
        </w:tc>
      </w:tr>
      <w:tr w:rsidR="00027FDA" w:rsidRPr="00ED1C1E" w14:paraId="74674151" w14:textId="77777777" w:rsidTr="00AC7159">
        <w:trPr>
          <w:cantSplit/>
        </w:trPr>
        <w:tc>
          <w:tcPr>
            <w:tcW w:w="5472" w:type="dxa"/>
            <w:shd w:val="clear" w:color="auto" w:fill="FAD41A"/>
          </w:tcPr>
          <w:p w14:paraId="7467414B" w14:textId="22E86D57" w:rsidR="00027FDA" w:rsidRPr="00ED1C1E" w:rsidRDefault="00027FDA" w:rsidP="00A46181">
            <w:pPr>
              <w:pStyle w:val="tabletext"/>
              <w:ind w:left="288" w:hanging="288"/>
            </w:pPr>
            <w:r w:rsidRPr="00ED1C1E">
              <w:t xml:space="preserve">8. Uses vocabulary knowledge in students’ home language to support vocabulary development in English, leveraging cognates (words whose spellings and meanings are similar across languages) to create metalinguistic awareness whenever possible (e.g., </w:t>
            </w:r>
            <w:proofErr w:type="spellStart"/>
            <w:r w:rsidRPr="00ED1C1E">
              <w:rPr>
                <w:i/>
                <w:iCs/>
              </w:rPr>
              <w:t>teléfono</w:t>
            </w:r>
            <w:proofErr w:type="spellEnd"/>
            <w:r w:rsidRPr="00ED1C1E">
              <w:t xml:space="preserve"> vs </w:t>
            </w:r>
            <w:r w:rsidRPr="00ED1C1E">
              <w:rPr>
                <w:i/>
                <w:iCs/>
              </w:rPr>
              <w:t>telephone</w:t>
            </w:r>
            <w:r w:rsidRPr="00ED1C1E">
              <w:t xml:space="preserve">, </w:t>
            </w:r>
            <w:proofErr w:type="spellStart"/>
            <w:r w:rsidRPr="00ED1C1E">
              <w:rPr>
                <w:i/>
                <w:iCs/>
              </w:rPr>
              <w:t>ir</w:t>
            </w:r>
            <w:proofErr w:type="spellEnd"/>
            <w:r w:rsidRPr="00ED1C1E">
              <w:t xml:space="preserve"> vs </w:t>
            </w:r>
            <w:r w:rsidRPr="00ED1C1E">
              <w:rPr>
                <w:i/>
                <w:iCs/>
              </w:rPr>
              <w:t>go</w:t>
            </w:r>
            <w:r w:rsidRPr="00ED1C1E">
              <w:t>)</w:t>
            </w:r>
          </w:p>
        </w:tc>
        <w:tc>
          <w:tcPr>
            <w:tcW w:w="576" w:type="dxa"/>
            <w:shd w:val="clear" w:color="auto" w:fill="F2F2F2" w:themeFill="background1" w:themeFillShade="F2"/>
            <w:tcMar>
              <w:top w:w="100" w:type="dxa"/>
              <w:left w:w="100" w:type="dxa"/>
              <w:bottom w:w="100" w:type="dxa"/>
              <w:right w:w="100" w:type="dxa"/>
            </w:tcMar>
          </w:tcPr>
          <w:p w14:paraId="7467414C" w14:textId="1273EDD8" w:rsidR="00027FDA" w:rsidRPr="00ED1C1E" w:rsidRDefault="00027FDA" w:rsidP="00F668CF">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4D" w14:textId="04782182" w:rsidR="00027FDA" w:rsidRPr="00ED1C1E" w:rsidRDefault="00027FDA" w:rsidP="00F668CF">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4E" w14:textId="0FAA3640" w:rsidR="00027FDA" w:rsidRPr="00ED1C1E" w:rsidRDefault="00027FDA" w:rsidP="00F668CF">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4F" w14:textId="0FEFFFDD" w:rsidR="00027FDA" w:rsidRPr="00ED1C1E" w:rsidRDefault="00027FDA" w:rsidP="00F668CF">
            <w:pPr>
              <w:pStyle w:val="tabletext"/>
              <w:rPr>
                <w:rFonts w:ascii="Calibri" w:hAnsi="Calibri"/>
                <w:sz w:val="20"/>
                <w:szCs w:val="20"/>
              </w:rPr>
            </w:pPr>
          </w:p>
        </w:tc>
        <w:tc>
          <w:tcPr>
            <w:tcW w:w="6768" w:type="dxa"/>
            <w:shd w:val="clear" w:color="auto" w:fill="F2F2F2" w:themeFill="background1" w:themeFillShade="F2"/>
          </w:tcPr>
          <w:p w14:paraId="74674150" w14:textId="77777777" w:rsidR="00027FDA" w:rsidRPr="00ED1C1E" w:rsidRDefault="00027FDA" w:rsidP="00F668CF">
            <w:pPr>
              <w:pStyle w:val="tabletext"/>
              <w:rPr>
                <w:rFonts w:ascii="Calibri" w:hAnsi="Calibri"/>
                <w:sz w:val="20"/>
                <w:szCs w:val="20"/>
              </w:rPr>
            </w:pPr>
          </w:p>
        </w:tc>
      </w:tr>
      <w:tr w:rsidR="00027FDA" w:rsidRPr="00ED1C1E" w14:paraId="74674158" w14:textId="77777777" w:rsidTr="00AC7159">
        <w:trPr>
          <w:cantSplit/>
        </w:trPr>
        <w:tc>
          <w:tcPr>
            <w:tcW w:w="5472" w:type="dxa"/>
            <w:shd w:val="clear" w:color="auto" w:fill="FAD41A"/>
          </w:tcPr>
          <w:p w14:paraId="74674152" w14:textId="77777777" w:rsidR="00027FDA" w:rsidRPr="00ED1C1E" w:rsidRDefault="00027FDA" w:rsidP="00A46181">
            <w:pPr>
              <w:pStyle w:val="tabletext"/>
              <w:ind w:left="288" w:hanging="288"/>
            </w:pPr>
            <w:r w:rsidRPr="00ED1C1E">
              <w:t xml:space="preserve">9. Provides opportunities to analyze the commonalities and differences between syntax in students’ home language and in English to support comprehension (e.g., adjective location, conjugation, </w:t>
            </w:r>
            <w:proofErr w:type="spellStart"/>
            <w:r w:rsidRPr="00ED1C1E">
              <w:t>etc</w:t>
            </w:r>
            <w:proofErr w:type="spellEnd"/>
            <w:r w:rsidRPr="00ED1C1E">
              <w:t>)</w:t>
            </w:r>
          </w:p>
        </w:tc>
        <w:tc>
          <w:tcPr>
            <w:tcW w:w="576" w:type="dxa"/>
            <w:shd w:val="clear" w:color="auto" w:fill="auto"/>
            <w:tcMar>
              <w:top w:w="100" w:type="dxa"/>
              <w:left w:w="100" w:type="dxa"/>
              <w:bottom w:w="100" w:type="dxa"/>
              <w:right w:w="100" w:type="dxa"/>
            </w:tcMar>
          </w:tcPr>
          <w:p w14:paraId="74674153" w14:textId="7B5D45CB" w:rsidR="00027FDA" w:rsidRPr="00ED1C1E" w:rsidRDefault="00027FDA" w:rsidP="00F668CF">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54" w14:textId="444B711C" w:rsidR="00027FDA" w:rsidRPr="00ED1C1E" w:rsidRDefault="00027FDA" w:rsidP="00F668CF">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55" w14:textId="1D3F1C76" w:rsidR="00027FDA" w:rsidRPr="00ED1C1E" w:rsidRDefault="00027FDA" w:rsidP="00F668CF">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56" w14:textId="193393D1" w:rsidR="00027FDA" w:rsidRPr="00ED1C1E" w:rsidRDefault="00027FDA" w:rsidP="00F668CF">
            <w:pPr>
              <w:pStyle w:val="tabletext"/>
              <w:rPr>
                <w:rFonts w:ascii="Calibri" w:hAnsi="Calibri"/>
                <w:sz w:val="20"/>
                <w:szCs w:val="20"/>
              </w:rPr>
            </w:pPr>
          </w:p>
        </w:tc>
        <w:tc>
          <w:tcPr>
            <w:tcW w:w="6768" w:type="dxa"/>
          </w:tcPr>
          <w:p w14:paraId="74674157" w14:textId="77777777" w:rsidR="00027FDA" w:rsidRPr="00ED1C1E" w:rsidRDefault="00027FDA" w:rsidP="00F668CF">
            <w:pPr>
              <w:pStyle w:val="tabletext"/>
              <w:rPr>
                <w:rFonts w:ascii="Calibri" w:hAnsi="Calibri"/>
                <w:sz w:val="20"/>
                <w:szCs w:val="20"/>
              </w:rPr>
            </w:pPr>
          </w:p>
        </w:tc>
      </w:tr>
      <w:tr w:rsidR="00027FDA" w:rsidRPr="00ED1C1E" w14:paraId="7467415F" w14:textId="77777777" w:rsidTr="00AC7159">
        <w:tc>
          <w:tcPr>
            <w:tcW w:w="5472" w:type="dxa"/>
            <w:shd w:val="clear" w:color="auto" w:fill="FAD41A"/>
          </w:tcPr>
          <w:p w14:paraId="74674159" w14:textId="77777777" w:rsidR="00027FDA" w:rsidRPr="00ED1C1E" w:rsidRDefault="00027FDA" w:rsidP="00A46181">
            <w:pPr>
              <w:pStyle w:val="tabletext"/>
              <w:ind w:left="288" w:hanging="288"/>
            </w:pPr>
            <w:r w:rsidRPr="00ED1C1E">
              <w:t>10.Provides ample opportunities for using new vocabulary and language structures to make connections to concepts and students’ own lived experiences orally and in writing</w:t>
            </w:r>
          </w:p>
        </w:tc>
        <w:tc>
          <w:tcPr>
            <w:tcW w:w="576" w:type="dxa"/>
            <w:shd w:val="clear" w:color="auto" w:fill="F2F2F2" w:themeFill="background1" w:themeFillShade="F2"/>
            <w:tcMar>
              <w:top w:w="100" w:type="dxa"/>
              <w:left w:w="100" w:type="dxa"/>
              <w:bottom w:w="100" w:type="dxa"/>
              <w:right w:w="100" w:type="dxa"/>
            </w:tcMar>
          </w:tcPr>
          <w:p w14:paraId="7467415A" w14:textId="697A6761" w:rsidR="00027FDA" w:rsidRPr="00ED1C1E" w:rsidRDefault="00027FDA" w:rsidP="00F668CF">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5B" w14:textId="17DCE9E1" w:rsidR="00027FDA" w:rsidRPr="00ED1C1E" w:rsidRDefault="00027FDA" w:rsidP="00F668CF">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5C" w14:textId="110516F6" w:rsidR="00027FDA" w:rsidRPr="00ED1C1E" w:rsidRDefault="00027FDA" w:rsidP="00F668CF">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5D" w14:textId="0B4E9404" w:rsidR="00027FDA" w:rsidRPr="00ED1C1E" w:rsidRDefault="00027FDA" w:rsidP="00F668CF">
            <w:pPr>
              <w:pStyle w:val="tabletext"/>
              <w:rPr>
                <w:rFonts w:ascii="Calibri" w:hAnsi="Calibri"/>
                <w:sz w:val="20"/>
                <w:szCs w:val="20"/>
              </w:rPr>
            </w:pPr>
          </w:p>
        </w:tc>
        <w:tc>
          <w:tcPr>
            <w:tcW w:w="6768" w:type="dxa"/>
            <w:shd w:val="clear" w:color="auto" w:fill="F2F2F2" w:themeFill="background1" w:themeFillShade="F2"/>
          </w:tcPr>
          <w:p w14:paraId="7467415E" w14:textId="77777777" w:rsidR="00027FDA" w:rsidRPr="00ED1C1E" w:rsidRDefault="00027FDA" w:rsidP="00F668CF">
            <w:pPr>
              <w:pStyle w:val="tabletext"/>
              <w:rPr>
                <w:rFonts w:ascii="Calibri" w:hAnsi="Calibri"/>
                <w:sz w:val="20"/>
                <w:szCs w:val="20"/>
              </w:rPr>
            </w:pPr>
          </w:p>
        </w:tc>
      </w:tr>
      <w:tr w:rsidR="00027FDA" w:rsidRPr="00ED1C1E" w14:paraId="74674166" w14:textId="77777777" w:rsidTr="00AC7159">
        <w:tc>
          <w:tcPr>
            <w:tcW w:w="5472" w:type="dxa"/>
            <w:shd w:val="clear" w:color="auto" w:fill="FAD41A"/>
          </w:tcPr>
          <w:p w14:paraId="74674160" w14:textId="77777777" w:rsidR="00027FDA" w:rsidRPr="00ED1C1E" w:rsidRDefault="00027FDA" w:rsidP="00A46181">
            <w:pPr>
              <w:pStyle w:val="tabletext"/>
              <w:ind w:left="288" w:hanging="288"/>
            </w:pPr>
            <w:r w:rsidRPr="00ED1C1E">
              <w:t>11.Includes assessments with explicit criteria to monitor the progress of multilingual learners who require small-group or individualized differentiated instruction</w:t>
            </w:r>
          </w:p>
        </w:tc>
        <w:tc>
          <w:tcPr>
            <w:tcW w:w="576" w:type="dxa"/>
            <w:shd w:val="clear" w:color="auto" w:fill="auto"/>
            <w:tcMar>
              <w:top w:w="100" w:type="dxa"/>
              <w:left w:w="100" w:type="dxa"/>
              <w:bottom w:w="100" w:type="dxa"/>
              <w:right w:w="100" w:type="dxa"/>
            </w:tcMar>
          </w:tcPr>
          <w:p w14:paraId="74674161" w14:textId="6E7428B2" w:rsidR="00027FDA" w:rsidRPr="00ED1C1E" w:rsidRDefault="00027FDA" w:rsidP="00F668CF">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62" w14:textId="794A3A2F" w:rsidR="00027FDA" w:rsidRPr="00ED1C1E" w:rsidRDefault="00027FDA" w:rsidP="00F668CF">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63" w14:textId="2FA7114A" w:rsidR="00027FDA" w:rsidRPr="00ED1C1E" w:rsidRDefault="00027FDA" w:rsidP="00F668CF">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64" w14:textId="374F133C" w:rsidR="00027FDA" w:rsidRPr="00ED1C1E" w:rsidRDefault="00027FDA" w:rsidP="00F668CF">
            <w:pPr>
              <w:pStyle w:val="tabletext"/>
              <w:rPr>
                <w:rFonts w:ascii="Calibri" w:hAnsi="Calibri"/>
                <w:sz w:val="20"/>
                <w:szCs w:val="20"/>
              </w:rPr>
            </w:pPr>
          </w:p>
        </w:tc>
        <w:tc>
          <w:tcPr>
            <w:tcW w:w="6768" w:type="dxa"/>
          </w:tcPr>
          <w:p w14:paraId="74674165" w14:textId="77777777" w:rsidR="00027FDA" w:rsidRPr="00ED1C1E" w:rsidRDefault="00027FDA" w:rsidP="00F668CF">
            <w:pPr>
              <w:pStyle w:val="tabletext"/>
              <w:rPr>
                <w:rFonts w:ascii="Calibri" w:hAnsi="Calibri"/>
                <w:sz w:val="20"/>
                <w:szCs w:val="20"/>
              </w:rPr>
            </w:pPr>
          </w:p>
        </w:tc>
      </w:tr>
    </w:tbl>
    <w:p w14:paraId="68461692" w14:textId="77777777" w:rsidR="00AC7159" w:rsidRPr="00ED1C1E" w:rsidRDefault="00F668CF" w:rsidP="00AC7159">
      <w:pPr>
        <w:tabs>
          <w:tab w:val="left" w:pos="6480"/>
          <w:tab w:val="left" w:pos="7560"/>
        </w:tabs>
        <w:spacing w:before="160" w:after="60"/>
      </w:pPr>
      <w:r w:rsidRPr="00ED1C1E">
        <w:t>12. Do the materials meet the needs of multilingual learners?</w:t>
      </w:r>
    </w:p>
    <w:p w14:paraId="7DCB1046" w14:textId="77777777" w:rsidR="00AC7159" w:rsidRPr="00ED1C1E" w:rsidRDefault="00F668CF" w:rsidP="00AC7159">
      <w:pPr>
        <w:pStyle w:val="ListParagraph"/>
        <w:numPr>
          <w:ilvl w:val="0"/>
          <w:numId w:val="40"/>
        </w:numPr>
        <w:tabs>
          <w:tab w:val="left" w:pos="6480"/>
          <w:tab w:val="left" w:pos="7560"/>
        </w:tabs>
        <w:spacing w:after="60"/>
      </w:pPr>
      <w:r w:rsidRPr="00ED1C1E">
        <w:t>Yes</w:t>
      </w:r>
    </w:p>
    <w:p w14:paraId="4C04ADB1" w14:textId="3752C7E3" w:rsidR="00027FDA" w:rsidRPr="00ED1C1E" w:rsidRDefault="00F668CF" w:rsidP="00AC7159">
      <w:pPr>
        <w:pStyle w:val="ListParagraph"/>
        <w:numPr>
          <w:ilvl w:val="0"/>
          <w:numId w:val="40"/>
        </w:numPr>
        <w:tabs>
          <w:tab w:val="left" w:pos="6480"/>
          <w:tab w:val="left" w:pos="7560"/>
        </w:tabs>
        <w:spacing w:after="240"/>
      </w:pPr>
      <w:r w:rsidRPr="00ED1C1E">
        <w:t>No</w:t>
      </w:r>
    </w:p>
    <w:p w14:paraId="74EE23BF" w14:textId="6EDE4E92" w:rsidR="0087096C" w:rsidRPr="00ED1C1E" w:rsidRDefault="00F668CF" w:rsidP="167C3B19">
      <w:pPr>
        <w:spacing w:before="240"/>
      </w:pPr>
      <w:r w:rsidRPr="00ED1C1E">
        <w:t>Evidence:</w:t>
      </w:r>
      <w:r w:rsidRPr="00ED1C1E">
        <w:br w:type="page"/>
      </w:r>
    </w:p>
    <w:p w14:paraId="380F9A61" w14:textId="75D943F7" w:rsidR="00DA70B7" w:rsidRPr="00ED1C1E" w:rsidRDefault="00DA70B7" w:rsidP="00DA70B7">
      <w:pPr>
        <w:pStyle w:val="Caption"/>
        <w:keepNext/>
      </w:pPr>
      <w:r w:rsidRPr="00ED1C1E">
        <w:t>Dimension 3: Considerations for Gifted and Talented Learners</w:t>
      </w:r>
    </w:p>
    <w:tbl>
      <w:tblPr>
        <w:tblW w:w="14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184"/>
        <w:gridCol w:w="576"/>
        <w:gridCol w:w="576"/>
        <w:gridCol w:w="576"/>
        <w:gridCol w:w="576"/>
        <w:gridCol w:w="6739"/>
      </w:tblGrid>
      <w:tr w:rsidR="009352A0" w:rsidRPr="00ED1C1E" w14:paraId="74674174" w14:textId="77777777" w:rsidTr="006E3773">
        <w:trPr>
          <w:tblHeader/>
        </w:trPr>
        <w:tc>
          <w:tcPr>
            <w:tcW w:w="5184" w:type="dxa"/>
            <w:tcBorders>
              <w:right w:val="single" w:sz="4" w:space="0" w:color="FFFFFF" w:themeColor="background1"/>
            </w:tcBorders>
            <w:shd w:val="clear" w:color="auto" w:fill="124F73"/>
          </w:tcPr>
          <w:p w14:paraId="7467416E" w14:textId="77777777" w:rsidR="009352A0" w:rsidRPr="00ED1C1E" w:rsidRDefault="004F5411" w:rsidP="006E3773">
            <w:pPr>
              <w:pStyle w:val="tabletext"/>
              <w:rPr>
                <w:b/>
                <w:bCs/>
                <w:color w:val="FFFFFF" w:themeColor="background1"/>
              </w:rPr>
            </w:pPr>
            <w:r w:rsidRPr="00ED1C1E">
              <w:rPr>
                <w:b/>
                <w:bCs/>
                <w:color w:val="FFFFFF" w:themeColor="background1"/>
              </w:rPr>
              <w:t>Element</w:t>
            </w:r>
          </w:p>
        </w:tc>
        <w:tc>
          <w:tcPr>
            <w:tcW w:w="576" w:type="dxa"/>
            <w:tcBorders>
              <w:left w:val="single" w:sz="4" w:space="0" w:color="FFFFFF" w:themeColor="background1"/>
              <w:right w:val="single" w:sz="4" w:space="0" w:color="FFFFFF" w:themeColor="background1"/>
            </w:tcBorders>
            <w:shd w:val="clear" w:color="auto" w:fill="124F73"/>
          </w:tcPr>
          <w:p w14:paraId="7467416F" w14:textId="77777777" w:rsidR="009352A0" w:rsidRPr="00ED1C1E" w:rsidRDefault="004F5411" w:rsidP="006E3773">
            <w:pPr>
              <w:pStyle w:val="tabletext"/>
              <w:rPr>
                <w:b/>
                <w:bCs/>
                <w:color w:val="FFFFFF" w:themeColor="background1"/>
              </w:rPr>
            </w:pPr>
            <w:r w:rsidRPr="00ED1C1E">
              <w:rPr>
                <w:b/>
                <w:bCs/>
                <w:color w:val="FFFFFF" w:themeColor="background1"/>
              </w:rPr>
              <w:t>K</w:t>
            </w:r>
          </w:p>
        </w:tc>
        <w:tc>
          <w:tcPr>
            <w:tcW w:w="576" w:type="dxa"/>
            <w:tcBorders>
              <w:left w:val="single" w:sz="4" w:space="0" w:color="FFFFFF" w:themeColor="background1"/>
            </w:tcBorders>
            <w:shd w:val="clear" w:color="auto" w:fill="124F73"/>
          </w:tcPr>
          <w:p w14:paraId="74674170" w14:textId="77777777" w:rsidR="009352A0" w:rsidRPr="00ED1C1E" w:rsidRDefault="004F5411" w:rsidP="006E3773">
            <w:pPr>
              <w:pStyle w:val="tabletext"/>
              <w:rPr>
                <w:b/>
                <w:bCs/>
                <w:color w:val="FFFFFF" w:themeColor="background1"/>
              </w:rPr>
            </w:pPr>
            <w:r w:rsidRPr="00ED1C1E">
              <w:rPr>
                <w:b/>
                <w:bCs/>
                <w:color w:val="FFFFFF" w:themeColor="background1"/>
              </w:rPr>
              <w:t>1</w:t>
            </w:r>
          </w:p>
        </w:tc>
        <w:tc>
          <w:tcPr>
            <w:tcW w:w="576" w:type="dxa"/>
            <w:tcBorders>
              <w:right w:val="single" w:sz="4" w:space="0" w:color="FFFFFF" w:themeColor="background1"/>
            </w:tcBorders>
            <w:shd w:val="clear" w:color="auto" w:fill="124F73"/>
          </w:tcPr>
          <w:p w14:paraId="74674171" w14:textId="77777777" w:rsidR="009352A0" w:rsidRPr="00ED1C1E" w:rsidRDefault="004F5411" w:rsidP="006E3773">
            <w:pPr>
              <w:pStyle w:val="tabletext"/>
              <w:rPr>
                <w:b/>
                <w:bCs/>
                <w:color w:val="FFFFFF" w:themeColor="background1"/>
              </w:rPr>
            </w:pPr>
            <w:r w:rsidRPr="00ED1C1E">
              <w:rPr>
                <w:b/>
                <w:bCs/>
                <w:color w:val="FFFFFF" w:themeColor="background1"/>
              </w:rPr>
              <w:t>2</w:t>
            </w:r>
          </w:p>
        </w:tc>
        <w:tc>
          <w:tcPr>
            <w:tcW w:w="576" w:type="dxa"/>
            <w:tcBorders>
              <w:left w:val="single" w:sz="4" w:space="0" w:color="FFFFFF" w:themeColor="background1"/>
              <w:right w:val="single" w:sz="4" w:space="0" w:color="FFFFFF" w:themeColor="background1"/>
            </w:tcBorders>
            <w:shd w:val="clear" w:color="auto" w:fill="124F73"/>
          </w:tcPr>
          <w:p w14:paraId="74674172" w14:textId="77777777" w:rsidR="009352A0" w:rsidRPr="00ED1C1E" w:rsidRDefault="004F5411" w:rsidP="006E3773">
            <w:pPr>
              <w:pStyle w:val="tabletext"/>
              <w:rPr>
                <w:b/>
                <w:bCs/>
                <w:color w:val="FFFFFF" w:themeColor="background1"/>
              </w:rPr>
            </w:pPr>
            <w:r w:rsidRPr="00ED1C1E">
              <w:rPr>
                <w:b/>
                <w:bCs/>
                <w:color w:val="FFFFFF" w:themeColor="background1"/>
              </w:rPr>
              <w:t>3</w:t>
            </w:r>
          </w:p>
        </w:tc>
        <w:tc>
          <w:tcPr>
            <w:tcW w:w="6739" w:type="dxa"/>
            <w:tcBorders>
              <w:left w:val="single" w:sz="4" w:space="0" w:color="FFFFFF" w:themeColor="background1"/>
            </w:tcBorders>
            <w:shd w:val="clear" w:color="auto" w:fill="124F73"/>
          </w:tcPr>
          <w:p w14:paraId="74674173" w14:textId="77777777" w:rsidR="009352A0" w:rsidRPr="00ED1C1E" w:rsidRDefault="004F5411" w:rsidP="006E3773">
            <w:pPr>
              <w:pStyle w:val="tabletext"/>
              <w:rPr>
                <w:b/>
                <w:bCs/>
                <w:color w:val="FFFFFF" w:themeColor="background1"/>
              </w:rPr>
            </w:pPr>
            <w:r w:rsidRPr="00ED1C1E">
              <w:rPr>
                <w:b/>
                <w:bCs/>
                <w:color w:val="FFFFFF" w:themeColor="background1"/>
              </w:rPr>
              <w:t>Evidence</w:t>
            </w:r>
          </w:p>
        </w:tc>
      </w:tr>
      <w:tr w:rsidR="00027FDA" w:rsidRPr="00ED1C1E" w14:paraId="7467417B" w14:textId="77777777" w:rsidTr="006E3773">
        <w:tc>
          <w:tcPr>
            <w:tcW w:w="5184" w:type="dxa"/>
            <w:shd w:val="clear" w:color="auto" w:fill="FAD41A"/>
          </w:tcPr>
          <w:p w14:paraId="74674175" w14:textId="77777777" w:rsidR="00027FDA" w:rsidRPr="00ED1C1E" w:rsidRDefault="00027FDA" w:rsidP="006E3773">
            <w:pPr>
              <w:pStyle w:val="tabletext"/>
              <w:ind w:left="288" w:hanging="288"/>
            </w:pPr>
            <w:r w:rsidRPr="00ED1C1E">
              <w:t>1. Includes strategic instruction in analysis and interpretation of complex content and themes within appropriately advanced text</w:t>
            </w:r>
          </w:p>
        </w:tc>
        <w:tc>
          <w:tcPr>
            <w:tcW w:w="576" w:type="dxa"/>
            <w:shd w:val="clear" w:color="auto" w:fill="auto"/>
            <w:tcMar>
              <w:top w:w="100" w:type="dxa"/>
              <w:left w:w="100" w:type="dxa"/>
              <w:bottom w:w="100" w:type="dxa"/>
              <w:right w:w="100" w:type="dxa"/>
            </w:tcMar>
          </w:tcPr>
          <w:p w14:paraId="74674176" w14:textId="262AF024" w:rsidR="00027FDA" w:rsidRPr="00ED1C1E" w:rsidRDefault="00027FDA" w:rsidP="006E3773">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77" w14:textId="584B4CAC" w:rsidR="00027FDA" w:rsidRPr="00ED1C1E" w:rsidRDefault="00027FDA" w:rsidP="006E3773">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78" w14:textId="5BC95A25" w:rsidR="00027FDA" w:rsidRPr="00ED1C1E" w:rsidRDefault="00027FDA" w:rsidP="006E3773">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79" w14:textId="56941A5A" w:rsidR="00027FDA" w:rsidRPr="00ED1C1E" w:rsidRDefault="00027FDA" w:rsidP="006E3773">
            <w:pPr>
              <w:pStyle w:val="tabletext"/>
              <w:rPr>
                <w:rFonts w:ascii="Calibri" w:hAnsi="Calibri"/>
                <w:sz w:val="20"/>
                <w:szCs w:val="20"/>
              </w:rPr>
            </w:pPr>
          </w:p>
        </w:tc>
        <w:tc>
          <w:tcPr>
            <w:tcW w:w="6739" w:type="dxa"/>
          </w:tcPr>
          <w:p w14:paraId="7467417A" w14:textId="77777777" w:rsidR="00027FDA" w:rsidRPr="00ED1C1E" w:rsidRDefault="00027FDA" w:rsidP="006E3773">
            <w:pPr>
              <w:pStyle w:val="tabletext"/>
              <w:rPr>
                <w:rFonts w:ascii="Calibri" w:hAnsi="Calibri"/>
                <w:sz w:val="20"/>
                <w:szCs w:val="20"/>
              </w:rPr>
            </w:pPr>
          </w:p>
        </w:tc>
      </w:tr>
      <w:tr w:rsidR="00027FDA" w:rsidRPr="00ED1C1E" w14:paraId="74674182" w14:textId="77777777" w:rsidTr="006E3773">
        <w:tc>
          <w:tcPr>
            <w:tcW w:w="5184" w:type="dxa"/>
            <w:shd w:val="clear" w:color="auto" w:fill="FAD41A"/>
          </w:tcPr>
          <w:p w14:paraId="7467417C" w14:textId="77777777" w:rsidR="00027FDA" w:rsidRPr="00ED1C1E" w:rsidRDefault="00027FDA" w:rsidP="006E3773">
            <w:pPr>
              <w:pStyle w:val="tabletext"/>
              <w:ind w:left="288" w:hanging="288"/>
            </w:pPr>
            <w:r w:rsidRPr="00ED1C1E">
              <w:t>2. Provides opportunities for flexible and collaborative shared reading/writing experiences with peers at a similar advanced level</w:t>
            </w:r>
          </w:p>
        </w:tc>
        <w:tc>
          <w:tcPr>
            <w:tcW w:w="576" w:type="dxa"/>
            <w:shd w:val="clear" w:color="auto" w:fill="F2F2F2" w:themeFill="background1" w:themeFillShade="F2"/>
            <w:tcMar>
              <w:top w:w="100" w:type="dxa"/>
              <w:left w:w="100" w:type="dxa"/>
              <w:bottom w:w="100" w:type="dxa"/>
              <w:right w:w="100" w:type="dxa"/>
            </w:tcMar>
          </w:tcPr>
          <w:p w14:paraId="7467417D" w14:textId="6AC2DB91" w:rsidR="00027FDA" w:rsidRPr="00ED1C1E" w:rsidRDefault="00027FDA" w:rsidP="006E3773">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7E" w14:textId="506E2A55" w:rsidR="00027FDA" w:rsidRPr="00ED1C1E" w:rsidRDefault="00027FDA" w:rsidP="006E3773">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7F" w14:textId="2D5AE4DC" w:rsidR="00027FDA" w:rsidRPr="00ED1C1E" w:rsidRDefault="00027FDA" w:rsidP="006E3773">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80" w14:textId="130A8791" w:rsidR="00027FDA" w:rsidRPr="00ED1C1E" w:rsidRDefault="00027FDA" w:rsidP="006E3773">
            <w:pPr>
              <w:pStyle w:val="tabletext"/>
              <w:rPr>
                <w:rFonts w:ascii="Calibri" w:hAnsi="Calibri"/>
                <w:sz w:val="20"/>
                <w:szCs w:val="20"/>
              </w:rPr>
            </w:pPr>
          </w:p>
        </w:tc>
        <w:tc>
          <w:tcPr>
            <w:tcW w:w="6739" w:type="dxa"/>
            <w:shd w:val="clear" w:color="auto" w:fill="F2F2F2" w:themeFill="background1" w:themeFillShade="F2"/>
          </w:tcPr>
          <w:p w14:paraId="74674181" w14:textId="77777777" w:rsidR="00027FDA" w:rsidRPr="00ED1C1E" w:rsidRDefault="00027FDA" w:rsidP="006E3773">
            <w:pPr>
              <w:pStyle w:val="tabletext"/>
              <w:rPr>
                <w:rFonts w:ascii="Calibri" w:hAnsi="Calibri"/>
                <w:sz w:val="20"/>
                <w:szCs w:val="20"/>
              </w:rPr>
            </w:pPr>
          </w:p>
        </w:tc>
      </w:tr>
      <w:tr w:rsidR="00027FDA" w:rsidRPr="00ED1C1E" w14:paraId="74674189" w14:textId="77777777" w:rsidTr="006E3773">
        <w:tc>
          <w:tcPr>
            <w:tcW w:w="5184" w:type="dxa"/>
            <w:shd w:val="clear" w:color="auto" w:fill="FAD41A"/>
          </w:tcPr>
          <w:p w14:paraId="74674183" w14:textId="77777777" w:rsidR="00027FDA" w:rsidRPr="00ED1C1E" w:rsidRDefault="00027FDA" w:rsidP="006E3773">
            <w:pPr>
              <w:pStyle w:val="tabletext"/>
              <w:ind w:left="288" w:hanging="288"/>
            </w:pPr>
            <w:r w:rsidRPr="00ED1C1E">
              <w:t>3. Includes above-grade-level, advanced texts of varied genres, topics, and characters for application of advanced skills</w:t>
            </w:r>
          </w:p>
        </w:tc>
        <w:tc>
          <w:tcPr>
            <w:tcW w:w="576" w:type="dxa"/>
            <w:shd w:val="clear" w:color="auto" w:fill="auto"/>
            <w:tcMar>
              <w:top w:w="100" w:type="dxa"/>
              <w:left w:w="100" w:type="dxa"/>
              <w:bottom w:w="100" w:type="dxa"/>
              <w:right w:w="100" w:type="dxa"/>
            </w:tcMar>
          </w:tcPr>
          <w:p w14:paraId="74674184" w14:textId="411C33EF" w:rsidR="00027FDA" w:rsidRPr="00ED1C1E" w:rsidRDefault="00027FDA" w:rsidP="006E3773">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85" w14:textId="7201346F" w:rsidR="00027FDA" w:rsidRPr="00ED1C1E" w:rsidRDefault="00027FDA" w:rsidP="006E3773">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86" w14:textId="334573A5" w:rsidR="00027FDA" w:rsidRPr="00ED1C1E" w:rsidRDefault="00027FDA" w:rsidP="006E3773">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87" w14:textId="0A725B62" w:rsidR="00027FDA" w:rsidRPr="00ED1C1E" w:rsidRDefault="00027FDA" w:rsidP="006E3773">
            <w:pPr>
              <w:pStyle w:val="tabletext"/>
              <w:rPr>
                <w:rFonts w:ascii="Calibri" w:hAnsi="Calibri"/>
                <w:sz w:val="20"/>
                <w:szCs w:val="20"/>
              </w:rPr>
            </w:pPr>
          </w:p>
        </w:tc>
        <w:tc>
          <w:tcPr>
            <w:tcW w:w="6739" w:type="dxa"/>
          </w:tcPr>
          <w:p w14:paraId="74674188" w14:textId="77777777" w:rsidR="00027FDA" w:rsidRPr="00ED1C1E" w:rsidRDefault="00027FDA" w:rsidP="006E3773">
            <w:pPr>
              <w:pStyle w:val="tabletext"/>
              <w:rPr>
                <w:rFonts w:ascii="Calibri" w:hAnsi="Calibri"/>
                <w:sz w:val="20"/>
                <w:szCs w:val="20"/>
              </w:rPr>
            </w:pPr>
          </w:p>
        </w:tc>
      </w:tr>
      <w:tr w:rsidR="00027FDA" w:rsidRPr="00ED1C1E" w14:paraId="74674190" w14:textId="77777777" w:rsidTr="006E3773">
        <w:tc>
          <w:tcPr>
            <w:tcW w:w="5184" w:type="dxa"/>
            <w:shd w:val="clear" w:color="auto" w:fill="FAD41A"/>
          </w:tcPr>
          <w:p w14:paraId="7467418A" w14:textId="77777777" w:rsidR="00027FDA" w:rsidRPr="00ED1C1E" w:rsidRDefault="00027FDA" w:rsidP="006E3773">
            <w:pPr>
              <w:pStyle w:val="tabletext"/>
              <w:ind w:left="288" w:hanging="288"/>
            </w:pPr>
            <w:r w:rsidRPr="00ED1C1E">
              <w:t>4. Includes opportunities for inquiry and independent research, creative reading/writing tasks, and activities focused on more complex content and themes</w:t>
            </w:r>
          </w:p>
        </w:tc>
        <w:tc>
          <w:tcPr>
            <w:tcW w:w="576" w:type="dxa"/>
            <w:shd w:val="clear" w:color="auto" w:fill="F2F2F2" w:themeFill="background1" w:themeFillShade="F2"/>
            <w:tcMar>
              <w:top w:w="100" w:type="dxa"/>
              <w:left w:w="100" w:type="dxa"/>
              <w:bottom w:w="100" w:type="dxa"/>
              <w:right w:w="100" w:type="dxa"/>
            </w:tcMar>
          </w:tcPr>
          <w:p w14:paraId="7467418B" w14:textId="55A0011D" w:rsidR="00027FDA" w:rsidRPr="00ED1C1E" w:rsidRDefault="00027FDA" w:rsidP="006E3773">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8C" w14:textId="7657863B" w:rsidR="00027FDA" w:rsidRPr="00ED1C1E" w:rsidRDefault="00027FDA" w:rsidP="006E3773">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8D" w14:textId="16C57754" w:rsidR="00027FDA" w:rsidRPr="00ED1C1E" w:rsidRDefault="00027FDA" w:rsidP="006E3773">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8E" w14:textId="307F8897" w:rsidR="00027FDA" w:rsidRPr="00ED1C1E" w:rsidRDefault="00027FDA" w:rsidP="006E3773">
            <w:pPr>
              <w:pStyle w:val="tabletext"/>
              <w:rPr>
                <w:rFonts w:ascii="Calibri" w:hAnsi="Calibri"/>
                <w:sz w:val="20"/>
                <w:szCs w:val="20"/>
              </w:rPr>
            </w:pPr>
          </w:p>
        </w:tc>
        <w:tc>
          <w:tcPr>
            <w:tcW w:w="6739" w:type="dxa"/>
            <w:shd w:val="clear" w:color="auto" w:fill="F2F2F2" w:themeFill="background1" w:themeFillShade="F2"/>
          </w:tcPr>
          <w:p w14:paraId="7467418F" w14:textId="77777777" w:rsidR="00027FDA" w:rsidRPr="00ED1C1E" w:rsidRDefault="00027FDA" w:rsidP="006E3773">
            <w:pPr>
              <w:pStyle w:val="tabletext"/>
              <w:rPr>
                <w:rFonts w:ascii="Calibri" w:hAnsi="Calibri"/>
                <w:sz w:val="20"/>
                <w:szCs w:val="20"/>
              </w:rPr>
            </w:pPr>
          </w:p>
        </w:tc>
      </w:tr>
    </w:tbl>
    <w:p w14:paraId="52A4F4C6" w14:textId="019FB020" w:rsidR="00027FDA" w:rsidRPr="00ED1C1E" w:rsidRDefault="00227201" w:rsidP="00AC7159">
      <w:pPr>
        <w:tabs>
          <w:tab w:val="left" w:pos="7560"/>
          <w:tab w:val="left" w:pos="8640"/>
        </w:tabs>
        <w:spacing w:before="360" w:after="120"/>
      </w:pPr>
      <w:r w:rsidRPr="00ED1C1E">
        <w:t xml:space="preserve">5. </w:t>
      </w:r>
      <w:r w:rsidR="00DA70B7" w:rsidRPr="00ED1C1E">
        <w:t>Do the materials meet the needs of gifted and talented learners</w:t>
      </w:r>
      <w:r w:rsidR="00AC7159" w:rsidRPr="00ED1C1E">
        <w:t>?</w:t>
      </w:r>
    </w:p>
    <w:p w14:paraId="29EB3FD1" w14:textId="77777777" w:rsidR="00AC7159" w:rsidRPr="00ED1C1E" w:rsidRDefault="00AC7159" w:rsidP="00AC7159">
      <w:pPr>
        <w:pStyle w:val="ListParagraph"/>
        <w:numPr>
          <w:ilvl w:val="0"/>
          <w:numId w:val="40"/>
        </w:numPr>
        <w:tabs>
          <w:tab w:val="left" w:pos="6480"/>
          <w:tab w:val="left" w:pos="7560"/>
        </w:tabs>
        <w:spacing w:after="60"/>
      </w:pPr>
      <w:r w:rsidRPr="00ED1C1E">
        <w:t>Yes</w:t>
      </w:r>
    </w:p>
    <w:p w14:paraId="02D0DE8E" w14:textId="78BF0876" w:rsidR="00AC7159" w:rsidRPr="00ED1C1E" w:rsidRDefault="00AC7159" w:rsidP="00AC7159">
      <w:pPr>
        <w:pStyle w:val="ListParagraph"/>
        <w:numPr>
          <w:ilvl w:val="0"/>
          <w:numId w:val="40"/>
        </w:numPr>
        <w:tabs>
          <w:tab w:val="left" w:pos="6480"/>
          <w:tab w:val="left" w:pos="7560"/>
        </w:tabs>
        <w:spacing w:after="240"/>
      </w:pPr>
      <w:r w:rsidRPr="00ED1C1E">
        <w:t>No</w:t>
      </w:r>
    </w:p>
    <w:p w14:paraId="2B6B8AAA" w14:textId="6AC6D882" w:rsidR="00DA70B7" w:rsidRPr="00ED1C1E" w:rsidRDefault="00DA70B7" w:rsidP="167C3B19">
      <w:r w:rsidRPr="00ED1C1E">
        <w:t>Evi</w:t>
      </w:r>
      <w:r w:rsidR="00227201" w:rsidRPr="00ED1C1E">
        <w:t>dence:</w:t>
      </w:r>
      <w:r w:rsidRPr="00ED1C1E">
        <w:br w:type="page"/>
      </w:r>
    </w:p>
    <w:p w14:paraId="7D753AFA" w14:textId="63F16E4C" w:rsidR="00C946E2" w:rsidRPr="00ED1C1E" w:rsidRDefault="00C946E2" w:rsidP="00C946E2">
      <w:pPr>
        <w:pStyle w:val="Caption"/>
        <w:keepNext/>
      </w:pPr>
      <w:r w:rsidRPr="00ED1C1E">
        <w:t>Dimension 4: Considerations for Inclusive Materials</w:t>
      </w:r>
    </w:p>
    <w:tbl>
      <w:tblPr>
        <w:tblW w:w="14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184"/>
        <w:gridCol w:w="576"/>
        <w:gridCol w:w="576"/>
        <w:gridCol w:w="576"/>
        <w:gridCol w:w="576"/>
        <w:gridCol w:w="6739"/>
      </w:tblGrid>
      <w:tr w:rsidR="009352A0" w:rsidRPr="00ED1C1E" w14:paraId="7467419F" w14:textId="77777777" w:rsidTr="00C946E2">
        <w:trPr>
          <w:tblHeader/>
        </w:trPr>
        <w:tc>
          <w:tcPr>
            <w:tcW w:w="5184" w:type="dxa"/>
            <w:tcBorders>
              <w:right w:val="single" w:sz="4" w:space="0" w:color="FFFFFF" w:themeColor="background1"/>
            </w:tcBorders>
            <w:shd w:val="clear" w:color="auto" w:fill="124F73"/>
          </w:tcPr>
          <w:p w14:paraId="74674199" w14:textId="77777777" w:rsidR="009352A0" w:rsidRPr="00ED1C1E" w:rsidRDefault="004F5411" w:rsidP="00C946E2">
            <w:pPr>
              <w:pStyle w:val="tabletext"/>
              <w:rPr>
                <w:b/>
                <w:bCs/>
                <w:color w:val="FFFFFF" w:themeColor="background1"/>
              </w:rPr>
            </w:pPr>
            <w:r w:rsidRPr="00ED1C1E">
              <w:rPr>
                <w:b/>
                <w:bCs/>
                <w:color w:val="FFFFFF" w:themeColor="background1"/>
              </w:rPr>
              <w:t>Element</w:t>
            </w:r>
          </w:p>
        </w:tc>
        <w:tc>
          <w:tcPr>
            <w:tcW w:w="576" w:type="dxa"/>
            <w:tcBorders>
              <w:left w:val="single" w:sz="4" w:space="0" w:color="FFFFFF" w:themeColor="background1"/>
              <w:right w:val="single" w:sz="4" w:space="0" w:color="FFFFFF" w:themeColor="background1"/>
            </w:tcBorders>
            <w:shd w:val="clear" w:color="auto" w:fill="124F73"/>
          </w:tcPr>
          <w:p w14:paraId="7467419A" w14:textId="77777777" w:rsidR="009352A0" w:rsidRPr="00ED1C1E" w:rsidRDefault="004F5411" w:rsidP="00C946E2">
            <w:pPr>
              <w:pStyle w:val="tabletext"/>
              <w:rPr>
                <w:b/>
                <w:bCs/>
                <w:color w:val="FFFFFF" w:themeColor="background1"/>
              </w:rPr>
            </w:pPr>
            <w:r w:rsidRPr="00ED1C1E">
              <w:rPr>
                <w:b/>
                <w:bCs/>
                <w:color w:val="FFFFFF" w:themeColor="background1"/>
              </w:rPr>
              <w:t>K</w:t>
            </w:r>
          </w:p>
        </w:tc>
        <w:tc>
          <w:tcPr>
            <w:tcW w:w="576" w:type="dxa"/>
            <w:tcBorders>
              <w:left w:val="single" w:sz="4" w:space="0" w:color="FFFFFF" w:themeColor="background1"/>
              <w:right w:val="single" w:sz="4" w:space="0" w:color="FFFFFF" w:themeColor="background1"/>
            </w:tcBorders>
            <w:shd w:val="clear" w:color="auto" w:fill="124F73"/>
          </w:tcPr>
          <w:p w14:paraId="7467419B" w14:textId="77777777" w:rsidR="009352A0" w:rsidRPr="00ED1C1E" w:rsidRDefault="004F5411" w:rsidP="00C946E2">
            <w:pPr>
              <w:pStyle w:val="tabletext"/>
              <w:rPr>
                <w:b/>
                <w:bCs/>
                <w:color w:val="FFFFFF" w:themeColor="background1"/>
              </w:rPr>
            </w:pPr>
            <w:r w:rsidRPr="00ED1C1E">
              <w:rPr>
                <w:b/>
                <w:bCs/>
                <w:color w:val="FFFFFF" w:themeColor="background1"/>
              </w:rPr>
              <w:t>1</w:t>
            </w:r>
          </w:p>
        </w:tc>
        <w:tc>
          <w:tcPr>
            <w:tcW w:w="576" w:type="dxa"/>
            <w:tcBorders>
              <w:left w:val="single" w:sz="4" w:space="0" w:color="FFFFFF" w:themeColor="background1"/>
              <w:right w:val="single" w:sz="4" w:space="0" w:color="FFFFFF" w:themeColor="background1"/>
            </w:tcBorders>
            <w:shd w:val="clear" w:color="auto" w:fill="124F73"/>
          </w:tcPr>
          <w:p w14:paraId="7467419C" w14:textId="77777777" w:rsidR="009352A0" w:rsidRPr="00ED1C1E" w:rsidRDefault="004F5411" w:rsidP="00C946E2">
            <w:pPr>
              <w:pStyle w:val="tabletext"/>
              <w:rPr>
                <w:b/>
                <w:bCs/>
                <w:color w:val="FFFFFF" w:themeColor="background1"/>
              </w:rPr>
            </w:pPr>
            <w:r w:rsidRPr="00ED1C1E">
              <w:rPr>
                <w:b/>
                <w:bCs/>
                <w:color w:val="FFFFFF" w:themeColor="background1"/>
              </w:rPr>
              <w:t>2</w:t>
            </w:r>
          </w:p>
        </w:tc>
        <w:tc>
          <w:tcPr>
            <w:tcW w:w="576" w:type="dxa"/>
            <w:tcBorders>
              <w:left w:val="single" w:sz="4" w:space="0" w:color="FFFFFF" w:themeColor="background1"/>
              <w:right w:val="single" w:sz="4" w:space="0" w:color="FFFFFF" w:themeColor="background1"/>
            </w:tcBorders>
            <w:shd w:val="clear" w:color="auto" w:fill="124F73"/>
          </w:tcPr>
          <w:p w14:paraId="7467419D" w14:textId="77777777" w:rsidR="009352A0" w:rsidRPr="00ED1C1E" w:rsidRDefault="004F5411" w:rsidP="00C946E2">
            <w:pPr>
              <w:pStyle w:val="tabletext"/>
              <w:rPr>
                <w:b/>
                <w:bCs/>
                <w:color w:val="FFFFFF" w:themeColor="background1"/>
              </w:rPr>
            </w:pPr>
            <w:r w:rsidRPr="00ED1C1E">
              <w:rPr>
                <w:b/>
                <w:bCs/>
                <w:color w:val="FFFFFF" w:themeColor="background1"/>
              </w:rPr>
              <w:t>3</w:t>
            </w:r>
          </w:p>
        </w:tc>
        <w:tc>
          <w:tcPr>
            <w:tcW w:w="6739" w:type="dxa"/>
            <w:tcBorders>
              <w:left w:val="single" w:sz="4" w:space="0" w:color="FFFFFF" w:themeColor="background1"/>
            </w:tcBorders>
            <w:shd w:val="clear" w:color="auto" w:fill="124F73"/>
          </w:tcPr>
          <w:p w14:paraId="7467419E" w14:textId="77777777" w:rsidR="009352A0" w:rsidRPr="00ED1C1E" w:rsidRDefault="004F5411" w:rsidP="00C946E2">
            <w:pPr>
              <w:pStyle w:val="tabletext"/>
              <w:rPr>
                <w:b/>
                <w:bCs/>
                <w:color w:val="FFFFFF" w:themeColor="background1"/>
              </w:rPr>
            </w:pPr>
            <w:r w:rsidRPr="00ED1C1E">
              <w:rPr>
                <w:b/>
                <w:bCs/>
                <w:color w:val="FFFFFF" w:themeColor="background1"/>
              </w:rPr>
              <w:t>Evidence</w:t>
            </w:r>
          </w:p>
        </w:tc>
      </w:tr>
      <w:tr w:rsidR="00E9394E" w:rsidRPr="00ED1C1E" w14:paraId="746741A6" w14:textId="77777777" w:rsidTr="00C946E2">
        <w:tc>
          <w:tcPr>
            <w:tcW w:w="5184" w:type="dxa"/>
            <w:shd w:val="clear" w:color="auto" w:fill="FAD41A"/>
          </w:tcPr>
          <w:p w14:paraId="746741A0" w14:textId="77777777" w:rsidR="00E9394E" w:rsidRPr="00ED1C1E" w:rsidRDefault="00E9394E" w:rsidP="00C946E2">
            <w:pPr>
              <w:pStyle w:val="tabletext"/>
            </w:pPr>
            <w:r w:rsidRPr="00ED1C1E">
              <w:t>1. Opportunities are provided for frequent student interaction with a variety of culturally and linguistically affirming connected texts</w:t>
            </w:r>
          </w:p>
        </w:tc>
        <w:tc>
          <w:tcPr>
            <w:tcW w:w="576" w:type="dxa"/>
            <w:shd w:val="clear" w:color="auto" w:fill="auto"/>
            <w:tcMar>
              <w:top w:w="100" w:type="dxa"/>
              <w:left w:w="100" w:type="dxa"/>
              <w:bottom w:w="100" w:type="dxa"/>
              <w:right w:w="100" w:type="dxa"/>
            </w:tcMar>
          </w:tcPr>
          <w:p w14:paraId="746741A1" w14:textId="297E839F" w:rsidR="00E9394E" w:rsidRPr="00ED1C1E" w:rsidRDefault="00E9394E" w:rsidP="00C946E2">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A2" w14:textId="758C268D" w:rsidR="00E9394E" w:rsidRPr="00ED1C1E" w:rsidRDefault="00E9394E" w:rsidP="00C946E2">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A3" w14:textId="1CAFED7B" w:rsidR="00E9394E" w:rsidRPr="00ED1C1E" w:rsidRDefault="00E9394E" w:rsidP="00C946E2">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A4" w14:textId="24363DB5" w:rsidR="00E9394E" w:rsidRPr="00ED1C1E" w:rsidRDefault="00E9394E" w:rsidP="00C946E2">
            <w:pPr>
              <w:pStyle w:val="tabletext"/>
              <w:rPr>
                <w:rFonts w:ascii="Calibri" w:hAnsi="Calibri"/>
                <w:sz w:val="20"/>
                <w:szCs w:val="20"/>
              </w:rPr>
            </w:pPr>
          </w:p>
        </w:tc>
        <w:tc>
          <w:tcPr>
            <w:tcW w:w="6739" w:type="dxa"/>
          </w:tcPr>
          <w:p w14:paraId="746741A5" w14:textId="77777777" w:rsidR="00E9394E" w:rsidRPr="00ED1C1E" w:rsidRDefault="00E9394E" w:rsidP="00C946E2">
            <w:pPr>
              <w:pStyle w:val="tabletext"/>
              <w:rPr>
                <w:rFonts w:ascii="Calibri" w:hAnsi="Calibri"/>
                <w:sz w:val="20"/>
                <w:szCs w:val="20"/>
              </w:rPr>
            </w:pPr>
          </w:p>
        </w:tc>
      </w:tr>
      <w:tr w:rsidR="00E9394E" w:rsidRPr="00ED1C1E" w14:paraId="746741AD" w14:textId="77777777" w:rsidTr="00C946E2">
        <w:tc>
          <w:tcPr>
            <w:tcW w:w="5184" w:type="dxa"/>
            <w:shd w:val="clear" w:color="auto" w:fill="FAD41A"/>
          </w:tcPr>
          <w:p w14:paraId="746741A7" w14:textId="1E181388" w:rsidR="00E9394E" w:rsidRPr="00ED1C1E" w:rsidRDefault="00E9394E" w:rsidP="00C946E2">
            <w:pPr>
              <w:pStyle w:val="tabletext"/>
            </w:pPr>
            <w:r w:rsidRPr="00ED1C1E">
              <w:t xml:space="preserve">2. A variety of </w:t>
            </w:r>
            <w:proofErr w:type="gramStart"/>
            <w:r w:rsidRPr="00ED1C1E">
              <w:t>culturally affirming,</w:t>
            </w:r>
            <w:proofErr w:type="gramEnd"/>
            <w:r w:rsidRPr="00ED1C1E">
              <w:t xml:space="preserve"> sufficiently complex, knowledge-building text sets are used to develop students’ background knowledge in a variety of genres and content areas</w:t>
            </w:r>
          </w:p>
        </w:tc>
        <w:tc>
          <w:tcPr>
            <w:tcW w:w="576" w:type="dxa"/>
            <w:shd w:val="clear" w:color="auto" w:fill="F2F2F2" w:themeFill="background1" w:themeFillShade="F2"/>
            <w:tcMar>
              <w:top w:w="100" w:type="dxa"/>
              <w:left w:w="100" w:type="dxa"/>
              <w:bottom w:w="100" w:type="dxa"/>
              <w:right w:w="100" w:type="dxa"/>
            </w:tcMar>
          </w:tcPr>
          <w:p w14:paraId="746741A8" w14:textId="07726315" w:rsidR="00E9394E" w:rsidRPr="00ED1C1E" w:rsidRDefault="00E9394E" w:rsidP="00C946E2">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A9" w14:textId="4A4FC05F" w:rsidR="00E9394E" w:rsidRPr="00ED1C1E" w:rsidRDefault="00E9394E" w:rsidP="00C946E2">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AA" w14:textId="7093C8A3" w:rsidR="00E9394E" w:rsidRPr="00ED1C1E" w:rsidRDefault="00E9394E" w:rsidP="00C946E2">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AB" w14:textId="70850408" w:rsidR="00E9394E" w:rsidRPr="00ED1C1E" w:rsidRDefault="00E9394E" w:rsidP="00C946E2">
            <w:pPr>
              <w:pStyle w:val="tabletext"/>
              <w:rPr>
                <w:rFonts w:ascii="Calibri" w:hAnsi="Calibri"/>
                <w:sz w:val="20"/>
                <w:szCs w:val="20"/>
              </w:rPr>
            </w:pPr>
          </w:p>
        </w:tc>
        <w:tc>
          <w:tcPr>
            <w:tcW w:w="6739" w:type="dxa"/>
            <w:shd w:val="clear" w:color="auto" w:fill="F2F2F2" w:themeFill="background1" w:themeFillShade="F2"/>
          </w:tcPr>
          <w:p w14:paraId="746741AC" w14:textId="77777777" w:rsidR="00E9394E" w:rsidRPr="00ED1C1E" w:rsidRDefault="00E9394E" w:rsidP="00C946E2">
            <w:pPr>
              <w:pStyle w:val="tabletext"/>
              <w:rPr>
                <w:rFonts w:ascii="Calibri" w:hAnsi="Calibri"/>
                <w:sz w:val="20"/>
                <w:szCs w:val="20"/>
              </w:rPr>
            </w:pPr>
          </w:p>
        </w:tc>
      </w:tr>
      <w:tr w:rsidR="00E9394E" w:rsidRPr="00ED1C1E" w14:paraId="746741B4" w14:textId="77777777" w:rsidTr="00C946E2">
        <w:tc>
          <w:tcPr>
            <w:tcW w:w="5184" w:type="dxa"/>
            <w:shd w:val="clear" w:color="auto" w:fill="FAD41A"/>
          </w:tcPr>
          <w:p w14:paraId="746741AE" w14:textId="42C30A7A" w:rsidR="00E9394E" w:rsidRPr="00ED1C1E" w:rsidRDefault="00E9394E" w:rsidP="00C946E2">
            <w:pPr>
              <w:pStyle w:val="tabletext"/>
            </w:pPr>
            <w:r w:rsidRPr="00ED1C1E">
              <w:t xml:space="preserve">3. Text selections are diverse and culturally affirming, motivating, and of </w:t>
            </w:r>
            <w:proofErr w:type="gramStart"/>
            <w:r w:rsidRPr="00ED1C1E">
              <w:t>high-interest</w:t>
            </w:r>
            <w:proofErr w:type="gramEnd"/>
            <w:r w:rsidRPr="00ED1C1E">
              <w:t>.</w:t>
            </w:r>
          </w:p>
        </w:tc>
        <w:tc>
          <w:tcPr>
            <w:tcW w:w="576" w:type="dxa"/>
            <w:shd w:val="clear" w:color="auto" w:fill="auto"/>
            <w:tcMar>
              <w:top w:w="100" w:type="dxa"/>
              <w:left w:w="100" w:type="dxa"/>
              <w:bottom w:w="100" w:type="dxa"/>
              <w:right w:w="100" w:type="dxa"/>
            </w:tcMar>
          </w:tcPr>
          <w:p w14:paraId="746741AF" w14:textId="32A5CFB4" w:rsidR="00E9394E" w:rsidRPr="00ED1C1E" w:rsidRDefault="00E9394E" w:rsidP="00C946E2">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B0" w14:textId="1E1E0A21" w:rsidR="00E9394E" w:rsidRPr="00ED1C1E" w:rsidRDefault="00E9394E" w:rsidP="00C946E2">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B1" w14:textId="01775062" w:rsidR="00E9394E" w:rsidRPr="00ED1C1E" w:rsidRDefault="00E9394E" w:rsidP="00C946E2">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B2" w14:textId="59538283" w:rsidR="00E9394E" w:rsidRPr="00ED1C1E" w:rsidRDefault="00E9394E" w:rsidP="00C946E2">
            <w:pPr>
              <w:pStyle w:val="tabletext"/>
              <w:rPr>
                <w:rFonts w:ascii="Calibri" w:hAnsi="Calibri"/>
                <w:sz w:val="20"/>
                <w:szCs w:val="20"/>
              </w:rPr>
            </w:pPr>
          </w:p>
        </w:tc>
        <w:tc>
          <w:tcPr>
            <w:tcW w:w="6739" w:type="dxa"/>
          </w:tcPr>
          <w:p w14:paraId="746741B3" w14:textId="77777777" w:rsidR="00E9394E" w:rsidRPr="00ED1C1E" w:rsidRDefault="00E9394E" w:rsidP="00C946E2">
            <w:pPr>
              <w:pStyle w:val="tabletext"/>
              <w:rPr>
                <w:rFonts w:ascii="Calibri" w:hAnsi="Calibri"/>
                <w:sz w:val="20"/>
                <w:szCs w:val="20"/>
              </w:rPr>
            </w:pPr>
          </w:p>
        </w:tc>
      </w:tr>
      <w:tr w:rsidR="00E9394E" w:rsidRPr="00ED1C1E" w14:paraId="746741BB" w14:textId="77777777" w:rsidTr="00C946E2">
        <w:tc>
          <w:tcPr>
            <w:tcW w:w="5184" w:type="dxa"/>
            <w:shd w:val="clear" w:color="auto" w:fill="FAD41A"/>
          </w:tcPr>
          <w:p w14:paraId="746741B5" w14:textId="77777777" w:rsidR="00E9394E" w:rsidRPr="00ED1C1E" w:rsidRDefault="00E9394E" w:rsidP="00C946E2">
            <w:pPr>
              <w:pStyle w:val="tabletext"/>
            </w:pPr>
            <w:r w:rsidRPr="00ED1C1E">
              <w:t>4. Includes content-rich lessons that explicitly and purposefully build on or connect to students’ cultural background knowledge to encourage deep processing and analytical thinking in students’ home language and in English</w:t>
            </w:r>
          </w:p>
        </w:tc>
        <w:tc>
          <w:tcPr>
            <w:tcW w:w="576" w:type="dxa"/>
            <w:shd w:val="clear" w:color="auto" w:fill="F2F2F2" w:themeFill="background1" w:themeFillShade="F2"/>
            <w:tcMar>
              <w:top w:w="100" w:type="dxa"/>
              <w:left w:w="100" w:type="dxa"/>
              <w:bottom w:w="100" w:type="dxa"/>
              <w:right w:w="100" w:type="dxa"/>
            </w:tcMar>
          </w:tcPr>
          <w:p w14:paraId="746741B6" w14:textId="5066DFA4" w:rsidR="00E9394E" w:rsidRPr="00ED1C1E" w:rsidRDefault="00E9394E" w:rsidP="00C946E2">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B7" w14:textId="159E65B5" w:rsidR="00E9394E" w:rsidRPr="00ED1C1E" w:rsidRDefault="00E9394E" w:rsidP="00C946E2">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B8" w14:textId="78B07D09" w:rsidR="00E9394E" w:rsidRPr="00ED1C1E" w:rsidRDefault="00E9394E" w:rsidP="00C946E2">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B9" w14:textId="25B9A986" w:rsidR="00E9394E" w:rsidRPr="00ED1C1E" w:rsidRDefault="00E9394E" w:rsidP="00C946E2">
            <w:pPr>
              <w:pStyle w:val="tabletext"/>
              <w:rPr>
                <w:rFonts w:ascii="Calibri" w:hAnsi="Calibri"/>
                <w:sz w:val="20"/>
                <w:szCs w:val="20"/>
              </w:rPr>
            </w:pPr>
          </w:p>
        </w:tc>
        <w:tc>
          <w:tcPr>
            <w:tcW w:w="6739" w:type="dxa"/>
            <w:shd w:val="clear" w:color="auto" w:fill="F2F2F2" w:themeFill="background1" w:themeFillShade="F2"/>
          </w:tcPr>
          <w:p w14:paraId="746741BA" w14:textId="77777777" w:rsidR="00E9394E" w:rsidRPr="00ED1C1E" w:rsidRDefault="00E9394E" w:rsidP="00C946E2">
            <w:pPr>
              <w:pStyle w:val="tabletext"/>
              <w:rPr>
                <w:rFonts w:ascii="Calibri" w:hAnsi="Calibri"/>
                <w:sz w:val="20"/>
                <w:szCs w:val="20"/>
              </w:rPr>
            </w:pPr>
          </w:p>
        </w:tc>
      </w:tr>
    </w:tbl>
    <w:p w14:paraId="1E93EDA1" w14:textId="537A8718" w:rsidR="00027FDA" w:rsidRPr="00ED1C1E" w:rsidRDefault="00F25443" w:rsidP="00F25443">
      <w:pPr>
        <w:tabs>
          <w:tab w:val="left" w:pos="5760"/>
          <w:tab w:val="left" w:pos="6840"/>
        </w:tabs>
        <w:spacing w:before="240"/>
        <w:rPr>
          <w:rFonts w:eastAsia="Calibri" w:cs="Calibri"/>
        </w:rPr>
      </w:pPr>
      <w:r w:rsidRPr="00ED1C1E">
        <w:rPr>
          <w:rFonts w:eastAsia="Calibri" w:cs="Calibri"/>
        </w:rPr>
        <w:t xml:space="preserve">5. </w:t>
      </w:r>
      <w:r w:rsidR="00C946E2" w:rsidRPr="00ED1C1E">
        <w:rPr>
          <w:rFonts w:eastAsia="Calibri" w:cs="Calibri"/>
        </w:rPr>
        <w:t>Do the materials meet the needs for inclusivity?</w:t>
      </w:r>
    </w:p>
    <w:p w14:paraId="1E9D7385" w14:textId="77777777" w:rsidR="00F25443" w:rsidRPr="00ED1C1E" w:rsidRDefault="00F25443" w:rsidP="00F25443">
      <w:pPr>
        <w:pStyle w:val="ListParagraph"/>
        <w:numPr>
          <w:ilvl w:val="0"/>
          <w:numId w:val="40"/>
        </w:numPr>
        <w:tabs>
          <w:tab w:val="left" w:pos="6480"/>
          <w:tab w:val="left" w:pos="7560"/>
        </w:tabs>
        <w:spacing w:after="60"/>
      </w:pPr>
      <w:r w:rsidRPr="00ED1C1E">
        <w:t>Yes</w:t>
      </w:r>
    </w:p>
    <w:p w14:paraId="112DC41E" w14:textId="4C8A5B2A" w:rsidR="00F25443" w:rsidRPr="00ED1C1E" w:rsidRDefault="00F25443" w:rsidP="00F25443">
      <w:pPr>
        <w:pStyle w:val="ListParagraph"/>
        <w:numPr>
          <w:ilvl w:val="0"/>
          <w:numId w:val="40"/>
        </w:numPr>
        <w:tabs>
          <w:tab w:val="left" w:pos="6480"/>
          <w:tab w:val="left" w:pos="7560"/>
        </w:tabs>
        <w:spacing w:after="240"/>
      </w:pPr>
      <w:r w:rsidRPr="00ED1C1E">
        <w:t>No</w:t>
      </w:r>
    </w:p>
    <w:p w14:paraId="4AD51F9D" w14:textId="522626C6" w:rsidR="009E0692" w:rsidRPr="00ED1C1E" w:rsidRDefault="009E0692" w:rsidP="00A23332">
      <w:pPr>
        <w:tabs>
          <w:tab w:val="left" w:pos="5760"/>
          <w:tab w:val="left" w:pos="6840"/>
        </w:tabs>
        <w:spacing w:before="240"/>
        <w:rPr>
          <w:rFonts w:eastAsia="Calibri" w:cs="Calibri"/>
          <w:szCs w:val="24"/>
        </w:rPr>
      </w:pPr>
      <w:r w:rsidRPr="00ED1C1E">
        <w:rPr>
          <w:rFonts w:eastAsia="Calibri" w:cs="Calibri"/>
          <w:szCs w:val="24"/>
        </w:rPr>
        <w:t>Evidence:</w:t>
      </w:r>
      <w:r w:rsidRPr="00ED1C1E">
        <w:rPr>
          <w:rFonts w:eastAsia="Calibri" w:cs="Calibri"/>
          <w:szCs w:val="24"/>
        </w:rPr>
        <w:br w:type="page"/>
      </w:r>
    </w:p>
    <w:p w14:paraId="58CACEB4" w14:textId="454BDEEC" w:rsidR="003903C3" w:rsidRPr="00ED1C1E" w:rsidRDefault="003903C3" w:rsidP="003903C3">
      <w:pPr>
        <w:pStyle w:val="Caption"/>
        <w:keepNext/>
      </w:pPr>
      <w:r w:rsidRPr="00ED1C1E">
        <w:t>Dimension 5: Considerations for Local Context</w:t>
      </w:r>
    </w:p>
    <w:tbl>
      <w:tblPr>
        <w:tblW w:w="14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184"/>
        <w:gridCol w:w="576"/>
        <w:gridCol w:w="576"/>
        <w:gridCol w:w="576"/>
        <w:gridCol w:w="576"/>
        <w:gridCol w:w="6739"/>
      </w:tblGrid>
      <w:tr w:rsidR="009352A0" w:rsidRPr="00ED1C1E" w14:paraId="746741CA" w14:textId="77777777" w:rsidTr="003903C3">
        <w:trPr>
          <w:tblHeader/>
        </w:trPr>
        <w:tc>
          <w:tcPr>
            <w:tcW w:w="5184" w:type="dxa"/>
            <w:tcBorders>
              <w:right w:val="single" w:sz="4" w:space="0" w:color="FFFFFF" w:themeColor="background1"/>
            </w:tcBorders>
            <w:shd w:val="clear" w:color="auto" w:fill="124F73"/>
          </w:tcPr>
          <w:p w14:paraId="746741C4" w14:textId="77777777" w:rsidR="009352A0" w:rsidRPr="00ED1C1E" w:rsidRDefault="004F5411" w:rsidP="003903C3">
            <w:pPr>
              <w:pStyle w:val="tabletext"/>
              <w:rPr>
                <w:b/>
                <w:bCs/>
                <w:color w:val="FFFFFF" w:themeColor="background1"/>
              </w:rPr>
            </w:pPr>
            <w:r w:rsidRPr="00ED1C1E">
              <w:rPr>
                <w:b/>
                <w:bCs/>
                <w:color w:val="FFFFFF" w:themeColor="background1"/>
              </w:rPr>
              <w:t>Element</w:t>
            </w:r>
          </w:p>
        </w:tc>
        <w:tc>
          <w:tcPr>
            <w:tcW w:w="576" w:type="dxa"/>
            <w:tcBorders>
              <w:left w:val="single" w:sz="4" w:space="0" w:color="FFFFFF" w:themeColor="background1"/>
              <w:right w:val="single" w:sz="4" w:space="0" w:color="FFFFFF" w:themeColor="background1"/>
            </w:tcBorders>
            <w:shd w:val="clear" w:color="auto" w:fill="124F73"/>
          </w:tcPr>
          <w:p w14:paraId="746741C5" w14:textId="77777777" w:rsidR="009352A0" w:rsidRPr="00ED1C1E" w:rsidRDefault="004F5411" w:rsidP="003903C3">
            <w:pPr>
              <w:pStyle w:val="tabletext"/>
              <w:rPr>
                <w:b/>
                <w:bCs/>
                <w:color w:val="FFFFFF" w:themeColor="background1"/>
              </w:rPr>
            </w:pPr>
            <w:r w:rsidRPr="00ED1C1E">
              <w:rPr>
                <w:b/>
                <w:bCs/>
                <w:color w:val="FFFFFF" w:themeColor="background1"/>
              </w:rPr>
              <w:t>K</w:t>
            </w:r>
          </w:p>
        </w:tc>
        <w:tc>
          <w:tcPr>
            <w:tcW w:w="576" w:type="dxa"/>
            <w:tcBorders>
              <w:left w:val="single" w:sz="4" w:space="0" w:color="FFFFFF" w:themeColor="background1"/>
              <w:right w:val="single" w:sz="4" w:space="0" w:color="FFFFFF" w:themeColor="background1"/>
            </w:tcBorders>
            <w:shd w:val="clear" w:color="auto" w:fill="124F73"/>
          </w:tcPr>
          <w:p w14:paraId="746741C6" w14:textId="77777777" w:rsidR="009352A0" w:rsidRPr="00ED1C1E" w:rsidRDefault="004F5411" w:rsidP="003903C3">
            <w:pPr>
              <w:pStyle w:val="tabletext"/>
              <w:rPr>
                <w:b/>
                <w:bCs/>
                <w:color w:val="FFFFFF" w:themeColor="background1"/>
              </w:rPr>
            </w:pPr>
            <w:r w:rsidRPr="00ED1C1E">
              <w:rPr>
                <w:b/>
                <w:bCs/>
                <w:color w:val="FFFFFF" w:themeColor="background1"/>
              </w:rPr>
              <w:t>1</w:t>
            </w:r>
          </w:p>
        </w:tc>
        <w:tc>
          <w:tcPr>
            <w:tcW w:w="576" w:type="dxa"/>
            <w:tcBorders>
              <w:left w:val="single" w:sz="4" w:space="0" w:color="FFFFFF" w:themeColor="background1"/>
              <w:right w:val="single" w:sz="4" w:space="0" w:color="FFFFFF" w:themeColor="background1"/>
            </w:tcBorders>
            <w:shd w:val="clear" w:color="auto" w:fill="124F73"/>
          </w:tcPr>
          <w:p w14:paraId="746741C7" w14:textId="77777777" w:rsidR="009352A0" w:rsidRPr="00ED1C1E" w:rsidRDefault="004F5411" w:rsidP="003903C3">
            <w:pPr>
              <w:pStyle w:val="tabletext"/>
              <w:rPr>
                <w:b/>
                <w:bCs/>
                <w:color w:val="FFFFFF" w:themeColor="background1"/>
              </w:rPr>
            </w:pPr>
            <w:r w:rsidRPr="00ED1C1E">
              <w:rPr>
                <w:b/>
                <w:bCs/>
                <w:color w:val="FFFFFF" w:themeColor="background1"/>
              </w:rPr>
              <w:t>2</w:t>
            </w:r>
          </w:p>
        </w:tc>
        <w:tc>
          <w:tcPr>
            <w:tcW w:w="576" w:type="dxa"/>
            <w:tcBorders>
              <w:left w:val="single" w:sz="4" w:space="0" w:color="FFFFFF" w:themeColor="background1"/>
              <w:right w:val="single" w:sz="4" w:space="0" w:color="FFFFFF" w:themeColor="background1"/>
            </w:tcBorders>
            <w:shd w:val="clear" w:color="auto" w:fill="124F73"/>
          </w:tcPr>
          <w:p w14:paraId="746741C8" w14:textId="77777777" w:rsidR="009352A0" w:rsidRPr="00ED1C1E" w:rsidRDefault="004F5411" w:rsidP="003903C3">
            <w:pPr>
              <w:pStyle w:val="tabletext"/>
              <w:rPr>
                <w:b/>
                <w:bCs/>
                <w:color w:val="FFFFFF" w:themeColor="background1"/>
              </w:rPr>
            </w:pPr>
            <w:r w:rsidRPr="00ED1C1E">
              <w:rPr>
                <w:b/>
                <w:bCs/>
                <w:color w:val="FFFFFF" w:themeColor="background1"/>
              </w:rPr>
              <w:t>3</w:t>
            </w:r>
          </w:p>
        </w:tc>
        <w:tc>
          <w:tcPr>
            <w:tcW w:w="6739" w:type="dxa"/>
            <w:tcBorders>
              <w:left w:val="single" w:sz="4" w:space="0" w:color="FFFFFF" w:themeColor="background1"/>
            </w:tcBorders>
            <w:shd w:val="clear" w:color="auto" w:fill="124F73"/>
          </w:tcPr>
          <w:p w14:paraId="746741C9" w14:textId="77777777" w:rsidR="009352A0" w:rsidRPr="00ED1C1E" w:rsidRDefault="004F5411" w:rsidP="003903C3">
            <w:pPr>
              <w:pStyle w:val="tabletext"/>
              <w:rPr>
                <w:b/>
                <w:bCs/>
                <w:color w:val="FFFFFF" w:themeColor="background1"/>
              </w:rPr>
            </w:pPr>
            <w:r w:rsidRPr="00ED1C1E">
              <w:rPr>
                <w:b/>
                <w:bCs/>
                <w:color w:val="FFFFFF" w:themeColor="background1"/>
              </w:rPr>
              <w:t>Evidence</w:t>
            </w:r>
          </w:p>
        </w:tc>
      </w:tr>
      <w:tr w:rsidR="00E9394E" w:rsidRPr="00ED1C1E" w14:paraId="746741D1" w14:textId="77777777" w:rsidTr="003903C3">
        <w:tc>
          <w:tcPr>
            <w:tcW w:w="5184" w:type="dxa"/>
            <w:shd w:val="clear" w:color="auto" w:fill="FAD41A"/>
          </w:tcPr>
          <w:p w14:paraId="746741CB" w14:textId="77777777" w:rsidR="00E9394E" w:rsidRPr="00ED1C1E" w:rsidRDefault="00E9394E" w:rsidP="003903C3">
            <w:pPr>
              <w:pStyle w:val="tabletext"/>
            </w:pPr>
            <w:r w:rsidRPr="00ED1C1E">
              <w:t>1. The materials fit within the district’s allotted instructional time without requiring significant modifications.</w:t>
            </w:r>
          </w:p>
        </w:tc>
        <w:tc>
          <w:tcPr>
            <w:tcW w:w="576" w:type="dxa"/>
            <w:shd w:val="clear" w:color="auto" w:fill="auto"/>
            <w:tcMar>
              <w:top w:w="100" w:type="dxa"/>
              <w:left w:w="100" w:type="dxa"/>
              <w:bottom w:w="100" w:type="dxa"/>
              <w:right w:w="100" w:type="dxa"/>
            </w:tcMar>
          </w:tcPr>
          <w:p w14:paraId="746741CC" w14:textId="23FC49E5" w:rsidR="00E9394E" w:rsidRPr="00ED1C1E" w:rsidRDefault="00E9394E" w:rsidP="003903C3">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CD" w14:textId="20ABAD7C" w:rsidR="00E9394E" w:rsidRPr="00ED1C1E" w:rsidRDefault="00E9394E" w:rsidP="003903C3">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CE" w14:textId="752B38F9" w:rsidR="00E9394E" w:rsidRPr="00ED1C1E" w:rsidRDefault="00E9394E" w:rsidP="003903C3">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CF" w14:textId="16359AE0" w:rsidR="00E9394E" w:rsidRPr="00ED1C1E" w:rsidRDefault="00E9394E" w:rsidP="003903C3">
            <w:pPr>
              <w:pStyle w:val="tabletext"/>
              <w:rPr>
                <w:rFonts w:ascii="Calibri" w:hAnsi="Calibri"/>
                <w:sz w:val="20"/>
                <w:szCs w:val="20"/>
              </w:rPr>
            </w:pPr>
          </w:p>
        </w:tc>
        <w:tc>
          <w:tcPr>
            <w:tcW w:w="6739" w:type="dxa"/>
          </w:tcPr>
          <w:p w14:paraId="746741D0" w14:textId="77777777" w:rsidR="00E9394E" w:rsidRPr="00ED1C1E" w:rsidRDefault="00E9394E" w:rsidP="003903C3">
            <w:pPr>
              <w:pStyle w:val="tabletext"/>
              <w:rPr>
                <w:rFonts w:ascii="Calibri" w:hAnsi="Calibri"/>
                <w:sz w:val="20"/>
                <w:szCs w:val="20"/>
              </w:rPr>
            </w:pPr>
          </w:p>
        </w:tc>
      </w:tr>
      <w:tr w:rsidR="00E9394E" w:rsidRPr="00ED1C1E" w14:paraId="746741D8" w14:textId="77777777" w:rsidTr="003903C3">
        <w:tc>
          <w:tcPr>
            <w:tcW w:w="5184" w:type="dxa"/>
            <w:shd w:val="clear" w:color="auto" w:fill="FAD41A"/>
          </w:tcPr>
          <w:p w14:paraId="746741D2" w14:textId="37A35B05" w:rsidR="00E9394E" w:rsidRPr="00ED1C1E" w:rsidRDefault="00E9394E" w:rsidP="003903C3">
            <w:pPr>
              <w:pStyle w:val="tabletext"/>
            </w:pPr>
            <w:r w:rsidRPr="00ED1C1E">
              <w:t>2. The materials provide clear guidance and professional learning support that align with instructional needs, and the district’s schedule allows for the suggested amount of professional learning.</w:t>
            </w:r>
          </w:p>
        </w:tc>
        <w:tc>
          <w:tcPr>
            <w:tcW w:w="576" w:type="dxa"/>
            <w:shd w:val="clear" w:color="auto" w:fill="F2F2F2" w:themeFill="background1" w:themeFillShade="F2"/>
            <w:tcMar>
              <w:top w:w="100" w:type="dxa"/>
              <w:left w:w="100" w:type="dxa"/>
              <w:bottom w:w="100" w:type="dxa"/>
              <w:right w:w="100" w:type="dxa"/>
            </w:tcMar>
          </w:tcPr>
          <w:p w14:paraId="746741D3" w14:textId="6A45A3C7" w:rsidR="00E9394E" w:rsidRPr="00ED1C1E" w:rsidRDefault="00E9394E" w:rsidP="003903C3">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D4" w14:textId="0CA8F831" w:rsidR="00E9394E" w:rsidRPr="00ED1C1E" w:rsidRDefault="00E9394E" w:rsidP="003903C3">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D5" w14:textId="49461CAF" w:rsidR="00E9394E" w:rsidRPr="00ED1C1E" w:rsidRDefault="00E9394E" w:rsidP="003903C3">
            <w:pPr>
              <w:pStyle w:val="tabletext"/>
              <w:rPr>
                <w:rFonts w:ascii="Calibri" w:hAnsi="Calibri"/>
                <w:sz w:val="20"/>
                <w:szCs w:val="20"/>
              </w:rPr>
            </w:pPr>
          </w:p>
        </w:tc>
        <w:tc>
          <w:tcPr>
            <w:tcW w:w="576" w:type="dxa"/>
            <w:shd w:val="clear" w:color="auto" w:fill="F2F2F2" w:themeFill="background1" w:themeFillShade="F2"/>
            <w:tcMar>
              <w:top w:w="100" w:type="dxa"/>
              <w:left w:w="100" w:type="dxa"/>
              <w:bottom w:w="100" w:type="dxa"/>
              <w:right w:w="100" w:type="dxa"/>
            </w:tcMar>
          </w:tcPr>
          <w:p w14:paraId="746741D6" w14:textId="21C737D9" w:rsidR="00E9394E" w:rsidRPr="00ED1C1E" w:rsidRDefault="00E9394E" w:rsidP="003903C3">
            <w:pPr>
              <w:pStyle w:val="tabletext"/>
              <w:rPr>
                <w:rFonts w:ascii="Calibri" w:hAnsi="Calibri"/>
                <w:sz w:val="20"/>
                <w:szCs w:val="20"/>
              </w:rPr>
            </w:pPr>
          </w:p>
        </w:tc>
        <w:tc>
          <w:tcPr>
            <w:tcW w:w="6739" w:type="dxa"/>
            <w:shd w:val="clear" w:color="auto" w:fill="F2F2F2" w:themeFill="background1" w:themeFillShade="F2"/>
          </w:tcPr>
          <w:p w14:paraId="746741D7" w14:textId="77777777" w:rsidR="00E9394E" w:rsidRPr="00ED1C1E" w:rsidRDefault="00E9394E" w:rsidP="003903C3">
            <w:pPr>
              <w:pStyle w:val="tabletext"/>
              <w:rPr>
                <w:rFonts w:ascii="Calibri" w:hAnsi="Calibri"/>
                <w:sz w:val="20"/>
                <w:szCs w:val="20"/>
              </w:rPr>
            </w:pPr>
          </w:p>
        </w:tc>
      </w:tr>
      <w:tr w:rsidR="00E9394E" w:rsidRPr="00ED1C1E" w14:paraId="746741DF" w14:textId="77777777" w:rsidTr="003903C3">
        <w:tc>
          <w:tcPr>
            <w:tcW w:w="5184" w:type="dxa"/>
            <w:shd w:val="clear" w:color="auto" w:fill="FAD41A"/>
          </w:tcPr>
          <w:p w14:paraId="746741D9" w14:textId="24B43FB6" w:rsidR="00E9394E" w:rsidRPr="00ED1C1E" w:rsidRDefault="00E9394E" w:rsidP="003903C3">
            <w:pPr>
              <w:pStyle w:val="tabletext"/>
            </w:pPr>
            <w:r w:rsidRPr="00ED1C1E">
              <w:t>3. The materials are compatible with the district’s technology resources, including devices, internet access, and learning platforms.</w:t>
            </w:r>
          </w:p>
        </w:tc>
        <w:tc>
          <w:tcPr>
            <w:tcW w:w="576" w:type="dxa"/>
            <w:shd w:val="clear" w:color="auto" w:fill="auto"/>
            <w:tcMar>
              <w:top w:w="100" w:type="dxa"/>
              <w:left w:w="100" w:type="dxa"/>
              <w:bottom w:w="100" w:type="dxa"/>
              <w:right w:w="100" w:type="dxa"/>
            </w:tcMar>
          </w:tcPr>
          <w:p w14:paraId="746741DA" w14:textId="404FDEBE" w:rsidR="00E9394E" w:rsidRPr="00ED1C1E" w:rsidRDefault="00E9394E" w:rsidP="003903C3">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DB" w14:textId="532106E0" w:rsidR="00E9394E" w:rsidRPr="00ED1C1E" w:rsidRDefault="00E9394E" w:rsidP="003903C3">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DC" w14:textId="35118FC6" w:rsidR="00E9394E" w:rsidRPr="00ED1C1E" w:rsidRDefault="00E9394E" w:rsidP="003903C3">
            <w:pPr>
              <w:pStyle w:val="tabletext"/>
              <w:rPr>
                <w:rFonts w:ascii="Calibri" w:hAnsi="Calibri"/>
                <w:sz w:val="20"/>
                <w:szCs w:val="20"/>
              </w:rPr>
            </w:pPr>
          </w:p>
        </w:tc>
        <w:tc>
          <w:tcPr>
            <w:tcW w:w="576" w:type="dxa"/>
            <w:shd w:val="clear" w:color="auto" w:fill="auto"/>
            <w:tcMar>
              <w:top w:w="100" w:type="dxa"/>
              <w:left w:w="100" w:type="dxa"/>
              <w:bottom w:w="100" w:type="dxa"/>
              <w:right w:w="100" w:type="dxa"/>
            </w:tcMar>
          </w:tcPr>
          <w:p w14:paraId="746741DD" w14:textId="7DC574F2" w:rsidR="00E9394E" w:rsidRPr="00ED1C1E" w:rsidRDefault="00E9394E" w:rsidP="003903C3">
            <w:pPr>
              <w:pStyle w:val="tabletext"/>
              <w:rPr>
                <w:rFonts w:ascii="Calibri" w:hAnsi="Calibri"/>
                <w:sz w:val="20"/>
                <w:szCs w:val="20"/>
              </w:rPr>
            </w:pPr>
          </w:p>
        </w:tc>
        <w:tc>
          <w:tcPr>
            <w:tcW w:w="6739" w:type="dxa"/>
          </w:tcPr>
          <w:p w14:paraId="746741DE" w14:textId="77777777" w:rsidR="00E9394E" w:rsidRPr="00ED1C1E" w:rsidRDefault="00E9394E" w:rsidP="003903C3">
            <w:pPr>
              <w:pStyle w:val="tabletext"/>
              <w:rPr>
                <w:rFonts w:ascii="Calibri" w:hAnsi="Calibri"/>
                <w:sz w:val="20"/>
                <w:szCs w:val="20"/>
              </w:rPr>
            </w:pPr>
          </w:p>
        </w:tc>
      </w:tr>
    </w:tbl>
    <w:p w14:paraId="064D4D65" w14:textId="42527B85" w:rsidR="003903C3" w:rsidRPr="00ED1C1E" w:rsidRDefault="003B7586" w:rsidP="008E71E3">
      <w:pPr>
        <w:tabs>
          <w:tab w:val="left" w:pos="6120"/>
          <w:tab w:val="left" w:pos="7200"/>
        </w:tabs>
        <w:spacing w:before="240" w:after="120"/>
      </w:pPr>
      <w:r w:rsidRPr="00ED1C1E">
        <w:rPr>
          <w:rFonts w:eastAsia="Calibri" w:cs="Calibri"/>
        </w:rPr>
        <w:t xml:space="preserve">4. </w:t>
      </w:r>
      <w:r w:rsidR="003903C3" w:rsidRPr="00ED1C1E">
        <w:rPr>
          <w:rFonts w:eastAsia="Calibri" w:cs="Calibri"/>
        </w:rPr>
        <w:t xml:space="preserve">Do the materials meet the needs of the local context? </w:t>
      </w:r>
    </w:p>
    <w:p w14:paraId="71597C53" w14:textId="77777777" w:rsidR="003B7586" w:rsidRPr="00ED1C1E" w:rsidRDefault="003B7586" w:rsidP="003B7586">
      <w:pPr>
        <w:pStyle w:val="ListParagraph"/>
        <w:numPr>
          <w:ilvl w:val="0"/>
          <w:numId w:val="40"/>
        </w:numPr>
        <w:tabs>
          <w:tab w:val="left" w:pos="6480"/>
          <w:tab w:val="left" w:pos="7560"/>
        </w:tabs>
        <w:spacing w:after="60"/>
      </w:pPr>
      <w:r w:rsidRPr="00ED1C1E">
        <w:t>Yes</w:t>
      </w:r>
    </w:p>
    <w:p w14:paraId="139C2A69" w14:textId="0633E44E" w:rsidR="003B7586" w:rsidRPr="00ED1C1E" w:rsidRDefault="003B7586" w:rsidP="003B7586">
      <w:pPr>
        <w:pStyle w:val="ListParagraph"/>
        <w:numPr>
          <w:ilvl w:val="0"/>
          <w:numId w:val="40"/>
        </w:numPr>
        <w:tabs>
          <w:tab w:val="left" w:pos="6480"/>
          <w:tab w:val="left" w:pos="7560"/>
        </w:tabs>
        <w:spacing w:after="240"/>
      </w:pPr>
      <w:r w:rsidRPr="00ED1C1E">
        <w:t>No</w:t>
      </w:r>
    </w:p>
    <w:p w14:paraId="162BFED3" w14:textId="30DBA278" w:rsidR="003903C3" w:rsidRPr="00ED1C1E" w:rsidRDefault="003903C3" w:rsidP="167C3B19">
      <w:pPr>
        <w:spacing w:after="0"/>
        <w:rPr>
          <w:rFonts w:eastAsia="Calibri" w:cs="Calibri"/>
        </w:rPr>
      </w:pPr>
      <w:r w:rsidRPr="00ED1C1E">
        <w:rPr>
          <w:rFonts w:eastAsia="Calibri" w:cs="Calibri"/>
        </w:rPr>
        <w:t>Evidence:</w:t>
      </w:r>
      <w:r w:rsidRPr="00ED1C1E">
        <w:br w:type="page"/>
      </w:r>
    </w:p>
    <w:p w14:paraId="746741E8" w14:textId="06CD89CC" w:rsidR="009352A0" w:rsidRPr="00ED1C1E" w:rsidRDefault="004F5411" w:rsidP="007B0091">
      <w:pPr>
        <w:pStyle w:val="Heading3"/>
      </w:pPr>
      <w:r w:rsidRPr="00ED1C1E">
        <w:t>Additional Considerations</w:t>
      </w:r>
    </w:p>
    <w:p w14:paraId="746741E9" w14:textId="77777777" w:rsidR="009352A0" w:rsidRPr="00ED1C1E" w:rsidRDefault="004F5411" w:rsidP="00CE0006">
      <w:pPr>
        <w:rPr>
          <w:rFonts w:eastAsia="Calibri" w:cs="Calibri"/>
          <w:szCs w:val="24"/>
        </w:rPr>
      </w:pPr>
      <w:r w:rsidRPr="00ED1C1E">
        <w:rPr>
          <w:rFonts w:eastAsia="Calibri" w:cs="Calibri"/>
          <w:szCs w:val="24"/>
        </w:rPr>
        <w:t>No single set of instructional materials will meet all student needs. Educators should focus on how adaptable materials are, rather than relying solely on their current form. It's important to balance the need for specialized support with the goal of inclusive education. When possible, prioritize materials that serve multiple special populations at once.</w:t>
      </w:r>
    </w:p>
    <w:p w14:paraId="523C34D0" w14:textId="359A9CBB" w:rsidR="00DB6245" w:rsidRPr="00ED1C1E" w:rsidRDefault="004F5411" w:rsidP="41C71DEF">
      <w:pPr>
        <w:rPr>
          <w:rFonts w:eastAsia="Calibri" w:cs="Calibri"/>
        </w:rPr>
      </w:pPr>
      <w:r w:rsidRPr="00ED1C1E">
        <w:rPr>
          <w:rFonts w:eastAsia="Calibri" w:cs="Calibri"/>
        </w:rPr>
        <w:t>Effective use of high-quality instructional materials also depends on curriculum-based professional learning. Educators need ongoing, embedded, and collaborative learning opportunities to deepen their understanding of the materials, instructional strategies, and ways to adapt them for diverse learners. Aligning professional learning with the curriculum ensures materials are used effectively to support all students.</w:t>
      </w:r>
    </w:p>
    <w:p w14:paraId="4BF51572" w14:textId="1180085F" w:rsidR="008608B1" w:rsidRPr="00ED1C1E" w:rsidRDefault="004F5411" w:rsidP="007B0091">
      <w:pPr>
        <w:pStyle w:val="Heading3"/>
      </w:pPr>
      <w:r w:rsidRPr="00ED1C1E">
        <w:t>Definitions</w:t>
      </w:r>
    </w:p>
    <w:p w14:paraId="70D3361C" w14:textId="77777777" w:rsidR="00301046" w:rsidRPr="00ED1C1E" w:rsidRDefault="008608B1" w:rsidP="00301046">
      <w:pPr>
        <w:pStyle w:val="term"/>
      </w:pPr>
      <w:r w:rsidRPr="00ED1C1E">
        <w:t>Explicit, Systematic Phonics Instruction and Decodable Texts</w:t>
      </w:r>
    </w:p>
    <w:p w14:paraId="41E105F4" w14:textId="0F1D4455" w:rsidR="008608B1" w:rsidRPr="00ED1C1E" w:rsidRDefault="008608B1" w:rsidP="00301046">
      <w:pPr>
        <w:pStyle w:val="definition"/>
      </w:pPr>
      <w:r w:rsidRPr="00ED1C1E">
        <w:t>Strong foundational word recognition skills instruction follows a structured literacy approach to phonemic awareness, decoding, and word reading fluency. This requires the inclusion of explicit, systematic phonics instruction (National Institute of Child Health and Human Development, 2000). Materials must provide a cumulative scope and sequence for skill introduction and structured lesson plans. With ample opportunities for students to read decodable texts while reinforcing phonics and spelling patterns previously taught, educators do not need to rely on leveled readers that may not fully support this important decoding skill development.</w:t>
      </w:r>
    </w:p>
    <w:p w14:paraId="21AF78C9" w14:textId="77777777" w:rsidR="00301046" w:rsidRPr="00ED1C1E" w:rsidRDefault="008608B1" w:rsidP="00301046">
      <w:pPr>
        <w:pStyle w:val="term"/>
      </w:pPr>
      <w:r w:rsidRPr="00ED1C1E">
        <w:t>Knowledge-Building and Comprehension Strategies</w:t>
      </w:r>
    </w:p>
    <w:p w14:paraId="70AE3063" w14:textId="0788AF08" w:rsidR="008608B1" w:rsidRPr="00ED1C1E" w:rsidRDefault="008608B1" w:rsidP="00301046">
      <w:pPr>
        <w:pStyle w:val="definition"/>
      </w:pPr>
      <w:r w:rsidRPr="00ED1C1E">
        <w:t xml:space="preserve">Research indicates that knowledge is a critical driver of reading comprehension, so materials should integrate science, social studies, and other content-rich topics to support deep learning in a variety of increasingly complex texts (Cervetti, Barber, Dorph, Pearson, &amp; Goldschmidt, 2012). Materials must be designed to systematically build students’ background knowledge, academic vocabulary, and exposure to complex language structures through rich, connected texts. </w:t>
      </w:r>
    </w:p>
    <w:p w14:paraId="30AF295C" w14:textId="77777777" w:rsidR="00301046" w:rsidRPr="00ED1C1E" w:rsidRDefault="008608B1" w:rsidP="00301046">
      <w:pPr>
        <w:pStyle w:val="term"/>
      </w:pPr>
      <w:r w:rsidRPr="00ED1C1E">
        <w:t>Misguided Practices</w:t>
      </w:r>
    </w:p>
    <w:p w14:paraId="0DCF7C10" w14:textId="6BD71972" w:rsidR="008608B1" w:rsidRPr="00ED1C1E" w:rsidRDefault="008608B1" w:rsidP="008E71E3">
      <w:pPr>
        <w:pStyle w:val="definition"/>
      </w:pPr>
      <w:r w:rsidRPr="00ED1C1E">
        <w:t xml:space="preserve">Effective materials exclude practices such as three-cueing, </w:t>
      </w:r>
      <w:proofErr w:type="gramStart"/>
      <w:r w:rsidRPr="00ED1C1E">
        <w:t>leveled</w:t>
      </w:r>
      <w:proofErr w:type="gramEnd"/>
      <w:r w:rsidRPr="00ED1C1E">
        <w:t xml:space="preserve">-reading approaches for skill development, and other strategies that are not supported by research. Districts are advised to carefully examine whether materials are fully aligned with a structured literacy approach for all aspects of literacy instruction. Materials must include instructional routines that foster a gradual release of responsibility (i.e., </w:t>
      </w:r>
      <w:r w:rsidRPr="00ED1C1E">
        <w:rPr>
          <w:i/>
          <w:iCs/>
        </w:rPr>
        <w:t>I do, we do, you do</w:t>
      </w:r>
      <w:r w:rsidRPr="00ED1C1E">
        <w:t xml:space="preserve">) and do not include </w:t>
      </w:r>
      <w:proofErr w:type="gramStart"/>
      <w:r w:rsidRPr="00ED1C1E">
        <w:t>mixed-method</w:t>
      </w:r>
      <w:proofErr w:type="gramEnd"/>
      <w:r w:rsidRPr="00ED1C1E">
        <w:t xml:space="preserve"> approaches that can lead to confusion.</w:t>
      </w:r>
      <w:r w:rsidR="008E71E3" w:rsidRPr="00ED1C1E">
        <w:br w:type="page"/>
      </w:r>
    </w:p>
    <w:p w14:paraId="4CF661AE" w14:textId="1A39FBD6" w:rsidR="00301046" w:rsidRPr="00ED1C1E" w:rsidRDefault="008608B1" w:rsidP="00301046">
      <w:pPr>
        <w:pStyle w:val="term"/>
      </w:pPr>
      <w:r w:rsidRPr="00ED1C1E">
        <w:t>Basal Bloat</w:t>
      </w:r>
    </w:p>
    <w:p w14:paraId="554DE0E5" w14:textId="3593B2C5" w:rsidR="00C806A3" w:rsidRPr="00ED1C1E" w:rsidRDefault="008608B1" w:rsidP="00301046">
      <w:pPr>
        <w:pStyle w:val="definition"/>
      </w:pPr>
      <w:r w:rsidRPr="00ED1C1E">
        <w:t>Many traditional</w:t>
      </w:r>
      <w:r w:rsidR="00E74954" w:rsidRPr="00ED1C1E">
        <w:t xml:space="preserve"> comprehensive reading (i.e.</w:t>
      </w:r>
      <w:r w:rsidRPr="00ED1C1E">
        <w:t xml:space="preserve"> basal</w:t>
      </w:r>
      <w:r w:rsidR="00E74954" w:rsidRPr="00ED1C1E">
        <w:t>)</w:t>
      </w:r>
      <w:r w:rsidRPr="00ED1C1E">
        <w:t xml:space="preserve"> programs contain excessive ancillary materials that can overwhelm educators and dilute instructional foci. While these programs may technically align with standards, their lack of coherence and overabundance of resources make effective literacy instruction difficult to implement. It is recommended for districts to prioritize materials that emphasize coherent, high-impact resources rather than an overwhelming volume of disconnected components.</w:t>
      </w:r>
      <w:bookmarkStart w:id="7" w:name="_fb4mcnvwkcy4"/>
      <w:bookmarkStart w:id="8" w:name="_Appendix_B_HQIM"/>
      <w:bookmarkEnd w:id="7"/>
      <w:bookmarkEnd w:id="8"/>
    </w:p>
    <w:p w14:paraId="28D5510D" w14:textId="77777777" w:rsidR="00301046" w:rsidRPr="00ED1C1E" w:rsidRDefault="00301046" w:rsidP="00301046">
      <w:pPr>
        <w:pStyle w:val="definition"/>
      </w:pPr>
    </w:p>
    <w:p w14:paraId="66B36D86" w14:textId="192C20E3" w:rsidR="00301046" w:rsidRPr="00ED1C1E" w:rsidRDefault="00301046" w:rsidP="00301046">
      <w:pPr>
        <w:pStyle w:val="definition"/>
        <w:sectPr w:rsidR="00301046" w:rsidRPr="00ED1C1E" w:rsidSect="00CC1525">
          <w:headerReference w:type="default" r:id="rId15"/>
          <w:headerReference w:type="first" r:id="rId16"/>
          <w:pgSz w:w="15840" w:h="12240" w:orient="landscape"/>
          <w:pgMar w:top="720" w:right="720" w:bottom="720" w:left="720" w:header="576" w:footer="720" w:gutter="0"/>
          <w:cols w:space="720"/>
          <w:titlePg/>
          <w:docGrid w:linePitch="326"/>
        </w:sectPr>
      </w:pPr>
    </w:p>
    <w:p w14:paraId="7467420C" w14:textId="74FDA7D4" w:rsidR="009352A0" w:rsidRPr="00ED1C1E" w:rsidRDefault="004F5411" w:rsidP="007B0091">
      <w:pPr>
        <w:pStyle w:val="Heading2"/>
      </w:pPr>
      <w:bookmarkStart w:id="9" w:name="_Toc198630543"/>
      <w:bookmarkStart w:id="10" w:name="_Toc204259453"/>
      <w:r w:rsidRPr="00ED1C1E">
        <w:t>Appendix B</w:t>
      </w:r>
      <w:r w:rsidR="00373ECD" w:rsidRPr="00ED1C1E">
        <w:t>—</w:t>
      </w:r>
      <w:r w:rsidRPr="00ED1C1E">
        <w:t>HQIM Implementation Checklist</w:t>
      </w:r>
      <w:bookmarkEnd w:id="9"/>
      <w:bookmarkEnd w:id="10"/>
    </w:p>
    <w:p w14:paraId="7467420D" w14:textId="4CD43189" w:rsidR="009352A0" w:rsidRPr="00ED1C1E" w:rsidRDefault="004F5411" w:rsidP="00CE0006">
      <w:pPr>
        <w:rPr>
          <w:rFonts w:eastAsia="Calibri" w:cs="Calibri"/>
          <w:szCs w:val="24"/>
        </w:rPr>
      </w:pPr>
      <w:r w:rsidRPr="00ED1C1E">
        <w:rPr>
          <w:rFonts w:eastAsia="Calibri" w:cs="Calibri"/>
          <w:szCs w:val="24"/>
        </w:rPr>
        <w:t xml:space="preserve">This HQIM Implementation Checklist is designed to guide district and school leaders through the three key phases of adopting and sustaining High-Quality Instructional Materials: Strategic Leadership &amp; Readiness, Informed Selection &amp; Launch, and Continuous Improvement &amp; Sustainability. Grounded in evidence-based practices and aligned with the </w:t>
      </w:r>
      <w:r w:rsidRPr="00ED1C1E">
        <w:rPr>
          <w:rFonts w:eastAsia="Calibri" w:cs="Calibri"/>
          <w:i/>
          <w:iCs/>
          <w:szCs w:val="24"/>
        </w:rPr>
        <w:t>New Jersey Literacy Framework</w:t>
      </w:r>
      <w:r w:rsidRPr="00ED1C1E">
        <w:rPr>
          <w:rFonts w:eastAsia="Calibri" w:cs="Calibri"/>
          <w:szCs w:val="24"/>
        </w:rPr>
        <w:t xml:space="preserve"> and </w:t>
      </w:r>
      <w:r w:rsidRPr="00ED1C1E">
        <w:rPr>
          <w:rFonts w:eastAsia="Calibri" w:cs="Calibri"/>
          <w:i/>
          <w:iCs/>
          <w:szCs w:val="24"/>
        </w:rPr>
        <w:t>NJTSS-</w:t>
      </w:r>
      <w:proofErr w:type="gramStart"/>
      <w:r w:rsidRPr="00ED1C1E">
        <w:rPr>
          <w:rFonts w:eastAsia="Calibri" w:cs="Calibri"/>
          <w:i/>
          <w:iCs/>
          <w:szCs w:val="24"/>
        </w:rPr>
        <w:t>ER</w:t>
      </w:r>
      <w:r w:rsidRPr="00ED1C1E">
        <w:rPr>
          <w:rFonts w:eastAsia="Calibri" w:cs="Calibri"/>
          <w:szCs w:val="24"/>
        </w:rPr>
        <w:t xml:space="preserve"> ,</w:t>
      </w:r>
      <w:proofErr w:type="gramEnd"/>
      <w:r w:rsidRPr="00ED1C1E">
        <w:rPr>
          <w:rFonts w:eastAsia="Calibri" w:cs="Calibri"/>
          <w:szCs w:val="24"/>
        </w:rPr>
        <w:t xml:space="preserve"> the checklist supports data-informed decision-making and instructional coherence. It serves as a practical tool to ensure that HQIM </w:t>
      </w:r>
      <w:proofErr w:type="gramStart"/>
      <w:r w:rsidRPr="00ED1C1E">
        <w:rPr>
          <w:rFonts w:eastAsia="Calibri" w:cs="Calibri"/>
          <w:szCs w:val="24"/>
        </w:rPr>
        <w:t>are</w:t>
      </w:r>
      <w:proofErr w:type="gramEnd"/>
      <w:r w:rsidRPr="00ED1C1E">
        <w:rPr>
          <w:rFonts w:eastAsia="Calibri" w:cs="Calibri"/>
          <w:szCs w:val="24"/>
        </w:rPr>
        <w:t xml:space="preserve"> implemented effectively, equitably, and with </w:t>
      </w:r>
      <w:proofErr w:type="gramStart"/>
      <w:r w:rsidRPr="00ED1C1E">
        <w:rPr>
          <w:rFonts w:eastAsia="Calibri" w:cs="Calibri"/>
          <w:szCs w:val="24"/>
        </w:rPr>
        <w:t>lasting</w:t>
      </w:r>
      <w:proofErr w:type="gramEnd"/>
      <w:r w:rsidRPr="00ED1C1E">
        <w:rPr>
          <w:rFonts w:eastAsia="Calibri" w:cs="Calibri"/>
          <w:szCs w:val="24"/>
        </w:rPr>
        <w:t xml:space="preserve"> impact on student outcomes.</w:t>
      </w:r>
    </w:p>
    <w:p w14:paraId="7467420E" w14:textId="77777777" w:rsidR="009352A0" w:rsidRPr="00ED1C1E" w:rsidRDefault="004F5411" w:rsidP="007B0091">
      <w:pPr>
        <w:pStyle w:val="Heading3"/>
      </w:pPr>
      <w:r w:rsidRPr="00ED1C1E">
        <w:t>Phase 1: Strategic Leadership &amp; Readiness</w:t>
      </w:r>
    </w:p>
    <w:p w14:paraId="7467420F" w14:textId="77777777" w:rsidR="009352A0" w:rsidRPr="00ED1C1E" w:rsidRDefault="004F5411" w:rsidP="00FE5DCF">
      <w:pPr>
        <w:pStyle w:val="checklistitem"/>
      </w:pPr>
      <w:r w:rsidRPr="00ED1C1E">
        <w:rPr>
          <w:rFonts w:ascii="Segoe UI Emoji" w:hAnsi="Segoe UI Emoji"/>
        </w:rPr>
        <w:t>⬜</w:t>
      </w:r>
      <w:r w:rsidRPr="00ED1C1E">
        <w:t xml:space="preserve"> Establish a Leadership Team:</w:t>
      </w:r>
    </w:p>
    <w:p w14:paraId="74674210" w14:textId="3F87962A" w:rsidR="009352A0" w:rsidRPr="00ED1C1E" w:rsidRDefault="004F5411" w:rsidP="00AE1A6B">
      <w:pPr>
        <w:pStyle w:val="ListParagraph"/>
        <w:numPr>
          <w:ilvl w:val="0"/>
          <w:numId w:val="26"/>
        </w:numPr>
      </w:pPr>
      <w:r w:rsidRPr="00ED1C1E">
        <w:t>Include district/school leaders, general/special education, bilingual/ESL staff, coaches, and community representatives</w:t>
      </w:r>
      <w:r w:rsidR="00FE5DCF" w:rsidRPr="00ED1C1E">
        <w:t>.</w:t>
      </w:r>
    </w:p>
    <w:p w14:paraId="74674211" w14:textId="4F989981" w:rsidR="009352A0" w:rsidRPr="00ED1C1E" w:rsidRDefault="004F5411" w:rsidP="00AE1A6B">
      <w:pPr>
        <w:pStyle w:val="ListParagraph"/>
        <w:numPr>
          <w:ilvl w:val="0"/>
          <w:numId w:val="26"/>
        </w:numPr>
      </w:pPr>
      <w:r w:rsidRPr="00ED1C1E">
        <w:t>Define roles, responsibilities, and decision-making authority</w:t>
      </w:r>
      <w:r w:rsidR="00FE5DCF" w:rsidRPr="00ED1C1E">
        <w:t>.</w:t>
      </w:r>
    </w:p>
    <w:p w14:paraId="74674212" w14:textId="77777777" w:rsidR="009352A0" w:rsidRPr="00ED1C1E" w:rsidRDefault="004F5411" w:rsidP="00FE5DCF">
      <w:pPr>
        <w:pStyle w:val="checklistitem"/>
      </w:pPr>
      <w:r w:rsidRPr="00ED1C1E">
        <w:rPr>
          <w:rFonts w:ascii="Segoe UI Emoji" w:hAnsi="Segoe UI Emoji"/>
        </w:rPr>
        <w:t>⬜</w:t>
      </w:r>
      <w:r w:rsidRPr="00ED1C1E">
        <w:t xml:space="preserve"> Assess District Readiness:</w:t>
      </w:r>
    </w:p>
    <w:p w14:paraId="74674213" w14:textId="2C45D84F" w:rsidR="009352A0" w:rsidRPr="00ED1C1E" w:rsidRDefault="004F5411" w:rsidP="00AE1A6B">
      <w:pPr>
        <w:pStyle w:val="ListParagraph"/>
        <w:numPr>
          <w:ilvl w:val="0"/>
          <w:numId w:val="25"/>
        </w:numPr>
      </w:pPr>
      <w:r w:rsidRPr="00ED1C1E">
        <w:t>Review universal screening data to determine effectiveness of current Tier 1 instruction</w:t>
      </w:r>
      <w:r w:rsidR="00FE5DCF" w:rsidRPr="00ED1C1E">
        <w:t>.</w:t>
      </w:r>
    </w:p>
    <w:p w14:paraId="74674214" w14:textId="3123649A" w:rsidR="009352A0" w:rsidRPr="00ED1C1E" w:rsidRDefault="004F5411" w:rsidP="00AE1A6B">
      <w:pPr>
        <w:pStyle w:val="ListParagraph"/>
        <w:numPr>
          <w:ilvl w:val="0"/>
          <w:numId w:val="25"/>
        </w:numPr>
      </w:pPr>
      <w:r w:rsidRPr="00ED1C1E">
        <w:t xml:space="preserve">Use </w:t>
      </w:r>
      <w:hyperlink r:id="rId17" w:history="1">
        <w:r w:rsidRPr="00ED1C1E">
          <w:rPr>
            <w:rStyle w:val="Hyperlink"/>
          </w:rPr>
          <w:t>NJTSS-ER Tier 1 Core Analysis Tool</w:t>
        </w:r>
      </w:hyperlink>
      <w:r w:rsidRPr="00ED1C1E">
        <w:t xml:space="preserve"> for a deeper review of current practices and materials</w:t>
      </w:r>
      <w:r w:rsidR="00FE5DCF" w:rsidRPr="00ED1C1E">
        <w:t>.</w:t>
      </w:r>
    </w:p>
    <w:p w14:paraId="74674215" w14:textId="77777777" w:rsidR="009352A0" w:rsidRPr="00ED1C1E" w:rsidRDefault="004F5411" w:rsidP="00FE5DCF">
      <w:pPr>
        <w:pStyle w:val="checklistitem"/>
      </w:pPr>
      <w:r w:rsidRPr="00ED1C1E">
        <w:rPr>
          <w:rFonts w:ascii="Segoe UI Emoji" w:hAnsi="Segoe UI Emoji"/>
        </w:rPr>
        <w:t>⬜</w:t>
      </w:r>
      <w:r w:rsidRPr="00ED1C1E">
        <w:t xml:space="preserve"> Develop a Clear Instructional Vision:</w:t>
      </w:r>
    </w:p>
    <w:p w14:paraId="74674216" w14:textId="1706D923" w:rsidR="009352A0" w:rsidRPr="00ED1C1E" w:rsidRDefault="004F5411" w:rsidP="00AE1A6B">
      <w:pPr>
        <w:pStyle w:val="ListParagraph"/>
        <w:numPr>
          <w:ilvl w:val="0"/>
          <w:numId w:val="24"/>
        </w:numPr>
      </w:pPr>
      <w:r w:rsidRPr="00ED1C1E">
        <w:t>Align vision to research-based literacy practices and equity</w:t>
      </w:r>
      <w:r w:rsidR="00FE5DCF" w:rsidRPr="00ED1C1E">
        <w:t>.</w:t>
      </w:r>
    </w:p>
    <w:p w14:paraId="74674217" w14:textId="7CC4D5E0" w:rsidR="009352A0" w:rsidRPr="00ED1C1E" w:rsidRDefault="004F5411" w:rsidP="00AE1A6B">
      <w:pPr>
        <w:pStyle w:val="ListParagraph"/>
        <w:numPr>
          <w:ilvl w:val="0"/>
          <w:numId w:val="24"/>
        </w:numPr>
      </w:pPr>
      <w:r w:rsidRPr="00ED1C1E">
        <w:t>Ensure the vision supports coherence across classrooms, grade levels, and schools</w:t>
      </w:r>
      <w:r w:rsidR="00FE5DCF" w:rsidRPr="00ED1C1E">
        <w:t>.</w:t>
      </w:r>
    </w:p>
    <w:p w14:paraId="74674218" w14:textId="77777777" w:rsidR="009352A0" w:rsidRPr="00ED1C1E" w:rsidRDefault="004F5411" w:rsidP="00FE5DCF">
      <w:pPr>
        <w:pStyle w:val="checklistitem"/>
      </w:pPr>
      <w:r w:rsidRPr="00ED1C1E">
        <w:rPr>
          <w:rFonts w:ascii="Segoe UI Emoji" w:hAnsi="Segoe UI Emoji"/>
        </w:rPr>
        <w:t>⬜</w:t>
      </w:r>
      <w:r w:rsidRPr="00ED1C1E">
        <w:t xml:space="preserve"> Build Knowledge on HQIM:</w:t>
      </w:r>
    </w:p>
    <w:p w14:paraId="74674219" w14:textId="264DDB20" w:rsidR="009352A0" w:rsidRPr="00ED1C1E" w:rsidRDefault="004F5411" w:rsidP="00AE1A6B">
      <w:pPr>
        <w:pStyle w:val="ListParagraph"/>
        <w:numPr>
          <w:ilvl w:val="0"/>
          <w:numId w:val="23"/>
        </w:numPr>
      </w:pPr>
      <w:r w:rsidRPr="00ED1C1E">
        <w:t xml:space="preserve">Train leadership team on evidence-based criteria for HQIM ((i.e., all team members take the </w:t>
      </w:r>
      <w:hyperlink r:id="rId18" w:anchor="/">
        <w:r w:rsidRPr="00ED1C1E">
          <w:rPr>
            <w:rStyle w:val="Hyperlink"/>
          </w:rPr>
          <w:t>NJTSS-ER Tier 1 Online Learning Course</w:t>
        </w:r>
      </w:hyperlink>
      <w:r w:rsidRPr="00ED1C1E">
        <w:t>)</w:t>
      </w:r>
      <w:r w:rsidR="00FE5DCF" w:rsidRPr="00ED1C1E">
        <w:t>.</w:t>
      </w:r>
    </w:p>
    <w:p w14:paraId="042580D6" w14:textId="13DC3212" w:rsidR="009352A0" w:rsidRPr="00ED1C1E" w:rsidRDefault="004F5411" w:rsidP="00AE1A6B">
      <w:pPr>
        <w:pStyle w:val="ListParagraph"/>
        <w:numPr>
          <w:ilvl w:val="0"/>
          <w:numId w:val="23"/>
        </w:numPr>
      </w:pPr>
      <w:r w:rsidRPr="00ED1C1E">
        <w:t>Engage stakeholders in understanding the value and purpose of HQIM</w:t>
      </w:r>
      <w:r w:rsidR="00FE5DCF" w:rsidRPr="00ED1C1E">
        <w:t>.</w:t>
      </w:r>
      <w:r w:rsidR="00FE5DCF" w:rsidRPr="00ED1C1E">
        <w:br w:type="page"/>
      </w:r>
    </w:p>
    <w:p w14:paraId="7467421B" w14:textId="77777777" w:rsidR="009352A0" w:rsidRPr="00ED1C1E" w:rsidRDefault="004F5411" w:rsidP="007B0091">
      <w:pPr>
        <w:pStyle w:val="Heading3"/>
      </w:pPr>
      <w:r w:rsidRPr="00ED1C1E">
        <w:t>Phase 2: Informed Selection &amp; Implementation</w:t>
      </w:r>
    </w:p>
    <w:p w14:paraId="7467421C" w14:textId="0E7C248C" w:rsidR="009352A0" w:rsidRPr="00ED1C1E" w:rsidRDefault="004F5411" w:rsidP="00FE5DCF">
      <w:pPr>
        <w:pStyle w:val="checklistitem"/>
      </w:pPr>
      <w:r w:rsidRPr="00ED1C1E">
        <w:rPr>
          <w:rFonts w:ascii="Segoe UI Emoji" w:hAnsi="Segoe UI Emoji"/>
        </w:rPr>
        <w:t>⬜</w:t>
      </w:r>
      <w:r w:rsidRPr="00ED1C1E">
        <w:t xml:space="preserve"> Determine Need for New HQIM:</w:t>
      </w:r>
    </w:p>
    <w:p w14:paraId="7467421D" w14:textId="4B92CA51" w:rsidR="009352A0" w:rsidRPr="00ED1C1E" w:rsidRDefault="004F5411" w:rsidP="00AE1A6B">
      <w:pPr>
        <w:pStyle w:val="ListParagraph"/>
        <w:numPr>
          <w:ilvl w:val="0"/>
          <w:numId w:val="22"/>
        </w:numPr>
      </w:pPr>
      <w:r w:rsidRPr="00ED1C1E">
        <w:t>Use data analysis to decide if existing materials need to be supplemented or replaced</w:t>
      </w:r>
      <w:r w:rsidR="00FE5DCF" w:rsidRPr="00ED1C1E">
        <w:t>.</w:t>
      </w:r>
    </w:p>
    <w:p w14:paraId="7467421E" w14:textId="59685124" w:rsidR="009352A0" w:rsidRPr="00ED1C1E" w:rsidRDefault="004F5411" w:rsidP="00AE1A6B">
      <w:pPr>
        <w:pStyle w:val="ListParagraph"/>
        <w:numPr>
          <w:ilvl w:val="0"/>
          <w:numId w:val="22"/>
        </w:numPr>
      </w:pPr>
      <w:r w:rsidRPr="00ED1C1E">
        <w:t>Identify whether additional professional learning is needed for current HQIM</w:t>
      </w:r>
      <w:r w:rsidR="00FE5DCF" w:rsidRPr="00ED1C1E">
        <w:t>.</w:t>
      </w:r>
    </w:p>
    <w:p w14:paraId="7467421F" w14:textId="77777777" w:rsidR="009352A0" w:rsidRPr="00ED1C1E" w:rsidRDefault="004F5411" w:rsidP="00FE5DCF">
      <w:pPr>
        <w:pStyle w:val="checklistitem"/>
      </w:pPr>
      <w:r w:rsidRPr="00ED1C1E">
        <w:rPr>
          <w:rFonts w:ascii="Segoe UI Emoji" w:hAnsi="Segoe UI Emoji"/>
        </w:rPr>
        <w:t>⬜</w:t>
      </w:r>
      <w:r w:rsidRPr="00ED1C1E">
        <w:t xml:space="preserve"> Select HQIM:</w:t>
      </w:r>
    </w:p>
    <w:p w14:paraId="74674220" w14:textId="11FDADCB" w:rsidR="009352A0" w:rsidRPr="00ED1C1E" w:rsidRDefault="004F5411" w:rsidP="00AE1A6B">
      <w:pPr>
        <w:pStyle w:val="ListParagraph"/>
        <w:numPr>
          <w:ilvl w:val="0"/>
          <w:numId w:val="21"/>
        </w:numPr>
      </w:pPr>
      <w:r w:rsidRPr="00ED1C1E">
        <w:t>Engage vendors and analyze products using external reviews and the state-aligned rubric (Appendix A)</w:t>
      </w:r>
      <w:r w:rsidR="00FE5DCF" w:rsidRPr="00ED1C1E">
        <w:t>.</w:t>
      </w:r>
    </w:p>
    <w:p w14:paraId="74674221" w14:textId="4C0104CF" w:rsidR="009352A0" w:rsidRPr="00ED1C1E" w:rsidRDefault="004F5411" w:rsidP="00AE1A6B">
      <w:pPr>
        <w:pStyle w:val="ListParagraph"/>
        <w:numPr>
          <w:ilvl w:val="0"/>
          <w:numId w:val="21"/>
        </w:numPr>
      </w:pPr>
      <w:r w:rsidRPr="00ED1C1E">
        <w:t>Consider adaptability, support structures, and alignment with district context</w:t>
      </w:r>
      <w:r w:rsidR="00FE5DCF" w:rsidRPr="00ED1C1E">
        <w:t>.</w:t>
      </w:r>
    </w:p>
    <w:p w14:paraId="74674222" w14:textId="77777777" w:rsidR="009352A0" w:rsidRPr="00ED1C1E" w:rsidRDefault="004F5411" w:rsidP="00FE5DCF">
      <w:pPr>
        <w:pStyle w:val="checklistitem"/>
      </w:pPr>
      <w:r w:rsidRPr="00ED1C1E">
        <w:rPr>
          <w:rFonts w:ascii="Segoe UI Emoji" w:hAnsi="Segoe UI Emoji"/>
        </w:rPr>
        <w:t>⬜</w:t>
      </w:r>
      <w:r w:rsidRPr="00ED1C1E">
        <w:t xml:space="preserve"> Pilot Materials:</w:t>
      </w:r>
    </w:p>
    <w:p w14:paraId="74674223" w14:textId="5E225EA7" w:rsidR="009352A0" w:rsidRPr="00ED1C1E" w:rsidRDefault="004F5411" w:rsidP="00AE1A6B">
      <w:pPr>
        <w:pStyle w:val="ListParagraph"/>
        <w:numPr>
          <w:ilvl w:val="0"/>
          <w:numId w:val="20"/>
        </w:numPr>
      </w:pPr>
      <w:r w:rsidRPr="00ED1C1E">
        <w:t>Test selected HQIM in a subset of schools or classrooms</w:t>
      </w:r>
      <w:r w:rsidR="00FE5DCF" w:rsidRPr="00ED1C1E">
        <w:t>.</w:t>
      </w:r>
    </w:p>
    <w:p w14:paraId="74674224" w14:textId="67960442" w:rsidR="009352A0" w:rsidRPr="00ED1C1E" w:rsidRDefault="004F5411" w:rsidP="00AE1A6B">
      <w:pPr>
        <w:pStyle w:val="ListParagraph"/>
        <w:numPr>
          <w:ilvl w:val="0"/>
          <w:numId w:val="20"/>
        </w:numPr>
      </w:pPr>
      <w:r w:rsidRPr="00ED1C1E">
        <w:t>Collect teacher and student feedback, assess alignment with instructional needs</w:t>
      </w:r>
      <w:r w:rsidR="00FE5DCF" w:rsidRPr="00ED1C1E">
        <w:t>.</w:t>
      </w:r>
    </w:p>
    <w:p w14:paraId="74674225" w14:textId="012E3EC8" w:rsidR="009352A0" w:rsidRPr="00ED1C1E" w:rsidRDefault="004F5411" w:rsidP="00AE1A6B">
      <w:pPr>
        <w:pStyle w:val="ListParagraph"/>
        <w:numPr>
          <w:ilvl w:val="0"/>
          <w:numId w:val="20"/>
        </w:numPr>
      </w:pPr>
      <w:r w:rsidRPr="00ED1C1E">
        <w:t>Use student outcome data to inform final selection</w:t>
      </w:r>
      <w:r w:rsidR="00FE5DCF" w:rsidRPr="00ED1C1E">
        <w:t>.</w:t>
      </w:r>
    </w:p>
    <w:p w14:paraId="74674226" w14:textId="77777777" w:rsidR="009352A0" w:rsidRPr="00ED1C1E" w:rsidRDefault="004F5411" w:rsidP="00FE5DCF">
      <w:pPr>
        <w:pStyle w:val="checklistitem"/>
      </w:pPr>
      <w:r w:rsidRPr="00ED1C1E">
        <w:rPr>
          <w:rFonts w:ascii="Segoe UI Emoji" w:hAnsi="Segoe UI Emoji"/>
        </w:rPr>
        <w:t>⬜</w:t>
      </w:r>
      <w:r w:rsidRPr="00ED1C1E">
        <w:t xml:space="preserve"> Plan Professional Learning:</w:t>
      </w:r>
    </w:p>
    <w:p w14:paraId="74674227" w14:textId="662B3A39" w:rsidR="009352A0" w:rsidRPr="00ED1C1E" w:rsidRDefault="004F5411" w:rsidP="00AE1A6B">
      <w:pPr>
        <w:pStyle w:val="ListParagraph"/>
        <w:numPr>
          <w:ilvl w:val="0"/>
          <w:numId w:val="13"/>
        </w:numPr>
      </w:pPr>
      <w:r w:rsidRPr="00ED1C1E">
        <w:t>Develop training and coaching schedules for all instructional staff</w:t>
      </w:r>
      <w:r w:rsidR="00FE5DCF" w:rsidRPr="00ED1C1E">
        <w:t>.</w:t>
      </w:r>
    </w:p>
    <w:p w14:paraId="74674228" w14:textId="2365860F" w:rsidR="009352A0" w:rsidRPr="00ED1C1E" w:rsidRDefault="004F5411" w:rsidP="00AE1A6B">
      <w:pPr>
        <w:pStyle w:val="ListParagraph"/>
        <w:numPr>
          <w:ilvl w:val="0"/>
          <w:numId w:val="13"/>
        </w:numPr>
      </w:pPr>
      <w:r w:rsidRPr="00ED1C1E">
        <w:t>Focus on HQIM navigation, instructional shifts, and data use</w:t>
      </w:r>
      <w:r w:rsidR="00FE5DCF" w:rsidRPr="00ED1C1E">
        <w:t>.</w:t>
      </w:r>
    </w:p>
    <w:p w14:paraId="74674229" w14:textId="08D4BB3A" w:rsidR="009352A0" w:rsidRPr="00ED1C1E" w:rsidRDefault="004F5411" w:rsidP="00AE1A6B">
      <w:pPr>
        <w:pStyle w:val="ListParagraph"/>
        <w:numPr>
          <w:ilvl w:val="0"/>
          <w:numId w:val="13"/>
        </w:numPr>
      </w:pPr>
      <w:r w:rsidRPr="00ED1C1E">
        <w:t>Embed learning in collaborative planning time (CPT) or PLCs</w:t>
      </w:r>
      <w:r w:rsidR="00FE5DCF" w:rsidRPr="00ED1C1E">
        <w:t>.</w:t>
      </w:r>
    </w:p>
    <w:p w14:paraId="7467422A" w14:textId="77777777" w:rsidR="009352A0" w:rsidRPr="00ED1C1E" w:rsidRDefault="004F5411" w:rsidP="00FE5DCF">
      <w:pPr>
        <w:pStyle w:val="checklistitem"/>
      </w:pPr>
      <w:r w:rsidRPr="00ED1C1E">
        <w:rPr>
          <w:rFonts w:ascii="Segoe UI Emoji" w:hAnsi="Segoe UI Emoji"/>
        </w:rPr>
        <w:t>⬜</w:t>
      </w:r>
      <w:r w:rsidRPr="00ED1C1E">
        <w:rPr>
          <w:rFonts w:cs="Calibri"/>
        </w:rPr>
        <w:t xml:space="preserve"> </w:t>
      </w:r>
      <w:r w:rsidRPr="00ED1C1E">
        <w:t>Operationalize HQIM:</w:t>
      </w:r>
    </w:p>
    <w:p w14:paraId="7467422B" w14:textId="65067F66" w:rsidR="009352A0" w:rsidRPr="00ED1C1E" w:rsidRDefault="004F5411" w:rsidP="00AE1A6B">
      <w:pPr>
        <w:pStyle w:val="ListParagraph"/>
        <w:numPr>
          <w:ilvl w:val="0"/>
          <w:numId w:val="12"/>
        </w:numPr>
      </w:pPr>
      <w:r w:rsidRPr="00ED1C1E">
        <w:t>Create grade-level instructional guidelines (materials, assessments, pacing)</w:t>
      </w:r>
      <w:r w:rsidR="00FE5DCF" w:rsidRPr="00ED1C1E">
        <w:t>.</w:t>
      </w:r>
      <w:r w:rsidRPr="00ED1C1E">
        <w:t xml:space="preserve"> </w:t>
      </w:r>
      <w:r w:rsidR="00FE5DCF" w:rsidRPr="00ED1C1E">
        <w:br/>
      </w:r>
      <w:r w:rsidRPr="00ED1C1E">
        <w:t xml:space="preserve">See </w:t>
      </w:r>
      <w:hyperlink r:id="rId19">
        <w:r w:rsidRPr="00ED1C1E">
          <w:rPr>
            <w:rStyle w:val="Hyperlink"/>
          </w:rPr>
          <w:t>NJTSS-ER Mapping Tier 1 Instructional Guidelines</w:t>
        </w:r>
      </w:hyperlink>
      <w:r w:rsidRPr="00ED1C1E">
        <w:t>.</w:t>
      </w:r>
    </w:p>
    <w:p w14:paraId="7467422C" w14:textId="23F40F95" w:rsidR="009352A0" w:rsidRPr="00ED1C1E" w:rsidRDefault="004F5411" w:rsidP="00AE1A6B">
      <w:pPr>
        <w:pStyle w:val="ListParagraph"/>
        <w:numPr>
          <w:ilvl w:val="0"/>
          <w:numId w:val="12"/>
        </w:numPr>
      </w:pPr>
      <w:r w:rsidRPr="00ED1C1E">
        <w:t>Define expectations for both whole and small group instruction</w:t>
      </w:r>
      <w:r w:rsidR="00FE5DCF" w:rsidRPr="00ED1C1E">
        <w:t>.</w:t>
      </w:r>
    </w:p>
    <w:p w14:paraId="7467422D" w14:textId="77777777" w:rsidR="009352A0" w:rsidRPr="00ED1C1E" w:rsidRDefault="004F5411" w:rsidP="00FE5DCF">
      <w:pPr>
        <w:pStyle w:val="checklistitem"/>
      </w:pPr>
      <w:r w:rsidRPr="00ED1C1E">
        <w:rPr>
          <w:rFonts w:ascii="Segoe UI Emoji" w:hAnsi="Segoe UI Emoji"/>
        </w:rPr>
        <w:t>⬜</w:t>
      </w:r>
      <w:r w:rsidRPr="00ED1C1E">
        <w:t xml:space="preserve"> Support Early Implementation:</w:t>
      </w:r>
    </w:p>
    <w:p w14:paraId="7467422E" w14:textId="455255B4" w:rsidR="009352A0" w:rsidRPr="00ED1C1E" w:rsidRDefault="004F5411" w:rsidP="00AE1A6B">
      <w:pPr>
        <w:pStyle w:val="ListParagraph"/>
        <w:numPr>
          <w:ilvl w:val="0"/>
          <w:numId w:val="11"/>
        </w:numPr>
      </w:pPr>
      <w:r w:rsidRPr="00ED1C1E">
        <w:t>Train key personnel in instructional materials and data tools</w:t>
      </w:r>
      <w:r w:rsidR="00FE5DCF" w:rsidRPr="00ED1C1E">
        <w:t>.</w:t>
      </w:r>
    </w:p>
    <w:p w14:paraId="7467422F" w14:textId="02AEB894" w:rsidR="009352A0" w:rsidRPr="00ED1C1E" w:rsidRDefault="004F5411" w:rsidP="00AE1A6B">
      <w:pPr>
        <w:pStyle w:val="ListParagraph"/>
        <w:numPr>
          <w:ilvl w:val="0"/>
          <w:numId w:val="11"/>
        </w:numPr>
      </w:pPr>
      <w:r w:rsidRPr="00ED1C1E">
        <w:t>Use early adopters as champions to build buy-in and peer support</w:t>
      </w:r>
      <w:r w:rsidR="00FE5DCF" w:rsidRPr="00ED1C1E">
        <w:t>.</w:t>
      </w:r>
    </w:p>
    <w:p w14:paraId="74674230" w14:textId="77777777" w:rsidR="009352A0" w:rsidRPr="00ED1C1E" w:rsidRDefault="004F5411" w:rsidP="00FE5DCF">
      <w:pPr>
        <w:pStyle w:val="checklistitem"/>
      </w:pPr>
      <w:r w:rsidRPr="00ED1C1E">
        <w:rPr>
          <w:rFonts w:ascii="Segoe UI Emoji" w:hAnsi="Segoe UI Emoji"/>
        </w:rPr>
        <w:t>⬜</w:t>
      </w:r>
      <w:r w:rsidRPr="00ED1C1E">
        <w:t xml:space="preserve"> Monitor Fidelity:</w:t>
      </w:r>
    </w:p>
    <w:p w14:paraId="74674231" w14:textId="03EBC59C" w:rsidR="009352A0" w:rsidRPr="00ED1C1E" w:rsidRDefault="004F5411" w:rsidP="00AE1A6B">
      <w:pPr>
        <w:pStyle w:val="ListParagraph"/>
        <w:numPr>
          <w:ilvl w:val="0"/>
          <w:numId w:val="14"/>
        </w:numPr>
      </w:pPr>
      <w:r w:rsidRPr="00ED1C1E">
        <w:t>Conduct walkthroughs, teacher reflections, and student work reviews</w:t>
      </w:r>
      <w:r w:rsidR="00FE5DCF" w:rsidRPr="00ED1C1E">
        <w:t>.</w:t>
      </w:r>
    </w:p>
    <w:p w14:paraId="74674232" w14:textId="07089BDD" w:rsidR="009352A0" w:rsidRPr="00ED1C1E" w:rsidRDefault="004F5411" w:rsidP="00AE1A6B">
      <w:pPr>
        <w:pStyle w:val="ListParagraph"/>
        <w:numPr>
          <w:ilvl w:val="0"/>
          <w:numId w:val="14"/>
        </w:numPr>
      </w:pPr>
      <w:r w:rsidRPr="00ED1C1E">
        <w:t>Adjust support based on fidelity data and teacher feedback</w:t>
      </w:r>
      <w:r w:rsidR="00FE5DCF" w:rsidRPr="00ED1C1E">
        <w:t>.</w:t>
      </w:r>
    </w:p>
    <w:p w14:paraId="74674233" w14:textId="77777777" w:rsidR="009352A0" w:rsidRPr="00ED1C1E" w:rsidRDefault="004F5411" w:rsidP="007B0091">
      <w:pPr>
        <w:pStyle w:val="Heading3"/>
      </w:pPr>
      <w:r w:rsidRPr="00ED1C1E">
        <w:t>Phase 3: Continuous Improvement &amp; Sustainability</w:t>
      </w:r>
    </w:p>
    <w:p w14:paraId="74674234" w14:textId="77777777" w:rsidR="009352A0" w:rsidRPr="00ED1C1E" w:rsidRDefault="004F5411" w:rsidP="00FE5DCF">
      <w:pPr>
        <w:pStyle w:val="checklistitem"/>
      </w:pPr>
      <w:r w:rsidRPr="00ED1C1E">
        <w:rPr>
          <w:rFonts w:ascii="Segoe UI Emoji" w:hAnsi="Segoe UI Emoji"/>
        </w:rPr>
        <w:t>⬜</w:t>
      </w:r>
      <w:r w:rsidRPr="00ED1C1E">
        <w:t xml:space="preserve"> Analyze Student Outcomes:</w:t>
      </w:r>
    </w:p>
    <w:p w14:paraId="74674235" w14:textId="70501B81" w:rsidR="009352A0" w:rsidRPr="00ED1C1E" w:rsidRDefault="004F5411" w:rsidP="00AE1A6B">
      <w:pPr>
        <w:pStyle w:val="ListParagraph"/>
        <w:numPr>
          <w:ilvl w:val="0"/>
          <w:numId w:val="15"/>
        </w:numPr>
      </w:pPr>
      <w:r w:rsidRPr="00ED1C1E">
        <w:t>Analyze assessment data at district, school, and classroom levels</w:t>
      </w:r>
      <w:r w:rsidR="00FE5DCF" w:rsidRPr="00ED1C1E">
        <w:t>.</w:t>
      </w:r>
    </w:p>
    <w:p w14:paraId="74674236" w14:textId="4C3C1795" w:rsidR="009352A0" w:rsidRPr="00ED1C1E" w:rsidRDefault="004F5411" w:rsidP="00AE1A6B">
      <w:pPr>
        <w:pStyle w:val="ListParagraph"/>
        <w:numPr>
          <w:ilvl w:val="0"/>
          <w:numId w:val="15"/>
        </w:numPr>
      </w:pPr>
      <w:r w:rsidRPr="00ED1C1E">
        <w:t>Identify areas needing instructional or pacing adjustments, supplemental resources, or additional PD</w:t>
      </w:r>
      <w:r w:rsidR="00FE5DCF" w:rsidRPr="00ED1C1E">
        <w:t>.</w:t>
      </w:r>
    </w:p>
    <w:p w14:paraId="74674237" w14:textId="77777777" w:rsidR="009352A0" w:rsidRPr="00ED1C1E" w:rsidRDefault="004F5411" w:rsidP="00FE5DCF">
      <w:pPr>
        <w:pStyle w:val="checklistitem"/>
      </w:pPr>
      <w:r w:rsidRPr="00ED1C1E">
        <w:rPr>
          <w:rFonts w:ascii="Segoe UI Emoji" w:hAnsi="Segoe UI Emoji"/>
        </w:rPr>
        <w:t>⬜</w:t>
      </w:r>
      <w:r w:rsidRPr="00ED1C1E">
        <w:t xml:space="preserve"> Maintain Feedback Loops:</w:t>
      </w:r>
    </w:p>
    <w:p w14:paraId="74674238" w14:textId="38617B7B" w:rsidR="009352A0" w:rsidRPr="00ED1C1E" w:rsidRDefault="004F5411" w:rsidP="00AE1A6B">
      <w:pPr>
        <w:pStyle w:val="ListParagraph"/>
        <w:numPr>
          <w:ilvl w:val="0"/>
          <w:numId w:val="16"/>
        </w:numPr>
      </w:pPr>
      <w:r w:rsidRPr="00ED1C1E">
        <w:t>Hold regular implementation meetings and check-ins</w:t>
      </w:r>
      <w:r w:rsidR="00FE5DCF" w:rsidRPr="00ED1C1E">
        <w:t>.</w:t>
      </w:r>
    </w:p>
    <w:p w14:paraId="74674239" w14:textId="0ECAFB0C" w:rsidR="009352A0" w:rsidRPr="00ED1C1E" w:rsidRDefault="004F5411" w:rsidP="00AE1A6B">
      <w:pPr>
        <w:pStyle w:val="ListParagraph"/>
        <w:numPr>
          <w:ilvl w:val="0"/>
          <w:numId w:val="16"/>
        </w:numPr>
      </w:pPr>
      <w:r w:rsidRPr="00ED1C1E">
        <w:t>Use teacher feedback to guide improvements and adjustments</w:t>
      </w:r>
      <w:r w:rsidR="00FE5DCF" w:rsidRPr="00ED1C1E">
        <w:t>.</w:t>
      </w:r>
    </w:p>
    <w:p w14:paraId="7467423A" w14:textId="4C049214" w:rsidR="009352A0" w:rsidRPr="00ED1C1E" w:rsidRDefault="004F5411" w:rsidP="00FE5DCF">
      <w:pPr>
        <w:pStyle w:val="checklistitem"/>
      </w:pPr>
      <w:r w:rsidRPr="00ED1C1E">
        <w:rPr>
          <w:rFonts w:ascii="Segoe UI Emoji" w:hAnsi="Segoe UI Emoji"/>
        </w:rPr>
        <w:t>⬜</w:t>
      </w:r>
      <w:r w:rsidR="00014035" w:rsidRPr="00ED1C1E">
        <w:t xml:space="preserve"> </w:t>
      </w:r>
      <w:r w:rsidRPr="00ED1C1E">
        <w:t>Adapt and Expand Implementation:</w:t>
      </w:r>
    </w:p>
    <w:p w14:paraId="7467423B" w14:textId="1C0DBB47" w:rsidR="009352A0" w:rsidRPr="00ED1C1E" w:rsidRDefault="004F5411" w:rsidP="00AE1A6B">
      <w:pPr>
        <w:pStyle w:val="ListParagraph"/>
        <w:numPr>
          <w:ilvl w:val="0"/>
          <w:numId w:val="17"/>
        </w:numPr>
      </w:pPr>
      <w:r w:rsidRPr="00ED1C1E">
        <w:t>Revisit earlier phases when onboarding new staff or scaling HQIM to new schools/grades</w:t>
      </w:r>
      <w:r w:rsidR="00FE5DCF" w:rsidRPr="00ED1C1E">
        <w:t>.</w:t>
      </w:r>
    </w:p>
    <w:p w14:paraId="7467423C" w14:textId="55D643F2" w:rsidR="009352A0" w:rsidRPr="00ED1C1E" w:rsidRDefault="004F5411" w:rsidP="00AE1A6B">
      <w:pPr>
        <w:pStyle w:val="ListParagraph"/>
        <w:numPr>
          <w:ilvl w:val="0"/>
          <w:numId w:val="17"/>
        </w:numPr>
      </w:pPr>
      <w:r w:rsidRPr="00ED1C1E">
        <w:t>Tailor expansion efforts based on school readiness and capacity</w:t>
      </w:r>
      <w:r w:rsidR="00FE5DCF" w:rsidRPr="00ED1C1E">
        <w:t>.</w:t>
      </w:r>
    </w:p>
    <w:p w14:paraId="7467423D" w14:textId="77777777" w:rsidR="009352A0" w:rsidRPr="00ED1C1E" w:rsidRDefault="004F5411" w:rsidP="00FE5DCF">
      <w:pPr>
        <w:pStyle w:val="checklistitem"/>
      </w:pPr>
      <w:r w:rsidRPr="00ED1C1E">
        <w:rPr>
          <w:rFonts w:ascii="Segoe UI Emoji" w:hAnsi="Segoe UI Emoji"/>
        </w:rPr>
        <w:t>⬜</w:t>
      </w:r>
      <w:r w:rsidRPr="00ED1C1E">
        <w:t xml:space="preserve"> Build a Culture of Continuous Learning:</w:t>
      </w:r>
    </w:p>
    <w:p w14:paraId="7467423E" w14:textId="00C8C47F" w:rsidR="009352A0" w:rsidRPr="00ED1C1E" w:rsidRDefault="004F5411" w:rsidP="00AE1A6B">
      <w:pPr>
        <w:pStyle w:val="ListParagraph"/>
        <w:numPr>
          <w:ilvl w:val="0"/>
          <w:numId w:val="18"/>
        </w:numPr>
      </w:pPr>
      <w:r w:rsidRPr="00ED1C1E">
        <w:t>Celebrate progress and maintain focus on instructional integrity</w:t>
      </w:r>
      <w:r w:rsidR="00C94D00" w:rsidRPr="00ED1C1E">
        <w:t>.</w:t>
      </w:r>
    </w:p>
    <w:p w14:paraId="7467423F" w14:textId="3126E19A" w:rsidR="009352A0" w:rsidRPr="00ED1C1E" w:rsidRDefault="004F5411" w:rsidP="00AE1A6B">
      <w:pPr>
        <w:pStyle w:val="ListParagraph"/>
        <w:numPr>
          <w:ilvl w:val="0"/>
          <w:numId w:val="18"/>
        </w:numPr>
      </w:pPr>
      <w:r w:rsidRPr="00ED1C1E">
        <w:t>Ensure sustainable structures for collaboration and reflection</w:t>
      </w:r>
      <w:r w:rsidR="00C94D00" w:rsidRPr="00ED1C1E">
        <w:t>.</w:t>
      </w:r>
    </w:p>
    <w:p w14:paraId="74674240" w14:textId="77777777" w:rsidR="009352A0" w:rsidRPr="00ED1C1E" w:rsidRDefault="004F5411" w:rsidP="00FE5DCF">
      <w:pPr>
        <w:pStyle w:val="checklistitem"/>
      </w:pPr>
      <w:r w:rsidRPr="00ED1C1E">
        <w:rPr>
          <w:rFonts w:ascii="Segoe UI Emoji" w:hAnsi="Segoe UI Emoji"/>
        </w:rPr>
        <w:t>⬜</w:t>
      </w:r>
      <w:r w:rsidRPr="00ED1C1E">
        <w:t xml:space="preserve"> Ensure Sustainability:</w:t>
      </w:r>
    </w:p>
    <w:p w14:paraId="74674241" w14:textId="41695403" w:rsidR="009352A0" w:rsidRPr="00ED1C1E" w:rsidRDefault="004F5411" w:rsidP="00AE1A6B">
      <w:pPr>
        <w:pStyle w:val="ListParagraph"/>
        <w:numPr>
          <w:ilvl w:val="0"/>
          <w:numId w:val="19"/>
        </w:numPr>
      </w:pPr>
      <w:proofErr w:type="gramStart"/>
      <w:r w:rsidRPr="00ED1C1E">
        <w:t>Align</w:t>
      </w:r>
      <w:proofErr w:type="gramEnd"/>
      <w:r w:rsidRPr="00ED1C1E">
        <w:t xml:space="preserve"> processes and practices with HQIM to promote equity and coherence</w:t>
      </w:r>
      <w:r w:rsidR="00C94D00" w:rsidRPr="00ED1C1E">
        <w:t>.</w:t>
      </w:r>
    </w:p>
    <w:p w14:paraId="53BE3543" w14:textId="5C4E42E6" w:rsidR="00C94D00" w:rsidRPr="00ED1C1E" w:rsidRDefault="004F5411" w:rsidP="00AE1A6B">
      <w:pPr>
        <w:pStyle w:val="ListParagraph"/>
        <w:numPr>
          <w:ilvl w:val="0"/>
          <w:numId w:val="19"/>
        </w:numPr>
        <w:sectPr w:rsidR="00C94D00" w:rsidRPr="00ED1C1E" w:rsidSect="00CC1525">
          <w:headerReference w:type="default" r:id="rId20"/>
          <w:pgSz w:w="12240" w:h="15840"/>
          <w:pgMar w:top="720" w:right="720" w:bottom="720" w:left="720" w:header="720" w:footer="720" w:gutter="0"/>
          <w:cols w:space="720"/>
          <w:titlePg/>
          <w:docGrid w:linePitch="326"/>
        </w:sectPr>
      </w:pPr>
      <w:r w:rsidRPr="00ED1C1E">
        <w:t>Embed HQIM into district systems for long-term impact and improvemen</w:t>
      </w:r>
      <w:r w:rsidR="00C94D00" w:rsidRPr="00ED1C1E">
        <w:t>t.</w:t>
      </w:r>
    </w:p>
    <w:p w14:paraId="74674251" w14:textId="1EB1FC65" w:rsidR="009352A0" w:rsidRPr="00ED1C1E" w:rsidRDefault="004F5411" w:rsidP="007B0091">
      <w:pPr>
        <w:pStyle w:val="Heading2"/>
      </w:pPr>
      <w:bookmarkStart w:id="11" w:name="_Appendix_C.1_HQIM"/>
      <w:bookmarkStart w:id="12" w:name="_Toc198630544"/>
      <w:bookmarkStart w:id="13" w:name="_Toc204259454"/>
      <w:bookmarkEnd w:id="11"/>
      <w:r w:rsidRPr="00ED1C1E">
        <w:t>Appendix C.1</w:t>
      </w:r>
      <w:r w:rsidR="00373ECD" w:rsidRPr="00ED1C1E">
        <w:t>—</w:t>
      </w:r>
      <w:r w:rsidRPr="00ED1C1E">
        <w:t>HQIM Family 2-pager</w:t>
      </w:r>
      <w:bookmarkEnd w:id="12"/>
      <w:bookmarkEnd w:id="13"/>
    </w:p>
    <w:p w14:paraId="74674252" w14:textId="77777777" w:rsidR="009352A0" w:rsidRPr="00ED1C1E" w:rsidRDefault="004F5411" w:rsidP="007B0091">
      <w:pPr>
        <w:pStyle w:val="Heading3"/>
      </w:pPr>
      <w:r w:rsidRPr="00ED1C1E">
        <w:t>Purpose</w:t>
      </w:r>
    </w:p>
    <w:p w14:paraId="74674253" w14:textId="46C85BB9" w:rsidR="009352A0" w:rsidRPr="00ED1C1E" w:rsidRDefault="004F5411" w:rsidP="00CE0006">
      <w:pPr>
        <w:rPr>
          <w:rFonts w:eastAsia="Calibri" w:cs="Calibri"/>
          <w:szCs w:val="24"/>
        </w:rPr>
      </w:pPr>
      <w:r w:rsidRPr="00ED1C1E">
        <w:rPr>
          <w:rFonts w:eastAsia="Calibri" w:cs="Calibri"/>
          <w:szCs w:val="24"/>
        </w:rPr>
        <w:t>The New Jersey Department of Education (NJDOE) is committed to helping every child become a strong and confident reader and writer. In New Jersey, curriculum is defined as a district-provided instructional plan that outlines the knowledge, skills, and competencies students are expected to master, aligned with the New Jersey Student Learning Standards (NJSLS).</w:t>
      </w:r>
      <w:r w:rsidR="00014035" w:rsidRPr="00ED1C1E">
        <w:rPr>
          <w:rFonts w:eastAsia="Calibri" w:cs="Calibri"/>
          <w:szCs w:val="24"/>
        </w:rPr>
        <w:t xml:space="preserve"> </w:t>
      </w:r>
      <w:r w:rsidRPr="00ED1C1E">
        <w:rPr>
          <w:rFonts w:eastAsia="Calibri" w:cs="Calibri"/>
          <w:szCs w:val="24"/>
        </w:rPr>
        <w:t>School district curriculum includes pacing guides, assessments, interdisciplinary connections, and diverse resources to support learners at all levels (NJDOE, 2022). High-quality instructional materials (HQIM) serve as the foundation for the curriculum. This guide explains how schools choose High-Quality Instructional Materials (HQIM) to support your child’s literacy development. These materials are carefully selected to ensure all students receive the best possible instruction in reading and writing.</w:t>
      </w:r>
    </w:p>
    <w:p w14:paraId="74674254" w14:textId="77777777" w:rsidR="009352A0" w:rsidRPr="00ED1C1E" w:rsidRDefault="004F5411" w:rsidP="007B0091">
      <w:pPr>
        <w:pStyle w:val="Heading3"/>
      </w:pPr>
      <w:r w:rsidRPr="00ED1C1E">
        <w:t>What Are High-Quality Instructional Materials?</w:t>
      </w:r>
    </w:p>
    <w:p w14:paraId="74674255" w14:textId="77777777" w:rsidR="009352A0" w:rsidRPr="00ED1C1E" w:rsidRDefault="004F5411" w:rsidP="00FE5DCF">
      <w:pPr>
        <w:pStyle w:val="beforelist"/>
      </w:pPr>
      <w:r w:rsidRPr="00ED1C1E">
        <w:t>High-quality instructional materials (HQIM) are reading and writing programs and tools that:</w:t>
      </w:r>
    </w:p>
    <w:p w14:paraId="74674256" w14:textId="4E9DD82A" w:rsidR="009352A0" w:rsidRPr="00ED1C1E" w:rsidRDefault="004F5411" w:rsidP="00AE1A6B">
      <w:pPr>
        <w:pStyle w:val="ListParagraph"/>
        <w:numPr>
          <w:ilvl w:val="0"/>
          <w:numId w:val="10"/>
        </w:numPr>
      </w:pPr>
      <w:r w:rsidRPr="00ED1C1E">
        <w:t>Align with New Jersey’s academic standards</w:t>
      </w:r>
    </w:p>
    <w:p w14:paraId="74674257" w14:textId="187A9442" w:rsidR="009352A0" w:rsidRPr="00ED1C1E" w:rsidRDefault="004F5411" w:rsidP="00AE1A6B">
      <w:pPr>
        <w:pStyle w:val="ListParagraph"/>
        <w:numPr>
          <w:ilvl w:val="0"/>
          <w:numId w:val="10"/>
        </w:numPr>
      </w:pPr>
      <w:r w:rsidRPr="00ED1C1E">
        <w:t>Leverage strong research</w:t>
      </w:r>
    </w:p>
    <w:p w14:paraId="74674258" w14:textId="31966904" w:rsidR="009352A0" w:rsidRPr="00ED1C1E" w:rsidRDefault="004F5411" w:rsidP="00AE1A6B">
      <w:pPr>
        <w:pStyle w:val="ListParagraph"/>
        <w:numPr>
          <w:ilvl w:val="0"/>
          <w:numId w:val="10"/>
        </w:numPr>
      </w:pPr>
      <w:r w:rsidRPr="00ED1C1E">
        <w:t>Help all students—including multilingual learners and students with disabilities—access</w:t>
      </w:r>
      <w:r w:rsidR="00014035" w:rsidRPr="00ED1C1E">
        <w:t xml:space="preserve"> </w:t>
      </w:r>
      <w:r w:rsidRPr="00ED1C1E">
        <w:t>grade-level content</w:t>
      </w:r>
    </w:p>
    <w:p w14:paraId="74674259" w14:textId="72478B67" w:rsidR="009352A0" w:rsidRPr="00ED1C1E" w:rsidRDefault="004F5411" w:rsidP="00AE1A6B">
      <w:pPr>
        <w:pStyle w:val="ListParagraph"/>
        <w:numPr>
          <w:ilvl w:val="0"/>
          <w:numId w:val="10"/>
        </w:numPr>
        <w:spacing w:after="240"/>
      </w:pPr>
      <w:r w:rsidRPr="00ED1C1E">
        <w:t>Support both classroom instruction and small group learning</w:t>
      </w:r>
    </w:p>
    <w:p w14:paraId="7467425A" w14:textId="77777777" w:rsidR="009352A0" w:rsidRPr="00ED1C1E" w:rsidRDefault="004F5411" w:rsidP="00CE0006">
      <w:pPr>
        <w:rPr>
          <w:rFonts w:eastAsia="Calibri" w:cs="Calibri"/>
          <w:szCs w:val="24"/>
        </w:rPr>
      </w:pPr>
      <w:r w:rsidRPr="00ED1C1E">
        <w:rPr>
          <w:rFonts w:eastAsia="Calibri" w:cs="Calibri"/>
          <w:szCs w:val="24"/>
        </w:rPr>
        <w:t>These materials provide teachers with clear lesson plans, engaging texts, and helpful assessments so they can focus more on teaching and less on creating materials from scratch.</w:t>
      </w:r>
    </w:p>
    <w:p w14:paraId="7467425B" w14:textId="77777777" w:rsidR="009352A0" w:rsidRPr="00ED1C1E" w:rsidRDefault="004F5411" w:rsidP="007B0091">
      <w:pPr>
        <w:pStyle w:val="Heading3"/>
      </w:pPr>
      <w:r w:rsidRPr="00ED1C1E">
        <w:t>Why It Matters</w:t>
      </w:r>
    </w:p>
    <w:p w14:paraId="7467425C" w14:textId="77777777" w:rsidR="009352A0" w:rsidRPr="00ED1C1E" w:rsidRDefault="004F5411" w:rsidP="00BF695E">
      <w:pPr>
        <w:pStyle w:val="beforelist"/>
      </w:pPr>
      <w:r w:rsidRPr="00ED1C1E">
        <w:t xml:space="preserve">When schools use low-quality materials, students may experience confusion or gaps in learning. HQIM </w:t>
      </w:r>
      <w:proofErr w:type="gramStart"/>
      <w:r w:rsidRPr="00ED1C1E">
        <w:t>provide</w:t>
      </w:r>
      <w:proofErr w:type="gramEnd"/>
      <w:r w:rsidRPr="00ED1C1E">
        <w:t xml:space="preserve"> a consistent and strong foundation for learning, helping students:</w:t>
      </w:r>
    </w:p>
    <w:p w14:paraId="7467425D" w14:textId="77777777" w:rsidR="009352A0" w:rsidRPr="00ED1C1E" w:rsidRDefault="004F5411" w:rsidP="00AE1A6B">
      <w:pPr>
        <w:pStyle w:val="ListParagraph"/>
        <w:numPr>
          <w:ilvl w:val="0"/>
          <w:numId w:val="9"/>
        </w:numPr>
      </w:pPr>
      <w:r w:rsidRPr="00ED1C1E">
        <w:t>Build vocabulary and background knowledge.</w:t>
      </w:r>
    </w:p>
    <w:p w14:paraId="7467425E" w14:textId="77777777" w:rsidR="009352A0" w:rsidRPr="00ED1C1E" w:rsidRDefault="004F5411" w:rsidP="00AE1A6B">
      <w:pPr>
        <w:pStyle w:val="ListParagraph"/>
        <w:numPr>
          <w:ilvl w:val="0"/>
          <w:numId w:val="9"/>
        </w:numPr>
      </w:pPr>
      <w:r w:rsidRPr="00ED1C1E">
        <w:t>Practice phonics, decoding, fluency, and comprehension.</w:t>
      </w:r>
    </w:p>
    <w:p w14:paraId="7467425F" w14:textId="77777777" w:rsidR="009352A0" w:rsidRPr="00ED1C1E" w:rsidRDefault="004F5411" w:rsidP="00AE1A6B">
      <w:pPr>
        <w:pStyle w:val="ListParagraph"/>
        <w:numPr>
          <w:ilvl w:val="0"/>
          <w:numId w:val="9"/>
        </w:numPr>
      </w:pPr>
      <w:r w:rsidRPr="00ED1C1E">
        <w:t>Read and write about meaningful topics.</w:t>
      </w:r>
    </w:p>
    <w:p w14:paraId="74674260" w14:textId="2ACAA83A" w:rsidR="009352A0" w:rsidRPr="00ED1C1E" w:rsidRDefault="004F5411" w:rsidP="00AE1A6B">
      <w:pPr>
        <w:pStyle w:val="ListParagraph"/>
        <w:numPr>
          <w:ilvl w:val="0"/>
          <w:numId w:val="9"/>
        </w:numPr>
      </w:pPr>
      <w:r w:rsidRPr="00ED1C1E">
        <w:t>Stay on track with their grade-level learning goals.</w:t>
      </w:r>
    </w:p>
    <w:p w14:paraId="74674261" w14:textId="77777777" w:rsidR="009352A0" w:rsidRPr="00ED1C1E" w:rsidRDefault="004F5411" w:rsidP="00AE1A6B">
      <w:pPr>
        <w:pStyle w:val="ListParagraph"/>
        <w:numPr>
          <w:ilvl w:val="0"/>
          <w:numId w:val="9"/>
        </w:numPr>
      </w:pPr>
      <w:r w:rsidRPr="00ED1C1E">
        <w:t xml:space="preserve">Access rigorous and high-quality learning experiences, regardless of the classroom context. </w:t>
      </w:r>
    </w:p>
    <w:p w14:paraId="62BDA787" w14:textId="77777777" w:rsidR="00014035" w:rsidRPr="00ED1C1E" w:rsidRDefault="004F5411" w:rsidP="00CE0006">
      <w:pPr>
        <w:rPr>
          <w:rFonts w:eastAsia="Calibri" w:cs="Calibri"/>
          <w:szCs w:val="24"/>
        </w:rPr>
      </w:pPr>
      <w:r w:rsidRPr="00ED1C1E">
        <w:rPr>
          <w:rFonts w:eastAsia="Calibri" w:cs="Calibri"/>
          <w:szCs w:val="24"/>
        </w:rPr>
        <w:t xml:space="preserve">Teachers also benefit from HQIM because they spend less time searching for materials and more time teaching and supporting </w:t>
      </w:r>
      <w:proofErr w:type="gramStart"/>
      <w:r w:rsidRPr="00ED1C1E">
        <w:rPr>
          <w:rFonts w:eastAsia="Calibri" w:cs="Calibri"/>
          <w:szCs w:val="24"/>
        </w:rPr>
        <w:t>your</w:t>
      </w:r>
      <w:proofErr w:type="gramEnd"/>
      <w:r w:rsidRPr="00ED1C1E">
        <w:rPr>
          <w:rFonts w:eastAsia="Calibri" w:cs="Calibri"/>
          <w:szCs w:val="24"/>
        </w:rPr>
        <w:t xml:space="preserve"> child.</w:t>
      </w:r>
    </w:p>
    <w:p w14:paraId="74674265" w14:textId="06E6E3CB" w:rsidR="009352A0" w:rsidRPr="00ED1C1E" w:rsidRDefault="004F5411" w:rsidP="007B0091">
      <w:pPr>
        <w:pStyle w:val="Heading3"/>
      </w:pPr>
      <w:r w:rsidRPr="00ED1C1E">
        <w:t>What Families Should Know</w:t>
      </w:r>
    </w:p>
    <w:p w14:paraId="74674266" w14:textId="77777777" w:rsidR="009352A0" w:rsidRPr="00ED1C1E" w:rsidRDefault="004F5411" w:rsidP="00AC5737">
      <w:pPr>
        <w:pStyle w:val="beforelist"/>
      </w:pPr>
      <w:r w:rsidRPr="00ED1C1E">
        <w:t>The materials used in your child’s classroom go through a careful selection process. School leaders and teachers:</w:t>
      </w:r>
    </w:p>
    <w:p w14:paraId="74674267" w14:textId="77777777" w:rsidR="009352A0" w:rsidRPr="00ED1C1E" w:rsidRDefault="004F5411" w:rsidP="00AE1A6B">
      <w:pPr>
        <w:pStyle w:val="ListParagraph"/>
        <w:numPr>
          <w:ilvl w:val="0"/>
          <w:numId w:val="4"/>
        </w:numPr>
      </w:pPr>
      <w:r w:rsidRPr="00ED1C1E">
        <w:t>Review national evaluations to find programs that meet quality standards.</w:t>
      </w:r>
    </w:p>
    <w:p w14:paraId="74674268" w14:textId="646CC0E1" w:rsidR="009352A0" w:rsidRPr="00ED1C1E" w:rsidRDefault="004F5411" w:rsidP="00AE1A6B">
      <w:pPr>
        <w:pStyle w:val="ListParagraph"/>
        <w:numPr>
          <w:ilvl w:val="0"/>
          <w:numId w:val="4"/>
        </w:numPr>
      </w:pPr>
      <w:r w:rsidRPr="00ED1C1E">
        <w:t>Make sure materials meet the needs of all students in their community.</w:t>
      </w:r>
    </w:p>
    <w:p w14:paraId="74674269" w14:textId="77777777" w:rsidR="009352A0" w:rsidRPr="00ED1C1E" w:rsidRDefault="004F5411" w:rsidP="00AE1A6B">
      <w:pPr>
        <w:pStyle w:val="ListParagraph"/>
        <w:numPr>
          <w:ilvl w:val="0"/>
          <w:numId w:val="4"/>
        </w:numPr>
      </w:pPr>
      <w:r w:rsidRPr="00ED1C1E">
        <w:t>Pilot programs before making a final choice.</w:t>
      </w:r>
    </w:p>
    <w:p w14:paraId="7467426A" w14:textId="77777777" w:rsidR="009352A0" w:rsidRPr="00ED1C1E" w:rsidRDefault="004F5411" w:rsidP="00AE1A6B">
      <w:pPr>
        <w:pStyle w:val="ListParagraph"/>
        <w:numPr>
          <w:ilvl w:val="0"/>
          <w:numId w:val="4"/>
        </w:numPr>
      </w:pPr>
      <w:r w:rsidRPr="00ED1C1E">
        <w:t>Provide professional learning for teachers to use the materials effectively.</w:t>
      </w:r>
    </w:p>
    <w:p w14:paraId="7467426B" w14:textId="77777777" w:rsidR="009352A0" w:rsidRPr="00ED1C1E" w:rsidRDefault="004F5411" w:rsidP="007B0091">
      <w:pPr>
        <w:pStyle w:val="Heading3"/>
      </w:pPr>
      <w:r w:rsidRPr="00ED1C1E">
        <w:t>What You Can Expect</w:t>
      </w:r>
    </w:p>
    <w:p w14:paraId="7467426C" w14:textId="77777777" w:rsidR="009352A0" w:rsidRPr="00ED1C1E" w:rsidRDefault="004F5411" w:rsidP="00AC5737">
      <w:pPr>
        <w:pStyle w:val="beforelist"/>
      </w:pPr>
      <w:r w:rsidRPr="00ED1C1E">
        <w:t>If your child’s school is using HQIM, you may notice:</w:t>
      </w:r>
    </w:p>
    <w:p w14:paraId="7467426D" w14:textId="7A50A3BE" w:rsidR="009352A0" w:rsidRPr="00ED1C1E" w:rsidRDefault="004F5411" w:rsidP="00AE1A6B">
      <w:pPr>
        <w:pStyle w:val="ListParagraph"/>
        <w:numPr>
          <w:ilvl w:val="0"/>
          <w:numId w:val="5"/>
        </w:numPr>
      </w:pPr>
      <w:r w:rsidRPr="00ED1C1E">
        <w:t>A consistent routine in reading and writing lessons</w:t>
      </w:r>
    </w:p>
    <w:p w14:paraId="7467426E" w14:textId="02A69BC6" w:rsidR="009352A0" w:rsidRPr="00ED1C1E" w:rsidRDefault="004F5411" w:rsidP="00AE1A6B">
      <w:pPr>
        <w:pStyle w:val="ListParagraph"/>
        <w:numPr>
          <w:ilvl w:val="0"/>
          <w:numId w:val="5"/>
        </w:numPr>
      </w:pPr>
      <w:r w:rsidRPr="00ED1C1E">
        <w:t>Strong focus on phonics, vocabulary, and comprehension</w:t>
      </w:r>
    </w:p>
    <w:p w14:paraId="7467426F" w14:textId="4CB2B633" w:rsidR="009352A0" w:rsidRPr="00ED1C1E" w:rsidRDefault="004F5411" w:rsidP="00AE1A6B">
      <w:pPr>
        <w:pStyle w:val="ListParagraph"/>
        <w:numPr>
          <w:ilvl w:val="0"/>
          <w:numId w:val="5"/>
        </w:numPr>
      </w:pPr>
      <w:r w:rsidRPr="00ED1C1E">
        <w:t>Rich and diverse texts that reflect different cultures and perspectives</w:t>
      </w:r>
    </w:p>
    <w:p w14:paraId="74674270" w14:textId="7F049001" w:rsidR="009352A0" w:rsidRPr="00ED1C1E" w:rsidRDefault="004F5411" w:rsidP="00AE1A6B">
      <w:pPr>
        <w:pStyle w:val="ListParagraph"/>
        <w:numPr>
          <w:ilvl w:val="0"/>
          <w:numId w:val="5"/>
        </w:numPr>
      </w:pPr>
      <w:r w:rsidRPr="00ED1C1E">
        <w:t>Opportunities for your child to talk, read, and write about what they are learning</w:t>
      </w:r>
    </w:p>
    <w:p w14:paraId="74674271" w14:textId="77777777" w:rsidR="009352A0" w:rsidRPr="00ED1C1E" w:rsidRDefault="004F5411" w:rsidP="007B0091">
      <w:pPr>
        <w:pStyle w:val="Heading3"/>
      </w:pPr>
      <w:r w:rsidRPr="00ED1C1E">
        <w:t>How Families Can Stay Involved</w:t>
      </w:r>
    </w:p>
    <w:p w14:paraId="74674272" w14:textId="77777777" w:rsidR="009352A0" w:rsidRPr="00ED1C1E" w:rsidRDefault="004F5411" w:rsidP="00AC5737">
      <w:pPr>
        <w:pStyle w:val="beforelist"/>
      </w:pPr>
      <w:r w:rsidRPr="00ED1C1E">
        <w:t>Your child’s school may share more about the literacy materials through:</w:t>
      </w:r>
    </w:p>
    <w:p w14:paraId="74674273" w14:textId="2125E981" w:rsidR="009352A0" w:rsidRPr="00ED1C1E" w:rsidRDefault="004F5411" w:rsidP="00AE1A6B">
      <w:pPr>
        <w:pStyle w:val="ListParagraph"/>
        <w:numPr>
          <w:ilvl w:val="0"/>
          <w:numId w:val="6"/>
        </w:numPr>
      </w:pPr>
      <w:r w:rsidRPr="00ED1C1E">
        <w:t>Back-to-school nights</w:t>
      </w:r>
    </w:p>
    <w:p w14:paraId="74674274" w14:textId="62072837" w:rsidR="009352A0" w:rsidRPr="00ED1C1E" w:rsidRDefault="004F5411" w:rsidP="00AE1A6B">
      <w:pPr>
        <w:pStyle w:val="ListParagraph"/>
        <w:numPr>
          <w:ilvl w:val="0"/>
          <w:numId w:val="6"/>
        </w:numPr>
      </w:pPr>
      <w:r w:rsidRPr="00ED1C1E">
        <w:t>School newsletters or websites</w:t>
      </w:r>
    </w:p>
    <w:p w14:paraId="74674275" w14:textId="2CA591CF" w:rsidR="009352A0" w:rsidRPr="00ED1C1E" w:rsidRDefault="004F5411" w:rsidP="00AE1A6B">
      <w:pPr>
        <w:pStyle w:val="ListParagraph"/>
        <w:numPr>
          <w:ilvl w:val="0"/>
          <w:numId w:val="6"/>
        </w:numPr>
        <w:spacing w:after="240"/>
      </w:pPr>
      <w:r w:rsidRPr="00ED1C1E">
        <w:t>Take-home letters and learning activities</w:t>
      </w:r>
    </w:p>
    <w:p w14:paraId="0B4F1244" w14:textId="77777777" w:rsidR="00AC5737" w:rsidRPr="00ED1C1E" w:rsidRDefault="004F5411" w:rsidP="00CE0006">
      <w:pPr>
        <w:rPr>
          <w:rFonts w:eastAsia="Calibri" w:cs="Calibri"/>
          <w:szCs w:val="24"/>
        </w:rPr>
      </w:pPr>
      <w:r w:rsidRPr="00ED1C1E">
        <w:rPr>
          <w:rFonts w:eastAsia="Calibri" w:cs="Calibri"/>
          <w:szCs w:val="24"/>
        </w:rPr>
        <w:t>Many HQIM also include family guides or tips for supporting learning at home.</w:t>
      </w:r>
    </w:p>
    <w:p w14:paraId="74674276" w14:textId="01EA7863" w:rsidR="009352A0" w:rsidRPr="00ED1C1E" w:rsidRDefault="00AC5737" w:rsidP="00CE0006">
      <w:pPr>
        <w:rPr>
          <w:rFonts w:eastAsia="Calibri" w:cs="Calibri"/>
          <w:szCs w:val="24"/>
        </w:rPr>
      </w:pPr>
      <w:r w:rsidRPr="00ED1C1E">
        <w:rPr>
          <w:rFonts w:eastAsia="Calibri" w:cs="Calibri"/>
          <w:szCs w:val="24"/>
        </w:rPr>
        <w:t>I</w:t>
      </w:r>
      <w:r w:rsidR="004F5411" w:rsidRPr="00ED1C1E">
        <w:rPr>
          <w:rFonts w:eastAsia="Calibri" w:cs="Calibri"/>
          <w:szCs w:val="24"/>
        </w:rPr>
        <w:t xml:space="preserve">f you want to learn more about how reading is taught or the materials being used, reach out to your child’s teacher or principal. You can also find resources </w:t>
      </w:r>
      <w:r w:rsidR="00373ECD" w:rsidRPr="00ED1C1E">
        <w:rPr>
          <w:rFonts w:eastAsia="Calibri" w:cs="Calibri"/>
          <w:szCs w:val="24"/>
        </w:rPr>
        <w:t xml:space="preserve">on the NJDOE’s </w:t>
      </w:r>
      <w:hyperlink r:id="rId21" w:history="1">
        <w:r w:rsidR="00373ECD" w:rsidRPr="00ED1C1E">
          <w:rPr>
            <w:rStyle w:val="Hyperlink"/>
            <w:rFonts w:eastAsia="Calibri" w:cs="Calibri"/>
            <w:szCs w:val="24"/>
          </w:rPr>
          <w:t>Learning Equity and Academic Recovery</w:t>
        </w:r>
      </w:hyperlink>
      <w:r w:rsidR="00373ECD" w:rsidRPr="00ED1C1E">
        <w:rPr>
          <w:rFonts w:eastAsia="Calibri" w:cs="Calibri"/>
          <w:szCs w:val="24"/>
        </w:rPr>
        <w:t xml:space="preserve"> webpage</w:t>
      </w:r>
      <w:r w:rsidR="004F5411" w:rsidRPr="00ED1C1E">
        <w:t xml:space="preserve"> </w:t>
      </w:r>
      <w:r w:rsidR="004F5411" w:rsidRPr="00ED1C1E">
        <w:rPr>
          <w:rFonts w:eastAsia="Calibri" w:cs="Calibri"/>
          <w:szCs w:val="24"/>
        </w:rPr>
        <w:t xml:space="preserve">and the </w:t>
      </w:r>
      <w:hyperlink r:id="rId22" w:history="1">
        <w:r w:rsidR="004F5411" w:rsidRPr="00ED1C1E">
          <w:rPr>
            <w:rStyle w:val="Hyperlink"/>
          </w:rPr>
          <w:t>SPAN Parent Advocacy Network</w:t>
        </w:r>
        <w:r w:rsidRPr="00ED1C1E">
          <w:rPr>
            <w:rStyle w:val="Hyperlink"/>
          </w:rPr>
          <w:t xml:space="preserve"> START</w:t>
        </w:r>
      </w:hyperlink>
      <w:r w:rsidRPr="00ED1C1E">
        <w:t xml:space="preserve"> webpage</w:t>
      </w:r>
      <w:r w:rsidR="004F5411" w:rsidRPr="00ED1C1E">
        <w:t xml:space="preserve"> </w:t>
      </w:r>
      <w:r w:rsidR="004F5411" w:rsidRPr="00ED1C1E">
        <w:rPr>
          <w:rFonts w:eastAsia="Calibri" w:cs="Calibri"/>
          <w:szCs w:val="24"/>
        </w:rPr>
        <w:t>to help support your child’s literacy journey.</w:t>
      </w:r>
    </w:p>
    <w:p w14:paraId="78E2A948" w14:textId="77777777" w:rsidR="00BF695E" w:rsidRPr="00ED1C1E" w:rsidRDefault="004F5411" w:rsidP="00036A7F">
      <w:pPr>
        <w:rPr>
          <w:rFonts w:eastAsia="Calibri" w:cs="Calibri"/>
          <w:szCs w:val="24"/>
        </w:rPr>
        <w:sectPr w:rsidR="00BF695E" w:rsidRPr="00ED1C1E" w:rsidSect="00CC1525">
          <w:headerReference w:type="default" r:id="rId23"/>
          <w:pgSz w:w="12240" w:h="15840"/>
          <w:pgMar w:top="1080" w:right="1080" w:bottom="1080" w:left="1080" w:header="720" w:footer="720" w:gutter="0"/>
          <w:cols w:space="720"/>
          <w:titlePg/>
        </w:sectPr>
      </w:pPr>
      <w:r w:rsidRPr="00ED1C1E">
        <w:rPr>
          <w:rFonts w:eastAsia="Calibri" w:cs="Calibri"/>
          <w:szCs w:val="24"/>
        </w:rPr>
        <w:t>Together, we can ensure that every child in New Jersey has access to high-quality, equitable literacy instruction that supports lifelong learning and success.</w:t>
      </w:r>
    </w:p>
    <w:p w14:paraId="7467427E" w14:textId="58BD474F" w:rsidR="009352A0" w:rsidRPr="00ED1C1E" w:rsidRDefault="004F5411" w:rsidP="007B0091">
      <w:pPr>
        <w:pStyle w:val="Heading2"/>
      </w:pPr>
      <w:bookmarkStart w:id="14" w:name="_Appendix_C.2_HQIM"/>
      <w:bookmarkStart w:id="15" w:name="_Toc198630545"/>
      <w:bookmarkStart w:id="16" w:name="_Toc204259455"/>
      <w:bookmarkEnd w:id="14"/>
      <w:r w:rsidRPr="00ED1C1E">
        <w:t>Appendix C.2</w:t>
      </w:r>
      <w:r w:rsidR="00E91298" w:rsidRPr="00ED1C1E">
        <w:t>—</w:t>
      </w:r>
      <w:r w:rsidRPr="00ED1C1E">
        <w:t>HQIM Educator 2-pager</w:t>
      </w:r>
      <w:bookmarkEnd w:id="15"/>
      <w:bookmarkEnd w:id="16"/>
    </w:p>
    <w:p w14:paraId="7467427F" w14:textId="77777777" w:rsidR="009352A0" w:rsidRPr="00ED1C1E" w:rsidRDefault="004F5411" w:rsidP="007B0091">
      <w:pPr>
        <w:pStyle w:val="Heading3"/>
      </w:pPr>
      <w:r w:rsidRPr="00ED1C1E">
        <w:t>Purpose</w:t>
      </w:r>
    </w:p>
    <w:p w14:paraId="74674280" w14:textId="77777777" w:rsidR="009352A0" w:rsidRPr="00ED1C1E" w:rsidRDefault="004F5411" w:rsidP="00CE0006">
      <w:pPr>
        <w:rPr>
          <w:rFonts w:eastAsia="Calibri" w:cs="Calibri"/>
          <w:szCs w:val="24"/>
        </w:rPr>
      </w:pPr>
      <w:r w:rsidRPr="00ED1C1E">
        <w:rPr>
          <w:rFonts w:eastAsia="Calibri" w:cs="Calibri"/>
          <w:szCs w:val="24"/>
        </w:rPr>
        <w:t xml:space="preserve">The New Jersey Department of Education (NJDOE) is committed to improving literacy outcomes </w:t>
      </w:r>
      <w:proofErr w:type="gramStart"/>
      <w:r w:rsidRPr="00ED1C1E">
        <w:rPr>
          <w:rFonts w:eastAsia="Calibri" w:cs="Calibri"/>
          <w:szCs w:val="24"/>
        </w:rPr>
        <w:t>through the use of</w:t>
      </w:r>
      <w:proofErr w:type="gramEnd"/>
      <w:r w:rsidRPr="00ED1C1E">
        <w:rPr>
          <w:rFonts w:eastAsia="Calibri" w:cs="Calibri"/>
          <w:szCs w:val="24"/>
        </w:rPr>
        <w:t xml:space="preserve"> High-Quality Instructional Materials (HQIM). This guide helps educators understand what HQIM are, why they matter, and how they can support effective and equitable literacy instruction aligned to the New Jersey Student Learning Standards (NJSLS).</w:t>
      </w:r>
    </w:p>
    <w:p w14:paraId="74674281" w14:textId="77777777" w:rsidR="009352A0" w:rsidRPr="00ED1C1E" w:rsidRDefault="004F5411" w:rsidP="007B0091">
      <w:pPr>
        <w:pStyle w:val="Heading3"/>
      </w:pPr>
      <w:r w:rsidRPr="00ED1C1E">
        <w:t>What Are High-Quality Instructional Materials?</w:t>
      </w:r>
    </w:p>
    <w:p w14:paraId="74674282" w14:textId="77777777" w:rsidR="009352A0" w:rsidRPr="00ED1C1E" w:rsidRDefault="004F5411" w:rsidP="00CE0006">
      <w:pPr>
        <w:rPr>
          <w:rFonts w:eastAsia="Calibri" w:cs="Calibri"/>
          <w:szCs w:val="24"/>
        </w:rPr>
      </w:pPr>
      <w:r w:rsidRPr="00ED1C1E">
        <w:rPr>
          <w:rFonts w:eastAsia="Calibri" w:cs="Calibri"/>
          <w:szCs w:val="24"/>
        </w:rPr>
        <w:t>HQIM are standards-aligned, evidence-based instructional tools that support teachers in delivering coherent, rigorous, and inclusive literacy instruction. These materials provide structured guidance for instruction, support differentiation, and promote equity by ensuring every student has access to grade-level content.</w:t>
      </w:r>
    </w:p>
    <w:p w14:paraId="74674283" w14:textId="77777777" w:rsidR="009352A0" w:rsidRPr="00ED1C1E" w:rsidRDefault="004F5411" w:rsidP="007B0091">
      <w:pPr>
        <w:pStyle w:val="Heading3"/>
      </w:pPr>
      <w:r w:rsidRPr="00ED1C1E">
        <w:t>Why HQIM Matter</w:t>
      </w:r>
    </w:p>
    <w:p w14:paraId="74674284" w14:textId="77777777" w:rsidR="009352A0" w:rsidRPr="00ED1C1E" w:rsidRDefault="004F5411" w:rsidP="00CE0006">
      <w:pPr>
        <w:rPr>
          <w:rFonts w:eastAsia="Calibri" w:cs="Calibri"/>
          <w:szCs w:val="24"/>
        </w:rPr>
      </w:pPr>
      <w:r w:rsidRPr="00ED1C1E">
        <w:rPr>
          <w:rFonts w:eastAsia="Calibri" w:cs="Calibri"/>
          <w:szCs w:val="24"/>
        </w:rPr>
        <w:t xml:space="preserve">Research shows that coherent, well-structured literacy programs enhance instructional quality and student achievement. HQIM </w:t>
      </w:r>
      <w:proofErr w:type="gramStart"/>
      <w:r w:rsidRPr="00ED1C1E">
        <w:rPr>
          <w:rFonts w:eastAsia="Calibri" w:cs="Calibri"/>
          <w:szCs w:val="24"/>
        </w:rPr>
        <w:t>free</w:t>
      </w:r>
      <w:proofErr w:type="gramEnd"/>
      <w:r w:rsidRPr="00ED1C1E">
        <w:rPr>
          <w:rFonts w:eastAsia="Calibri" w:cs="Calibri"/>
          <w:szCs w:val="24"/>
        </w:rPr>
        <w:t xml:space="preserve"> teachers from hunting for or creating materials, enabling more time for thoughtful lesson planning and better alignment with state standards and individual student needs. Consistent, research-based instruction through HQIM creates equal learning opportunities for students across classrooms and schools.</w:t>
      </w:r>
    </w:p>
    <w:p w14:paraId="74674285" w14:textId="77777777" w:rsidR="009352A0" w:rsidRPr="00ED1C1E" w:rsidRDefault="004F5411" w:rsidP="007B0091">
      <w:pPr>
        <w:pStyle w:val="Heading3"/>
      </w:pPr>
      <w:r w:rsidRPr="00ED1C1E">
        <w:t xml:space="preserve">What HQIM </w:t>
      </w:r>
      <w:proofErr w:type="gramStart"/>
      <w:r w:rsidRPr="00ED1C1E">
        <w:t>Should</w:t>
      </w:r>
      <w:proofErr w:type="gramEnd"/>
      <w:r w:rsidRPr="00ED1C1E">
        <w:t xml:space="preserve"> Include</w:t>
      </w:r>
    </w:p>
    <w:p w14:paraId="74674286" w14:textId="77777777" w:rsidR="009352A0" w:rsidRPr="00ED1C1E" w:rsidRDefault="004F5411" w:rsidP="00402489">
      <w:pPr>
        <w:pStyle w:val="beforelist"/>
      </w:pPr>
      <w:r w:rsidRPr="00ED1C1E">
        <w:t>Effective HQIM for literacy include:</w:t>
      </w:r>
    </w:p>
    <w:p w14:paraId="74674287" w14:textId="77777777" w:rsidR="009352A0" w:rsidRPr="00ED1C1E" w:rsidRDefault="004F5411" w:rsidP="00AE1A6B">
      <w:pPr>
        <w:pStyle w:val="ListParagraph"/>
        <w:numPr>
          <w:ilvl w:val="0"/>
          <w:numId w:val="8"/>
        </w:numPr>
      </w:pPr>
      <w:r w:rsidRPr="00ED1C1E">
        <w:t>Explicit, systematic phonics instruction and decodable texts</w:t>
      </w:r>
    </w:p>
    <w:p w14:paraId="74674288" w14:textId="6DA3E927" w:rsidR="009352A0" w:rsidRPr="00ED1C1E" w:rsidRDefault="004F5411" w:rsidP="00AE1A6B">
      <w:pPr>
        <w:pStyle w:val="ListParagraph"/>
        <w:numPr>
          <w:ilvl w:val="0"/>
          <w:numId w:val="8"/>
        </w:numPr>
      </w:pPr>
      <w:r w:rsidRPr="00ED1C1E">
        <w:t>Instruction in phonemic awareness, fluency, vocabulary, and comprehension</w:t>
      </w:r>
    </w:p>
    <w:p w14:paraId="74674289" w14:textId="407DA821" w:rsidR="009352A0" w:rsidRPr="00ED1C1E" w:rsidRDefault="004F5411" w:rsidP="00AE1A6B">
      <w:pPr>
        <w:pStyle w:val="ListParagraph"/>
        <w:numPr>
          <w:ilvl w:val="0"/>
          <w:numId w:val="8"/>
        </w:numPr>
      </w:pPr>
      <w:r w:rsidRPr="00ED1C1E">
        <w:t>Integration of reading, writing, speaking, and listening tasks</w:t>
      </w:r>
    </w:p>
    <w:p w14:paraId="7467428A" w14:textId="77777777" w:rsidR="009352A0" w:rsidRPr="00ED1C1E" w:rsidRDefault="004F5411" w:rsidP="00AE1A6B">
      <w:pPr>
        <w:pStyle w:val="ListParagraph"/>
        <w:numPr>
          <w:ilvl w:val="0"/>
          <w:numId w:val="8"/>
        </w:numPr>
      </w:pPr>
      <w:r w:rsidRPr="00ED1C1E">
        <w:t>Culturally and linguistically inclusive content.</w:t>
      </w:r>
    </w:p>
    <w:p w14:paraId="7467428B" w14:textId="77777777" w:rsidR="009352A0" w:rsidRPr="00ED1C1E" w:rsidRDefault="004F5411" w:rsidP="00AE1A6B">
      <w:pPr>
        <w:pStyle w:val="ListParagraph"/>
        <w:numPr>
          <w:ilvl w:val="0"/>
          <w:numId w:val="8"/>
        </w:numPr>
      </w:pPr>
      <w:r w:rsidRPr="00ED1C1E">
        <w:t>Embedded formative assessments to guide instruction</w:t>
      </w:r>
    </w:p>
    <w:p w14:paraId="7467428C" w14:textId="77777777" w:rsidR="009352A0" w:rsidRPr="00ED1C1E" w:rsidRDefault="004F5411" w:rsidP="007B0091">
      <w:pPr>
        <w:pStyle w:val="Heading3"/>
      </w:pPr>
      <w:r w:rsidRPr="00ED1C1E">
        <w:t>Selecting HQIM</w:t>
      </w:r>
    </w:p>
    <w:p w14:paraId="7467428D" w14:textId="7C8B2449" w:rsidR="009352A0" w:rsidRPr="00ED1C1E" w:rsidRDefault="004F5411" w:rsidP="00CE0006">
      <w:pPr>
        <w:rPr>
          <w:rFonts w:eastAsia="Calibri" w:cs="Calibri"/>
          <w:szCs w:val="24"/>
        </w:rPr>
      </w:pPr>
      <w:r w:rsidRPr="00ED1C1E">
        <w:rPr>
          <w:rFonts w:eastAsia="Calibri" w:cs="Calibri"/>
          <w:szCs w:val="24"/>
        </w:rPr>
        <w:t xml:space="preserve">Districts should use evidence-based criteria to evaluate materials, such as </w:t>
      </w:r>
      <w:r w:rsidR="000C6635" w:rsidRPr="00ED1C1E">
        <w:rPr>
          <w:rFonts w:eastAsia="Calibri" w:cs="Calibri"/>
          <w:szCs w:val="24"/>
        </w:rPr>
        <w:t xml:space="preserve">external </w:t>
      </w:r>
      <w:r w:rsidRPr="00ED1C1E">
        <w:rPr>
          <w:rFonts w:eastAsia="Calibri" w:cs="Calibri"/>
          <w:szCs w:val="24"/>
        </w:rPr>
        <w:t>reviews, the NJDOE HQIM rubric, and local data (e.g., universal screening results). The two-part HQIM rubric developed by NJDOE assesses both research alignment and responsiveness to diverse learners.</w:t>
      </w:r>
    </w:p>
    <w:p w14:paraId="7467428E" w14:textId="77777777" w:rsidR="009352A0" w:rsidRPr="00ED1C1E" w:rsidRDefault="004F5411" w:rsidP="007B0091">
      <w:pPr>
        <w:pStyle w:val="Heading3"/>
      </w:pPr>
      <w:r w:rsidRPr="00ED1C1E">
        <w:t>Implementing HQIM in the Classroom</w:t>
      </w:r>
    </w:p>
    <w:p w14:paraId="7467428F" w14:textId="77777777" w:rsidR="009352A0" w:rsidRPr="00ED1C1E" w:rsidRDefault="004F5411" w:rsidP="00CA480D">
      <w:pPr>
        <w:pStyle w:val="beforelist"/>
      </w:pPr>
      <w:r w:rsidRPr="00ED1C1E">
        <w:t>Effective HQIM implementation involves:</w:t>
      </w:r>
    </w:p>
    <w:p w14:paraId="74674290" w14:textId="4ACEA06D" w:rsidR="009352A0" w:rsidRPr="00ED1C1E" w:rsidRDefault="004F5411" w:rsidP="00AE1A6B">
      <w:pPr>
        <w:pStyle w:val="ListParagraph"/>
        <w:numPr>
          <w:ilvl w:val="0"/>
          <w:numId w:val="7"/>
        </w:numPr>
      </w:pPr>
      <w:r w:rsidRPr="00ED1C1E">
        <w:t>Developing clear instructional guidelines and pacing expectations</w:t>
      </w:r>
    </w:p>
    <w:p w14:paraId="74674291" w14:textId="77777777" w:rsidR="009352A0" w:rsidRPr="00ED1C1E" w:rsidRDefault="004F5411" w:rsidP="00AE1A6B">
      <w:pPr>
        <w:pStyle w:val="ListParagraph"/>
        <w:numPr>
          <w:ilvl w:val="0"/>
          <w:numId w:val="7"/>
        </w:numPr>
      </w:pPr>
      <w:r w:rsidRPr="00ED1C1E">
        <w:t>Providing ongoing, curriculum-based professional learning (CBPL)</w:t>
      </w:r>
    </w:p>
    <w:p w14:paraId="74674292" w14:textId="77777777" w:rsidR="009352A0" w:rsidRPr="00ED1C1E" w:rsidRDefault="004F5411" w:rsidP="00AE1A6B">
      <w:pPr>
        <w:pStyle w:val="ListParagraph"/>
        <w:numPr>
          <w:ilvl w:val="0"/>
          <w:numId w:val="7"/>
        </w:numPr>
      </w:pPr>
      <w:r w:rsidRPr="00ED1C1E">
        <w:t>Facilitating teacher collaboration through Professional Learning Communities (PLCs) and Collaborative Planning Time (CPT)</w:t>
      </w:r>
    </w:p>
    <w:p w14:paraId="74674293" w14:textId="77777777" w:rsidR="009352A0" w:rsidRPr="00ED1C1E" w:rsidRDefault="004F5411" w:rsidP="00AE1A6B">
      <w:pPr>
        <w:pStyle w:val="ListParagraph"/>
        <w:numPr>
          <w:ilvl w:val="0"/>
          <w:numId w:val="7"/>
        </w:numPr>
      </w:pPr>
      <w:r w:rsidRPr="00ED1C1E">
        <w:t>Monitoring fidelity of use through observations and student work analysis</w:t>
      </w:r>
    </w:p>
    <w:p w14:paraId="74674294" w14:textId="77777777" w:rsidR="009352A0" w:rsidRPr="00ED1C1E" w:rsidRDefault="004F5411" w:rsidP="00AE1A6B">
      <w:pPr>
        <w:pStyle w:val="ListParagraph"/>
        <w:numPr>
          <w:ilvl w:val="0"/>
          <w:numId w:val="7"/>
        </w:numPr>
        <w:spacing w:after="240"/>
      </w:pPr>
      <w:r w:rsidRPr="00ED1C1E">
        <w:t xml:space="preserve">Using data to adjust instruction and </w:t>
      </w:r>
      <w:proofErr w:type="gramStart"/>
      <w:r w:rsidRPr="00ED1C1E">
        <w:t>supports</w:t>
      </w:r>
      <w:proofErr w:type="gramEnd"/>
    </w:p>
    <w:p w14:paraId="74674295" w14:textId="77777777" w:rsidR="009352A0" w:rsidRPr="00ED1C1E" w:rsidRDefault="004F5411" w:rsidP="007B0091">
      <w:pPr>
        <w:pStyle w:val="Heading3"/>
      </w:pPr>
      <w:r w:rsidRPr="00ED1C1E">
        <w:t>HQIM and Tiered Instruction</w:t>
      </w:r>
    </w:p>
    <w:p w14:paraId="74674296" w14:textId="77777777" w:rsidR="009352A0" w:rsidRPr="00ED1C1E" w:rsidRDefault="004F5411" w:rsidP="00CE0006">
      <w:pPr>
        <w:rPr>
          <w:rFonts w:eastAsia="Calibri" w:cs="Calibri"/>
          <w:szCs w:val="24"/>
        </w:rPr>
      </w:pPr>
      <w:r w:rsidRPr="00ED1C1E">
        <w:rPr>
          <w:rFonts w:eastAsia="Calibri" w:cs="Calibri"/>
          <w:szCs w:val="24"/>
        </w:rPr>
        <w:t xml:space="preserve">HQIM </w:t>
      </w:r>
      <w:proofErr w:type="gramStart"/>
      <w:r w:rsidRPr="00ED1C1E">
        <w:rPr>
          <w:rFonts w:eastAsia="Calibri" w:cs="Calibri"/>
          <w:szCs w:val="24"/>
        </w:rPr>
        <w:t>are</w:t>
      </w:r>
      <w:proofErr w:type="gramEnd"/>
      <w:r w:rsidRPr="00ED1C1E">
        <w:rPr>
          <w:rFonts w:eastAsia="Calibri" w:cs="Calibri"/>
          <w:szCs w:val="24"/>
        </w:rPr>
        <w:t xml:space="preserve"> central to Tier 1 instruction. When used consistently and effectively, they can reduce the need for intervention by ensuring most students succeed in core instruction. Intervention materials should align closely with Tier 1 HQIM to maintain coherence across support levels.</w:t>
      </w:r>
    </w:p>
    <w:p w14:paraId="74674297" w14:textId="77777777" w:rsidR="009352A0" w:rsidRPr="00ED1C1E" w:rsidRDefault="004F5411" w:rsidP="007B0091">
      <w:pPr>
        <w:pStyle w:val="Heading3"/>
      </w:pPr>
      <w:r w:rsidRPr="00ED1C1E">
        <w:t>Sustaining and Improving HQIM Use</w:t>
      </w:r>
    </w:p>
    <w:p w14:paraId="74674298" w14:textId="77777777" w:rsidR="009352A0" w:rsidRPr="00ED1C1E" w:rsidRDefault="004F5411" w:rsidP="00CE0006">
      <w:pPr>
        <w:rPr>
          <w:rFonts w:eastAsia="Calibri" w:cs="Calibri"/>
          <w:szCs w:val="24"/>
        </w:rPr>
      </w:pPr>
      <w:r w:rsidRPr="00ED1C1E">
        <w:rPr>
          <w:rFonts w:eastAsia="Calibri" w:cs="Calibri"/>
          <w:szCs w:val="24"/>
        </w:rPr>
        <w:t>Implementation is an ongoing process. Districts and schools should regularly review student data, gather teacher feedback, and revisit implementation strategies to ensure HQIM use remains effective, equitable, and aligned with student needs.</w:t>
      </w:r>
    </w:p>
    <w:p w14:paraId="70664309" w14:textId="49226D33" w:rsidR="00CA480D" w:rsidRPr="00ED1C1E" w:rsidRDefault="004F5411" w:rsidP="00CE0006">
      <w:pPr>
        <w:rPr>
          <w:rFonts w:eastAsia="Calibri" w:cs="Calibri"/>
          <w:szCs w:val="24"/>
        </w:rPr>
        <w:sectPr w:rsidR="00CA480D" w:rsidRPr="00ED1C1E" w:rsidSect="00CC1525">
          <w:headerReference w:type="default" r:id="rId24"/>
          <w:pgSz w:w="12240" w:h="15840"/>
          <w:pgMar w:top="1080" w:right="1080" w:bottom="1080" w:left="1080" w:header="720" w:footer="720" w:gutter="0"/>
          <w:cols w:space="720"/>
          <w:titlePg/>
        </w:sectPr>
      </w:pPr>
      <w:r w:rsidRPr="00ED1C1E">
        <w:rPr>
          <w:rFonts w:eastAsia="Calibri" w:cs="Calibri"/>
          <w:szCs w:val="24"/>
        </w:rPr>
        <w:t xml:space="preserve">For additional guidance, training, and resources on HQIM implementation, visit </w:t>
      </w:r>
      <w:r w:rsidR="00CA480D" w:rsidRPr="00ED1C1E">
        <w:rPr>
          <w:rFonts w:eastAsia="Calibri" w:cs="Calibri"/>
          <w:szCs w:val="24"/>
        </w:rPr>
        <w:t xml:space="preserve">the NJDOE’s </w:t>
      </w:r>
      <w:hyperlink r:id="rId25" w:history="1">
        <w:r w:rsidR="00CA480D" w:rsidRPr="00ED1C1E">
          <w:rPr>
            <w:rStyle w:val="Hyperlink"/>
            <w:rFonts w:eastAsia="Calibri" w:cs="Calibri"/>
            <w:szCs w:val="24"/>
          </w:rPr>
          <w:t xml:space="preserve">Learning Equity and Academic Recovery </w:t>
        </w:r>
      </w:hyperlink>
      <w:r w:rsidR="00CA480D" w:rsidRPr="00ED1C1E">
        <w:rPr>
          <w:rFonts w:eastAsia="Calibri" w:cs="Calibri"/>
          <w:szCs w:val="24"/>
        </w:rPr>
        <w:t>webpage (nj.gov/education/</w:t>
      </w:r>
      <w:proofErr w:type="spellStart"/>
      <w:r w:rsidR="00CA480D" w:rsidRPr="00ED1C1E">
        <w:rPr>
          <w:rFonts w:eastAsia="Calibri" w:cs="Calibri"/>
          <w:szCs w:val="24"/>
        </w:rPr>
        <w:t>lear</w:t>
      </w:r>
      <w:proofErr w:type="spellEnd"/>
      <w:r w:rsidR="00CA480D" w:rsidRPr="00ED1C1E">
        <w:rPr>
          <w:rFonts w:eastAsia="Calibri" w:cs="Calibri"/>
          <w:szCs w:val="24"/>
        </w:rPr>
        <w:t xml:space="preserve">). </w:t>
      </w:r>
    </w:p>
    <w:p w14:paraId="3E0DBC58" w14:textId="2FF1422D" w:rsidR="00014035" w:rsidRPr="007376F7" w:rsidRDefault="00014035" w:rsidP="00485620">
      <w:pPr>
        <w:pStyle w:val="Heading3"/>
        <w:rPr>
          <w:szCs w:val="24"/>
        </w:rPr>
      </w:pPr>
      <w:bookmarkStart w:id="17" w:name="_Appendix_D—Text_Version:"/>
      <w:bookmarkEnd w:id="17"/>
    </w:p>
    <w:sectPr w:rsidR="00014035" w:rsidRPr="007376F7" w:rsidSect="00CC1525">
      <w:pgSz w:w="12240" w:h="15840"/>
      <w:pgMar w:top="108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02678" w14:textId="77777777" w:rsidR="00F142B9" w:rsidRPr="00ED1C1E" w:rsidRDefault="00F142B9">
      <w:pPr>
        <w:spacing w:line="240" w:lineRule="auto"/>
      </w:pPr>
      <w:r w:rsidRPr="00ED1C1E">
        <w:separator/>
      </w:r>
    </w:p>
  </w:endnote>
  <w:endnote w:type="continuationSeparator" w:id="0">
    <w:p w14:paraId="1B9733CB" w14:textId="77777777" w:rsidR="00F142B9" w:rsidRPr="00ED1C1E" w:rsidRDefault="00F142B9">
      <w:pPr>
        <w:spacing w:line="240" w:lineRule="auto"/>
      </w:pPr>
      <w:r w:rsidRPr="00ED1C1E">
        <w:continuationSeparator/>
      </w:r>
    </w:p>
  </w:endnote>
  <w:endnote w:type="continuationNotice" w:id="1">
    <w:p w14:paraId="3966D6FB" w14:textId="77777777" w:rsidR="00F142B9" w:rsidRPr="00ED1C1E" w:rsidRDefault="00F142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429D" w14:textId="77777777" w:rsidR="009352A0" w:rsidRPr="00ED1C1E" w:rsidRDefault="009352A0">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7047950"/>
      <w:docPartObj>
        <w:docPartGallery w:val="Page Numbers (Bottom of Page)"/>
        <w:docPartUnique/>
      </w:docPartObj>
    </w:sdtPr>
    <w:sdtContent>
      <w:sdt>
        <w:sdtPr>
          <w:id w:val="-1769616900"/>
          <w:docPartObj>
            <w:docPartGallery w:val="Page Numbers (Top of Page)"/>
            <w:docPartUnique/>
          </w:docPartObj>
        </w:sdtPr>
        <w:sdtContent>
          <w:p w14:paraId="730C300F" w14:textId="2259A5C5" w:rsidR="00415714" w:rsidRDefault="00415714" w:rsidP="00415714">
            <w:pPr>
              <w:pStyle w:val="Footer"/>
              <w:spacing w:after="0"/>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04BFBD0" w14:textId="77777777" w:rsidR="00415714" w:rsidRDefault="00415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FB66C" w14:textId="77777777" w:rsidR="00F142B9" w:rsidRPr="00ED1C1E" w:rsidRDefault="00F142B9">
      <w:pPr>
        <w:spacing w:line="240" w:lineRule="auto"/>
      </w:pPr>
      <w:r w:rsidRPr="00ED1C1E">
        <w:separator/>
      </w:r>
    </w:p>
  </w:footnote>
  <w:footnote w:type="continuationSeparator" w:id="0">
    <w:p w14:paraId="2910564D" w14:textId="77777777" w:rsidR="00F142B9" w:rsidRPr="00ED1C1E" w:rsidRDefault="00F142B9">
      <w:pPr>
        <w:spacing w:line="240" w:lineRule="auto"/>
      </w:pPr>
      <w:r w:rsidRPr="00ED1C1E">
        <w:continuationSeparator/>
      </w:r>
    </w:p>
  </w:footnote>
  <w:footnote w:type="continuationNotice" w:id="1">
    <w:p w14:paraId="04B8CC07" w14:textId="77777777" w:rsidR="00F142B9" w:rsidRPr="00ED1C1E" w:rsidRDefault="00F142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429E" w14:textId="12D318D8" w:rsidR="009352A0" w:rsidRPr="00ED1C1E" w:rsidRDefault="009352A0">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3F147" w14:textId="5DD1833F" w:rsidR="00857E2B" w:rsidRPr="00ED1C1E" w:rsidRDefault="00857E2B" w:rsidP="00AC7159">
    <w:pPr>
      <w:spacing w:after="120"/>
      <w:jc w:val="right"/>
    </w:pPr>
    <w:r w:rsidRPr="00ED1C1E">
      <w:t>Appendix A—HQIM Rubric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238D" w14:textId="77777777" w:rsidR="00857E2B" w:rsidRPr="00ED1C1E" w:rsidRDefault="00857E2B">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2FF22" w14:textId="1605C6FA" w:rsidR="00C94D00" w:rsidRPr="00ED1C1E" w:rsidRDefault="00C94D00">
    <w:pPr>
      <w:jc w:val="right"/>
    </w:pPr>
    <w:r w:rsidRPr="00ED1C1E">
      <w:t>Appendix B—HQIM Implementation Checklist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99D6A" w14:textId="718E6662" w:rsidR="00E91298" w:rsidRPr="00ED1C1E" w:rsidRDefault="00E91298">
    <w:pPr>
      <w:jc w:val="right"/>
    </w:pPr>
    <w:r w:rsidRPr="00ED1C1E">
      <w:t>Appendix C.1—HQIM Family 2-pager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AEA39" w14:textId="5011AE1F" w:rsidR="00017787" w:rsidRPr="00ED1C1E" w:rsidRDefault="00017787">
    <w:pPr>
      <w:jc w:val="right"/>
    </w:pPr>
    <w:r w:rsidRPr="00ED1C1E">
      <w:t>Appendix C.2—HQIM Educator 2-pager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060"/>
    <w:multiLevelType w:val="hybridMultilevel"/>
    <w:tmpl w:val="B422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46742"/>
    <w:multiLevelType w:val="hybridMultilevel"/>
    <w:tmpl w:val="146A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00791"/>
    <w:multiLevelType w:val="hybridMultilevel"/>
    <w:tmpl w:val="E5F80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96644"/>
    <w:multiLevelType w:val="hybridMultilevel"/>
    <w:tmpl w:val="0E60CBEA"/>
    <w:lvl w:ilvl="0" w:tplc="04090019">
      <w:start w:val="1"/>
      <w:numFmt w:val="lowerLetter"/>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 w15:restartNumberingAfterBreak="0">
    <w:nsid w:val="08C64664"/>
    <w:multiLevelType w:val="hybridMultilevel"/>
    <w:tmpl w:val="440A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25A77"/>
    <w:multiLevelType w:val="hybridMultilevel"/>
    <w:tmpl w:val="4F201010"/>
    <w:lvl w:ilvl="0" w:tplc="04090001">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A3460"/>
    <w:multiLevelType w:val="hybridMultilevel"/>
    <w:tmpl w:val="F20A07B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A1B2D2B"/>
    <w:multiLevelType w:val="hybridMultilevel"/>
    <w:tmpl w:val="1AC8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10DDF"/>
    <w:multiLevelType w:val="hybridMultilevel"/>
    <w:tmpl w:val="A68CB430"/>
    <w:lvl w:ilvl="0" w:tplc="3EB4E2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A0A"/>
    <w:multiLevelType w:val="hybridMultilevel"/>
    <w:tmpl w:val="13A2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B4589"/>
    <w:multiLevelType w:val="hybridMultilevel"/>
    <w:tmpl w:val="9224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B2AE4"/>
    <w:multiLevelType w:val="hybridMultilevel"/>
    <w:tmpl w:val="8328F79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B3EB5"/>
    <w:multiLevelType w:val="hybridMultilevel"/>
    <w:tmpl w:val="E264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63B77"/>
    <w:multiLevelType w:val="hybridMultilevel"/>
    <w:tmpl w:val="EFEA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56570"/>
    <w:multiLevelType w:val="hybridMultilevel"/>
    <w:tmpl w:val="88B0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93AD2"/>
    <w:multiLevelType w:val="hybridMultilevel"/>
    <w:tmpl w:val="C11002A6"/>
    <w:lvl w:ilvl="0" w:tplc="3EB4E2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635463"/>
    <w:multiLevelType w:val="hybridMultilevel"/>
    <w:tmpl w:val="5276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32874"/>
    <w:multiLevelType w:val="hybridMultilevel"/>
    <w:tmpl w:val="43D6F138"/>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8" w15:restartNumberingAfterBreak="0">
    <w:nsid w:val="38210187"/>
    <w:multiLevelType w:val="hybridMultilevel"/>
    <w:tmpl w:val="A3B8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B3FB5"/>
    <w:multiLevelType w:val="hybridMultilevel"/>
    <w:tmpl w:val="8C74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E1FD7"/>
    <w:multiLevelType w:val="hybridMultilevel"/>
    <w:tmpl w:val="641A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729FF"/>
    <w:multiLevelType w:val="hybridMultilevel"/>
    <w:tmpl w:val="B330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E06A6"/>
    <w:multiLevelType w:val="hybridMultilevel"/>
    <w:tmpl w:val="6860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23883"/>
    <w:multiLevelType w:val="hybridMultilevel"/>
    <w:tmpl w:val="4BD4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01C03"/>
    <w:multiLevelType w:val="hybridMultilevel"/>
    <w:tmpl w:val="8658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A2084"/>
    <w:multiLevelType w:val="hybridMultilevel"/>
    <w:tmpl w:val="278478D0"/>
    <w:lvl w:ilvl="0" w:tplc="3EB4E2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B7AA5"/>
    <w:multiLevelType w:val="hybridMultilevel"/>
    <w:tmpl w:val="7E4828C2"/>
    <w:lvl w:ilvl="0" w:tplc="E640BD4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91C51"/>
    <w:multiLevelType w:val="hybridMultilevel"/>
    <w:tmpl w:val="108E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B2BDC"/>
    <w:multiLevelType w:val="hybridMultilevel"/>
    <w:tmpl w:val="9A9E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C31D5"/>
    <w:multiLevelType w:val="hybridMultilevel"/>
    <w:tmpl w:val="D5A8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45EC0"/>
    <w:multiLevelType w:val="hybridMultilevel"/>
    <w:tmpl w:val="7F7E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95F83"/>
    <w:multiLevelType w:val="hybridMultilevel"/>
    <w:tmpl w:val="DF90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22690"/>
    <w:multiLevelType w:val="hybridMultilevel"/>
    <w:tmpl w:val="47D8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41BF3"/>
    <w:multiLevelType w:val="hybridMultilevel"/>
    <w:tmpl w:val="F986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05A6C"/>
    <w:multiLevelType w:val="hybridMultilevel"/>
    <w:tmpl w:val="6308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D45A1F"/>
    <w:multiLevelType w:val="hybridMultilevel"/>
    <w:tmpl w:val="5D12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F3BA5"/>
    <w:multiLevelType w:val="hybridMultilevel"/>
    <w:tmpl w:val="B728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7431C0"/>
    <w:multiLevelType w:val="hybridMultilevel"/>
    <w:tmpl w:val="C25A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7548F4"/>
    <w:multiLevelType w:val="hybridMultilevel"/>
    <w:tmpl w:val="18CC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C573F8"/>
    <w:multiLevelType w:val="hybridMultilevel"/>
    <w:tmpl w:val="7122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712416">
    <w:abstractNumId w:val="17"/>
  </w:num>
  <w:num w:numId="2" w16cid:durableId="1136409908">
    <w:abstractNumId w:val="9"/>
  </w:num>
  <w:num w:numId="3" w16cid:durableId="1025328634">
    <w:abstractNumId w:val="24"/>
  </w:num>
  <w:num w:numId="4" w16cid:durableId="1804888099">
    <w:abstractNumId w:val="27"/>
  </w:num>
  <w:num w:numId="5" w16cid:durableId="2002928342">
    <w:abstractNumId w:val="28"/>
  </w:num>
  <w:num w:numId="6" w16cid:durableId="730814288">
    <w:abstractNumId w:val="36"/>
  </w:num>
  <w:num w:numId="7" w16cid:durableId="246302951">
    <w:abstractNumId w:val="1"/>
  </w:num>
  <w:num w:numId="8" w16cid:durableId="1359546119">
    <w:abstractNumId w:val="22"/>
  </w:num>
  <w:num w:numId="9" w16cid:durableId="1118137157">
    <w:abstractNumId w:val="2"/>
  </w:num>
  <w:num w:numId="10" w16cid:durableId="956984160">
    <w:abstractNumId w:val="7"/>
  </w:num>
  <w:num w:numId="11" w16cid:durableId="879904917">
    <w:abstractNumId w:val="14"/>
  </w:num>
  <w:num w:numId="12" w16cid:durableId="515778498">
    <w:abstractNumId w:val="30"/>
  </w:num>
  <w:num w:numId="13" w16cid:durableId="1826430436">
    <w:abstractNumId w:val="37"/>
  </w:num>
  <w:num w:numId="14" w16cid:durableId="1970739444">
    <w:abstractNumId w:val="0"/>
  </w:num>
  <w:num w:numId="15" w16cid:durableId="1206984598">
    <w:abstractNumId w:val="38"/>
  </w:num>
  <w:num w:numId="16" w16cid:durableId="1346520941">
    <w:abstractNumId w:val="32"/>
  </w:num>
  <w:num w:numId="17" w16cid:durableId="797454795">
    <w:abstractNumId w:val="39"/>
  </w:num>
  <w:num w:numId="18" w16cid:durableId="742527134">
    <w:abstractNumId w:val="21"/>
  </w:num>
  <w:num w:numId="19" w16cid:durableId="295840140">
    <w:abstractNumId w:val="12"/>
  </w:num>
  <w:num w:numId="20" w16cid:durableId="533690750">
    <w:abstractNumId w:val="20"/>
  </w:num>
  <w:num w:numId="21" w16cid:durableId="922026574">
    <w:abstractNumId w:val="4"/>
  </w:num>
  <w:num w:numId="22" w16cid:durableId="1232078745">
    <w:abstractNumId w:val="10"/>
  </w:num>
  <w:num w:numId="23" w16cid:durableId="1885484704">
    <w:abstractNumId w:val="31"/>
  </w:num>
  <w:num w:numId="24" w16cid:durableId="39788042">
    <w:abstractNumId w:val="13"/>
  </w:num>
  <w:num w:numId="25" w16cid:durableId="1234849092">
    <w:abstractNumId w:val="33"/>
  </w:num>
  <w:num w:numId="26" w16cid:durableId="222719658">
    <w:abstractNumId w:val="23"/>
  </w:num>
  <w:num w:numId="27" w16cid:durableId="1104806419">
    <w:abstractNumId w:val="19"/>
  </w:num>
  <w:num w:numId="28" w16cid:durableId="1306155884">
    <w:abstractNumId w:val="3"/>
  </w:num>
  <w:num w:numId="29" w16cid:durableId="1884974271">
    <w:abstractNumId w:val="16"/>
  </w:num>
  <w:num w:numId="30" w16cid:durableId="1848475202">
    <w:abstractNumId w:val="5"/>
  </w:num>
  <w:num w:numId="31" w16cid:durableId="533613553">
    <w:abstractNumId w:val="11"/>
  </w:num>
  <w:num w:numId="32" w16cid:durableId="1313028036">
    <w:abstractNumId w:val="6"/>
  </w:num>
  <w:num w:numId="33" w16cid:durableId="164899461">
    <w:abstractNumId w:val="35"/>
  </w:num>
  <w:num w:numId="34" w16cid:durableId="1356884591">
    <w:abstractNumId w:val="29"/>
  </w:num>
  <w:num w:numId="35" w16cid:durableId="1490709553">
    <w:abstractNumId w:val="34"/>
  </w:num>
  <w:num w:numId="36" w16cid:durableId="575479808">
    <w:abstractNumId w:val="26"/>
  </w:num>
  <w:num w:numId="37" w16cid:durableId="879705123">
    <w:abstractNumId w:val="18"/>
  </w:num>
  <w:num w:numId="38" w16cid:durableId="1098721611">
    <w:abstractNumId w:val="15"/>
  </w:num>
  <w:num w:numId="39" w16cid:durableId="1762527976">
    <w:abstractNumId w:val="8"/>
  </w:num>
  <w:num w:numId="40" w16cid:durableId="112068541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2A0"/>
    <w:rsid w:val="000007FE"/>
    <w:rsid w:val="000018B2"/>
    <w:rsid w:val="00001BEA"/>
    <w:rsid w:val="00004BA7"/>
    <w:rsid w:val="00007F98"/>
    <w:rsid w:val="00010EE5"/>
    <w:rsid w:val="00011E34"/>
    <w:rsid w:val="00014035"/>
    <w:rsid w:val="00017787"/>
    <w:rsid w:val="00027FDA"/>
    <w:rsid w:val="00031372"/>
    <w:rsid w:val="00036A7F"/>
    <w:rsid w:val="000473CF"/>
    <w:rsid w:val="00047805"/>
    <w:rsid w:val="00051F44"/>
    <w:rsid w:val="0005283C"/>
    <w:rsid w:val="0005344C"/>
    <w:rsid w:val="000548AA"/>
    <w:rsid w:val="00056120"/>
    <w:rsid w:val="00056353"/>
    <w:rsid w:val="00060146"/>
    <w:rsid w:val="000605CC"/>
    <w:rsid w:val="00064591"/>
    <w:rsid w:val="000668B5"/>
    <w:rsid w:val="000720AD"/>
    <w:rsid w:val="00072BFB"/>
    <w:rsid w:val="00073573"/>
    <w:rsid w:val="000748FB"/>
    <w:rsid w:val="00074A26"/>
    <w:rsid w:val="000810B8"/>
    <w:rsid w:val="00082885"/>
    <w:rsid w:val="00084532"/>
    <w:rsid w:val="00096C5C"/>
    <w:rsid w:val="000A4FD0"/>
    <w:rsid w:val="000A59A0"/>
    <w:rsid w:val="000A5A15"/>
    <w:rsid w:val="000B23A6"/>
    <w:rsid w:val="000B24F8"/>
    <w:rsid w:val="000B3087"/>
    <w:rsid w:val="000B5374"/>
    <w:rsid w:val="000C0AC6"/>
    <w:rsid w:val="000C10C3"/>
    <w:rsid w:val="000C3FCA"/>
    <w:rsid w:val="000C6635"/>
    <w:rsid w:val="000D03C0"/>
    <w:rsid w:val="000D7861"/>
    <w:rsid w:val="000E2050"/>
    <w:rsid w:val="000E2255"/>
    <w:rsid w:val="000E6FB6"/>
    <w:rsid w:val="000F2098"/>
    <w:rsid w:val="0010108F"/>
    <w:rsid w:val="00102FF9"/>
    <w:rsid w:val="00106FDE"/>
    <w:rsid w:val="00120F1C"/>
    <w:rsid w:val="00133B12"/>
    <w:rsid w:val="0014076D"/>
    <w:rsid w:val="00141566"/>
    <w:rsid w:val="00141D0F"/>
    <w:rsid w:val="00143B31"/>
    <w:rsid w:val="00144130"/>
    <w:rsid w:val="001455CA"/>
    <w:rsid w:val="00145FA4"/>
    <w:rsid w:val="00154EAA"/>
    <w:rsid w:val="001663D5"/>
    <w:rsid w:val="00166DD8"/>
    <w:rsid w:val="001725C4"/>
    <w:rsid w:val="001734FB"/>
    <w:rsid w:val="00175670"/>
    <w:rsid w:val="00175833"/>
    <w:rsid w:val="001773B7"/>
    <w:rsid w:val="00186188"/>
    <w:rsid w:val="0018692C"/>
    <w:rsid w:val="00187722"/>
    <w:rsid w:val="00192473"/>
    <w:rsid w:val="00192873"/>
    <w:rsid w:val="001B3CF0"/>
    <w:rsid w:val="001B7D0D"/>
    <w:rsid w:val="001C14CC"/>
    <w:rsid w:val="001C1DC5"/>
    <w:rsid w:val="001C40F2"/>
    <w:rsid w:val="001D1977"/>
    <w:rsid w:val="001D41FF"/>
    <w:rsid w:val="001D4C94"/>
    <w:rsid w:val="001D56FE"/>
    <w:rsid w:val="001E6182"/>
    <w:rsid w:val="001F53B7"/>
    <w:rsid w:val="00203C35"/>
    <w:rsid w:val="002062CF"/>
    <w:rsid w:val="00216541"/>
    <w:rsid w:val="00222FA6"/>
    <w:rsid w:val="00223D06"/>
    <w:rsid w:val="00223E02"/>
    <w:rsid w:val="00227201"/>
    <w:rsid w:val="002366D0"/>
    <w:rsid w:val="00236B7B"/>
    <w:rsid w:val="00243358"/>
    <w:rsid w:val="002468E3"/>
    <w:rsid w:val="00247DCD"/>
    <w:rsid w:val="00250EDA"/>
    <w:rsid w:val="00252CBA"/>
    <w:rsid w:val="00253A64"/>
    <w:rsid w:val="00260E6A"/>
    <w:rsid w:val="00265A07"/>
    <w:rsid w:val="00275DC3"/>
    <w:rsid w:val="002764A6"/>
    <w:rsid w:val="00283C3F"/>
    <w:rsid w:val="002867FB"/>
    <w:rsid w:val="0028687D"/>
    <w:rsid w:val="00292A41"/>
    <w:rsid w:val="00292E38"/>
    <w:rsid w:val="002936C6"/>
    <w:rsid w:val="002945A3"/>
    <w:rsid w:val="002A02A3"/>
    <w:rsid w:val="002A10FB"/>
    <w:rsid w:val="002A23B2"/>
    <w:rsid w:val="002A3ABF"/>
    <w:rsid w:val="002A4AB2"/>
    <w:rsid w:val="002A56A5"/>
    <w:rsid w:val="002B473D"/>
    <w:rsid w:val="002B5619"/>
    <w:rsid w:val="002B68FD"/>
    <w:rsid w:val="002C37DB"/>
    <w:rsid w:val="002C3B0B"/>
    <w:rsid w:val="002D2DC9"/>
    <w:rsid w:val="002D4422"/>
    <w:rsid w:val="002D4861"/>
    <w:rsid w:val="002D7C33"/>
    <w:rsid w:val="002E35D1"/>
    <w:rsid w:val="002F5A57"/>
    <w:rsid w:val="002F7A7C"/>
    <w:rsid w:val="00301046"/>
    <w:rsid w:val="0030107E"/>
    <w:rsid w:val="0030176D"/>
    <w:rsid w:val="00305075"/>
    <w:rsid w:val="00306724"/>
    <w:rsid w:val="00310D45"/>
    <w:rsid w:val="00314487"/>
    <w:rsid w:val="0031465C"/>
    <w:rsid w:val="00314A4E"/>
    <w:rsid w:val="0031744A"/>
    <w:rsid w:val="00322384"/>
    <w:rsid w:val="00331148"/>
    <w:rsid w:val="00336379"/>
    <w:rsid w:val="00336FA8"/>
    <w:rsid w:val="00343B32"/>
    <w:rsid w:val="00344380"/>
    <w:rsid w:val="0034455C"/>
    <w:rsid w:val="00345030"/>
    <w:rsid w:val="00346317"/>
    <w:rsid w:val="003500A3"/>
    <w:rsid w:val="003613D0"/>
    <w:rsid w:val="003631CB"/>
    <w:rsid w:val="0036648C"/>
    <w:rsid w:val="003701AB"/>
    <w:rsid w:val="003715D7"/>
    <w:rsid w:val="00373ECD"/>
    <w:rsid w:val="00373FCE"/>
    <w:rsid w:val="00376273"/>
    <w:rsid w:val="003774A1"/>
    <w:rsid w:val="00383404"/>
    <w:rsid w:val="003834CE"/>
    <w:rsid w:val="00383CBB"/>
    <w:rsid w:val="00386B7F"/>
    <w:rsid w:val="00387479"/>
    <w:rsid w:val="003903C3"/>
    <w:rsid w:val="003916C5"/>
    <w:rsid w:val="00394191"/>
    <w:rsid w:val="003A1417"/>
    <w:rsid w:val="003A7688"/>
    <w:rsid w:val="003B7586"/>
    <w:rsid w:val="003C373D"/>
    <w:rsid w:val="003C6899"/>
    <w:rsid w:val="003D3A2B"/>
    <w:rsid w:val="003D5171"/>
    <w:rsid w:val="003D642F"/>
    <w:rsid w:val="003D7DDC"/>
    <w:rsid w:val="003E1D3D"/>
    <w:rsid w:val="003E3FF2"/>
    <w:rsid w:val="003E5DFC"/>
    <w:rsid w:val="003F0B9C"/>
    <w:rsid w:val="003F2A03"/>
    <w:rsid w:val="003F636F"/>
    <w:rsid w:val="00401D63"/>
    <w:rsid w:val="00402489"/>
    <w:rsid w:val="004049D9"/>
    <w:rsid w:val="004059AB"/>
    <w:rsid w:val="00413EED"/>
    <w:rsid w:val="00415714"/>
    <w:rsid w:val="0041645C"/>
    <w:rsid w:val="004217D1"/>
    <w:rsid w:val="00432A59"/>
    <w:rsid w:val="00441B8E"/>
    <w:rsid w:val="0044268A"/>
    <w:rsid w:val="0045194A"/>
    <w:rsid w:val="00451D27"/>
    <w:rsid w:val="0045282E"/>
    <w:rsid w:val="00460967"/>
    <w:rsid w:val="00460987"/>
    <w:rsid w:val="0046EE2F"/>
    <w:rsid w:val="00470F49"/>
    <w:rsid w:val="0047415D"/>
    <w:rsid w:val="004754D2"/>
    <w:rsid w:val="004755C7"/>
    <w:rsid w:val="00483107"/>
    <w:rsid w:val="00484174"/>
    <w:rsid w:val="00485620"/>
    <w:rsid w:val="004938FE"/>
    <w:rsid w:val="00495203"/>
    <w:rsid w:val="00496615"/>
    <w:rsid w:val="004A456F"/>
    <w:rsid w:val="004A790E"/>
    <w:rsid w:val="004B0A33"/>
    <w:rsid w:val="004B40A1"/>
    <w:rsid w:val="004B61B3"/>
    <w:rsid w:val="004C1C00"/>
    <w:rsid w:val="004C582F"/>
    <w:rsid w:val="004C6440"/>
    <w:rsid w:val="004C6D62"/>
    <w:rsid w:val="004C77C0"/>
    <w:rsid w:val="004E2FDD"/>
    <w:rsid w:val="004E5DCF"/>
    <w:rsid w:val="004E67AC"/>
    <w:rsid w:val="004F5411"/>
    <w:rsid w:val="004F7709"/>
    <w:rsid w:val="005044CC"/>
    <w:rsid w:val="00506013"/>
    <w:rsid w:val="00517560"/>
    <w:rsid w:val="00525DF9"/>
    <w:rsid w:val="0052678A"/>
    <w:rsid w:val="0052771D"/>
    <w:rsid w:val="0053187B"/>
    <w:rsid w:val="0053194E"/>
    <w:rsid w:val="0053289B"/>
    <w:rsid w:val="0053468F"/>
    <w:rsid w:val="00541CC8"/>
    <w:rsid w:val="00542F4D"/>
    <w:rsid w:val="00542F9F"/>
    <w:rsid w:val="005437BB"/>
    <w:rsid w:val="0054740E"/>
    <w:rsid w:val="005500EB"/>
    <w:rsid w:val="0055211B"/>
    <w:rsid w:val="00554867"/>
    <w:rsid w:val="0055795E"/>
    <w:rsid w:val="00560D1A"/>
    <w:rsid w:val="005628B4"/>
    <w:rsid w:val="005702D8"/>
    <w:rsid w:val="00570E38"/>
    <w:rsid w:val="00570E7B"/>
    <w:rsid w:val="005812CA"/>
    <w:rsid w:val="00587BEE"/>
    <w:rsid w:val="00593200"/>
    <w:rsid w:val="005932E3"/>
    <w:rsid w:val="00596BF8"/>
    <w:rsid w:val="005A0F41"/>
    <w:rsid w:val="005A1EA5"/>
    <w:rsid w:val="005A2BCB"/>
    <w:rsid w:val="005A4573"/>
    <w:rsid w:val="005B0C60"/>
    <w:rsid w:val="005B396C"/>
    <w:rsid w:val="005B47F5"/>
    <w:rsid w:val="005B4B53"/>
    <w:rsid w:val="005B695D"/>
    <w:rsid w:val="005C368C"/>
    <w:rsid w:val="005D1B73"/>
    <w:rsid w:val="005D2104"/>
    <w:rsid w:val="005D4734"/>
    <w:rsid w:val="005D4D2D"/>
    <w:rsid w:val="005D5464"/>
    <w:rsid w:val="005D649A"/>
    <w:rsid w:val="005D7ECB"/>
    <w:rsid w:val="005E5A0F"/>
    <w:rsid w:val="005E72C0"/>
    <w:rsid w:val="00607562"/>
    <w:rsid w:val="0061183A"/>
    <w:rsid w:val="0061623A"/>
    <w:rsid w:val="00617BD3"/>
    <w:rsid w:val="00632A52"/>
    <w:rsid w:val="006448B2"/>
    <w:rsid w:val="00646B9A"/>
    <w:rsid w:val="00653868"/>
    <w:rsid w:val="00661203"/>
    <w:rsid w:val="006629FB"/>
    <w:rsid w:val="00662E0E"/>
    <w:rsid w:val="00665B9C"/>
    <w:rsid w:val="006667A4"/>
    <w:rsid w:val="00667E3C"/>
    <w:rsid w:val="006708FC"/>
    <w:rsid w:val="00670E84"/>
    <w:rsid w:val="00672386"/>
    <w:rsid w:val="006761E8"/>
    <w:rsid w:val="006816DB"/>
    <w:rsid w:val="006829F2"/>
    <w:rsid w:val="00687F4A"/>
    <w:rsid w:val="006A026B"/>
    <w:rsid w:val="006A27ED"/>
    <w:rsid w:val="006A5DCE"/>
    <w:rsid w:val="006A72E3"/>
    <w:rsid w:val="006A797A"/>
    <w:rsid w:val="006B5B49"/>
    <w:rsid w:val="006B6D3C"/>
    <w:rsid w:val="006D07AB"/>
    <w:rsid w:val="006D32B4"/>
    <w:rsid w:val="006D3F7D"/>
    <w:rsid w:val="006D57CE"/>
    <w:rsid w:val="006D68E1"/>
    <w:rsid w:val="006E138E"/>
    <w:rsid w:val="006E3773"/>
    <w:rsid w:val="006E4EC8"/>
    <w:rsid w:val="006E5679"/>
    <w:rsid w:val="006E7B02"/>
    <w:rsid w:val="006F32E9"/>
    <w:rsid w:val="006F36B8"/>
    <w:rsid w:val="00700EB0"/>
    <w:rsid w:val="007073B5"/>
    <w:rsid w:val="007102A4"/>
    <w:rsid w:val="00712F1C"/>
    <w:rsid w:val="00715776"/>
    <w:rsid w:val="007229B4"/>
    <w:rsid w:val="007237C7"/>
    <w:rsid w:val="00725692"/>
    <w:rsid w:val="00731D31"/>
    <w:rsid w:val="0073224B"/>
    <w:rsid w:val="00736234"/>
    <w:rsid w:val="00736A23"/>
    <w:rsid w:val="007376F7"/>
    <w:rsid w:val="00750E91"/>
    <w:rsid w:val="00751AB7"/>
    <w:rsid w:val="00753788"/>
    <w:rsid w:val="00753BEE"/>
    <w:rsid w:val="007542BD"/>
    <w:rsid w:val="00761308"/>
    <w:rsid w:val="00767F12"/>
    <w:rsid w:val="00770249"/>
    <w:rsid w:val="00772F04"/>
    <w:rsid w:val="007845FD"/>
    <w:rsid w:val="00784FA3"/>
    <w:rsid w:val="00786A31"/>
    <w:rsid w:val="00790810"/>
    <w:rsid w:val="0079334C"/>
    <w:rsid w:val="007961B2"/>
    <w:rsid w:val="007A03C4"/>
    <w:rsid w:val="007A3991"/>
    <w:rsid w:val="007A40B0"/>
    <w:rsid w:val="007A47C4"/>
    <w:rsid w:val="007A71E9"/>
    <w:rsid w:val="007B0091"/>
    <w:rsid w:val="007B0376"/>
    <w:rsid w:val="007B1AC0"/>
    <w:rsid w:val="007B1B13"/>
    <w:rsid w:val="007B31C8"/>
    <w:rsid w:val="007C0F38"/>
    <w:rsid w:val="007D23CD"/>
    <w:rsid w:val="007D42C1"/>
    <w:rsid w:val="007D610E"/>
    <w:rsid w:val="007D7E0D"/>
    <w:rsid w:val="007E0455"/>
    <w:rsid w:val="007E082B"/>
    <w:rsid w:val="007E1374"/>
    <w:rsid w:val="007E15BB"/>
    <w:rsid w:val="007E3CDC"/>
    <w:rsid w:val="007E7E18"/>
    <w:rsid w:val="007F3078"/>
    <w:rsid w:val="007F49E3"/>
    <w:rsid w:val="007F5C00"/>
    <w:rsid w:val="007F5CF6"/>
    <w:rsid w:val="0080097C"/>
    <w:rsid w:val="00803820"/>
    <w:rsid w:val="00804016"/>
    <w:rsid w:val="008054AB"/>
    <w:rsid w:val="008127D3"/>
    <w:rsid w:val="0082044D"/>
    <w:rsid w:val="008235B5"/>
    <w:rsid w:val="0082374E"/>
    <w:rsid w:val="00825E22"/>
    <w:rsid w:val="0083183B"/>
    <w:rsid w:val="0083363A"/>
    <w:rsid w:val="0083449E"/>
    <w:rsid w:val="00835C2B"/>
    <w:rsid w:val="00837899"/>
    <w:rsid w:val="00840653"/>
    <w:rsid w:val="00840D7A"/>
    <w:rsid w:val="00840E88"/>
    <w:rsid w:val="00845278"/>
    <w:rsid w:val="00855FB8"/>
    <w:rsid w:val="00857E2B"/>
    <w:rsid w:val="008608B1"/>
    <w:rsid w:val="00861E38"/>
    <w:rsid w:val="00864850"/>
    <w:rsid w:val="008652F9"/>
    <w:rsid w:val="00866926"/>
    <w:rsid w:val="0087096C"/>
    <w:rsid w:val="00880C37"/>
    <w:rsid w:val="00881CE4"/>
    <w:rsid w:val="0088428F"/>
    <w:rsid w:val="008845C4"/>
    <w:rsid w:val="00886D90"/>
    <w:rsid w:val="00890755"/>
    <w:rsid w:val="00891C36"/>
    <w:rsid w:val="00892AF5"/>
    <w:rsid w:val="0089363A"/>
    <w:rsid w:val="008A18FC"/>
    <w:rsid w:val="008B0FBB"/>
    <w:rsid w:val="008B1616"/>
    <w:rsid w:val="008B193C"/>
    <w:rsid w:val="008B1F57"/>
    <w:rsid w:val="008B2EAF"/>
    <w:rsid w:val="008B43AB"/>
    <w:rsid w:val="008B4B38"/>
    <w:rsid w:val="008B6B22"/>
    <w:rsid w:val="008C3BAA"/>
    <w:rsid w:val="008C4BAA"/>
    <w:rsid w:val="008D2EFA"/>
    <w:rsid w:val="008E46F1"/>
    <w:rsid w:val="008E71E3"/>
    <w:rsid w:val="008F1094"/>
    <w:rsid w:val="008F15EF"/>
    <w:rsid w:val="00902E2B"/>
    <w:rsid w:val="00905C83"/>
    <w:rsid w:val="0090794A"/>
    <w:rsid w:val="00912895"/>
    <w:rsid w:val="009144BB"/>
    <w:rsid w:val="00916A99"/>
    <w:rsid w:val="00917927"/>
    <w:rsid w:val="009221EF"/>
    <w:rsid w:val="00922667"/>
    <w:rsid w:val="00927D22"/>
    <w:rsid w:val="00934E80"/>
    <w:rsid w:val="009352A0"/>
    <w:rsid w:val="00937136"/>
    <w:rsid w:val="00945562"/>
    <w:rsid w:val="0094795F"/>
    <w:rsid w:val="00953B2C"/>
    <w:rsid w:val="0095575A"/>
    <w:rsid w:val="009579A4"/>
    <w:rsid w:val="009626B8"/>
    <w:rsid w:val="009639E4"/>
    <w:rsid w:val="00964988"/>
    <w:rsid w:val="009702A4"/>
    <w:rsid w:val="00971D1A"/>
    <w:rsid w:val="00985518"/>
    <w:rsid w:val="009864A5"/>
    <w:rsid w:val="0099101A"/>
    <w:rsid w:val="00992542"/>
    <w:rsid w:val="009928C8"/>
    <w:rsid w:val="0099378E"/>
    <w:rsid w:val="0099644B"/>
    <w:rsid w:val="00996B3D"/>
    <w:rsid w:val="009A2976"/>
    <w:rsid w:val="009A546E"/>
    <w:rsid w:val="009A74CE"/>
    <w:rsid w:val="009B0148"/>
    <w:rsid w:val="009B06FC"/>
    <w:rsid w:val="009B3774"/>
    <w:rsid w:val="009B4517"/>
    <w:rsid w:val="009B700A"/>
    <w:rsid w:val="009C2E4F"/>
    <w:rsid w:val="009C42A1"/>
    <w:rsid w:val="009C753E"/>
    <w:rsid w:val="009D11F2"/>
    <w:rsid w:val="009D6E5C"/>
    <w:rsid w:val="009D7C5C"/>
    <w:rsid w:val="009E0692"/>
    <w:rsid w:val="009E735F"/>
    <w:rsid w:val="009E75E8"/>
    <w:rsid w:val="009F28DA"/>
    <w:rsid w:val="009F3708"/>
    <w:rsid w:val="009F4EF2"/>
    <w:rsid w:val="00A06D1C"/>
    <w:rsid w:val="00A105DB"/>
    <w:rsid w:val="00A118DA"/>
    <w:rsid w:val="00A12B7A"/>
    <w:rsid w:val="00A12C66"/>
    <w:rsid w:val="00A14E1F"/>
    <w:rsid w:val="00A156A4"/>
    <w:rsid w:val="00A16DE9"/>
    <w:rsid w:val="00A17FD6"/>
    <w:rsid w:val="00A20DB5"/>
    <w:rsid w:val="00A22477"/>
    <w:rsid w:val="00A23332"/>
    <w:rsid w:val="00A23575"/>
    <w:rsid w:val="00A2358E"/>
    <w:rsid w:val="00A2535B"/>
    <w:rsid w:val="00A2665B"/>
    <w:rsid w:val="00A26673"/>
    <w:rsid w:val="00A30FCB"/>
    <w:rsid w:val="00A370AD"/>
    <w:rsid w:val="00A404A6"/>
    <w:rsid w:val="00A416E3"/>
    <w:rsid w:val="00A41C78"/>
    <w:rsid w:val="00A4217C"/>
    <w:rsid w:val="00A45D0F"/>
    <w:rsid w:val="00A46181"/>
    <w:rsid w:val="00A50359"/>
    <w:rsid w:val="00A525EF"/>
    <w:rsid w:val="00A55521"/>
    <w:rsid w:val="00A60993"/>
    <w:rsid w:val="00A61104"/>
    <w:rsid w:val="00A636FE"/>
    <w:rsid w:val="00A72F03"/>
    <w:rsid w:val="00A83409"/>
    <w:rsid w:val="00A9367A"/>
    <w:rsid w:val="00A938C0"/>
    <w:rsid w:val="00A93F98"/>
    <w:rsid w:val="00A94A5E"/>
    <w:rsid w:val="00A96D06"/>
    <w:rsid w:val="00AA0231"/>
    <w:rsid w:val="00AA0D93"/>
    <w:rsid w:val="00AA186B"/>
    <w:rsid w:val="00AA318A"/>
    <w:rsid w:val="00AB1259"/>
    <w:rsid w:val="00AC126F"/>
    <w:rsid w:val="00AC2EBA"/>
    <w:rsid w:val="00AC389B"/>
    <w:rsid w:val="00AC5737"/>
    <w:rsid w:val="00AC7159"/>
    <w:rsid w:val="00AD14A9"/>
    <w:rsid w:val="00AD3195"/>
    <w:rsid w:val="00AE1A6B"/>
    <w:rsid w:val="00AE2107"/>
    <w:rsid w:val="00AE29B7"/>
    <w:rsid w:val="00AE52F9"/>
    <w:rsid w:val="00AF1701"/>
    <w:rsid w:val="00AF7BBE"/>
    <w:rsid w:val="00B03EEB"/>
    <w:rsid w:val="00B1618D"/>
    <w:rsid w:val="00B17282"/>
    <w:rsid w:val="00B17446"/>
    <w:rsid w:val="00B23906"/>
    <w:rsid w:val="00B27D01"/>
    <w:rsid w:val="00B30E08"/>
    <w:rsid w:val="00B35639"/>
    <w:rsid w:val="00B43A5B"/>
    <w:rsid w:val="00B61568"/>
    <w:rsid w:val="00B624E6"/>
    <w:rsid w:val="00B62D4B"/>
    <w:rsid w:val="00B677C7"/>
    <w:rsid w:val="00B747EE"/>
    <w:rsid w:val="00B75FDC"/>
    <w:rsid w:val="00B76E5B"/>
    <w:rsid w:val="00B80CFB"/>
    <w:rsid w:val="00B830FF"/>
    <w:rsid w:val="00B84011"/>
    <w:rsid w:val="00B840D4"/>
    <w:rsid w:val="00B90271"/>
    <w:rsid w:val="00B921A9"/>
    <w:rsid w:val="00B92EC9"/>
    <w:rsid w:val="00B931EE"/>
    <w:rsid w:val="00BA5BFC"/>
    <w:rsid w:val="00BA6038"/>
    <w:rsid w:val="00BA6B83"/>
    <w:rsid w:val="00BB04AE"/>
    <w:rsid w:val="00BB0FEC"/>
    <w:rsid w:val="00BB1A33"/>
    <w:rsid w:val="00BC290F"/>
    <w:rsid w:val="00BC3325"/>
    <w:rsid w:val="00BC54F9"/>
    <w:rsid w:val="00BC602A"/>
    <w:rsid w:val="00BC723C"/>
    <w:rsid w:val="00BD3A85"/>
    <w:rsid w:val="00BD434C"/>
    <w:rsid w:val="00BD691F"/>
    <w:rsid w:val="00BD7C3B"/>
    <w:rsid w:val="00BE030C"/>
    <w:rsid w:val="00BE3AC5"/>
    <w:rsid w:val="00BE3B49"/>
    <w:rsid w:val="00BF01D0"/>
    <w:rsid w:val="00BF1675"/>
    <w:rsid w:val="00BF6415"/>
    <w:rsid w:val="00BF667B"/>
    <w:rsid w:val="00BF695E"/>
    <w:rsid w:val="00C014B2"/>
    <w:rsid w:val="00C024DF"/>
    <w:rsid w:val="00C117F1"/>
    <w:rsid w:val="00C11DC8"/>
    <w:rsid w:val="00C1387C"/>
    <w:rsid w:val="00C15608"/>
    <w:rsid w:val="00C15779"/>
    <w:rsid w:val="00C16E4A"/>
    <w:rsid w:val="00C2598E"/>
    <w:rsid w:val="00C25DCC"/>
    <w:rsid w:val="00C36E40"/>
    <w:rsid w:val="00C43B31"/>
    <w:rsid w:val="00C5035A"/>
    <w:rsid w:val="00C5621A"/>
    <w:rsid w:val="00C63317"/>
    <w:rsid w:val="00C71C8F"/>
    <w:rsid w:val="00C72D85"/>
    <w:rsid w:val="00C73750"/>
    <w:rsid w:val="00C737F5"/>
    <w:rsid w:val="00C7481D"/>
    <w:rsid w:val="00C754EA"/>
    <w:rsid w:val="00C763FC"/>
    <w:rsid w:val="00C806A3"/>
    <w:rsid w:val="00C87818"/>
    <w:rsid w:val="00C933D2"/>
    <w:rsid w:val="00C94203"/>
    <w:rsid w:val="00C946E2"/>
    <w:rsid w:val="00C94D00"/>
    <w:rsid w:val="00C95877"/>
    <w:rsid w:val="00C965A6"/>
    <w:rsid w:val="00C96C5C"/>
    <w:rsid w:val="00CA480D"/>
    <w:rsid w:val="00CA4E20"/>
    <w:rsid w:val="00CB1A7F"/>
    <w:rsid w:val="00CC131A"/>
    <w:rsid w:val="00CC1525"/>
    <w:rsid w:val="00CC4D2C"/>
    <w:rsid w:val="00CC6008"/>
    <w:rsid w:val="00CC714C"/>
    <w:rsid w:val="00CE0006"/>
    <w:rsid w:val="00CE1589"/>
    <w:rsid w:val="00CE676D"/>
    <w:rsid w:val="00CE7007"/>
    <w:rsid w:val="00CF0C2D"/>
    <w:rsid w:val="00CF1D60"/>
    <w:rsid w:val="00CF2DFE"/>
    <w:rsid w:val="00D01C0F"/>
    <w:rsid w:val="00D050C7"/>
    <w:rsid w:val="00D05514"/>
    <w:rsid w:val="00D05D8F"/>
    <w:rsid w:val="00D071C1"/>
    <w:rsid w:val="00D10208"/>
    <w:rsid w:val="00D13409"/>
    <w:rsid w:val="00D134F0"/>
    <w:rsid w:val="00D23564"/>
    <w:rsid w:val="00D23AF7"/>
    <w:rsid w:val="00D3290F"/>
    <w:rsid w:val="00D33711"/>
    <w:rsid w:val="00D34886"/>
    <w:rsid w:val="00D4170D"/>
    <w:rsid w:val="00D43CBC"/>
    <w:rsid w:val="00D451A0"/>
    <w:rsid w:val="00D46352"/>
    <w:rsid w:val="00D464F3"/>
    <w:rsid w:val="00D51B6B"/>
    <w:rsid w:val="00D5270D"/>
    <w:rsid w:val="00D52D7F"/>
    <w:rsid w:val="00D53A25"/>
    <w:rsid w:val="00D625ED"/>
    <w:rsid w:val="00D7332F"/>
    <w:rsid w:val="00D73840"/>
    <w:rsid w:val="00D73F03"/>
    <w:rsid w:val="00D81A11"/>
    <w:rsid w:val="00D821DB"/>
    <w:rsid w:val="00D828A9"/>
    <w:rsid w:val="00D852D0"/>
    <w:rsid w:val="00D85C70"/>
    <w:rsid w:val="00D867BE"/>
    <w:rsid w:val="00D9356B"/>
    <w:rsid w:val="00DA04A9"/>
    <w:rsid w:val="00DA14DC"/>
    <w:rsid w:val="00DA70B7"/>
    <w:rsid w:val="00DB6245"/>
    <w:rsid w:val="00DC0686"/>
    <w:rsid w:val="00DC6356"/>
    <w:rsid w:val="00DC72AB"/>
    <w:rsid w:val="00DD10F6"/>
    <w:rsid w:val="00DE2768"/>
    <w:rsid w:val="00DE36EF"/>
    <w:rsid w:val="00DE3868"/>
    <w:rsid w:val="00DE38D2"/>
    <w:rsid w:val="00DE4C2C"/>
    <w:rsid w:val="00DF0497"/>
    <w:rsid w:val="00DF4E1F"/>
    <w:rsid w:val="00E02DD2"/>
    <w:rsid w:val="00E055FD"/>
    <w:rsid w:val="00E05A07"/>
    <w:rsid w:val="00E0778B"/>
    <w:rsid w:val="00E10720"/>
    <w:rsid w:val="00E10C10"/>
    <w:rsid w:val="00E10C36"/>
    <w:rsid w:val="00E12903"/>
    <w:rsid w:val="00E13DBC"/>
    <w:rsid w:val="00E16D18"/>
    <w:rsid w:val="00E23078"/>
    <w:rsid w:val="00E24322"/>
    <w:rsid w:val="00E24577"/>
    <w:rsid w:val="00E251F0"/>
    <w:rsid w:val="00E26AA8"/>
    <w:rsid w:val="00E2730C"/>
    <w:rsid w:val="00E30E07"/>
    <w:rsid w:val="00E31BA1"/>
    <w:rsid w:val="00E33750"/>
    <w:rsid w:val="00E6596A"/>
    <w:rsid w:val="00E67904"/>
    <w:rsid w:val="00E70A38"/>
    <w:rsid w:val="00E74954"/>
    <w:rsid w:val="00E751FA"/>
    <w:rsid w:val="00E80E3D"/>
    <w:rsid w:val="00E83D21"/>
    <w:rsid w:val="00E86224"/>
    <w:rsid w:val="00E91298"/>
    <w:rsid w:val="00E91A13"/>
    <w:rsid w:val="00E9394E"/>
    <w:rsid w:val="00E95834"/>
    <w:rsid w:val="00E95DC1"/>
    <w:rsid w:val="00EA6C1B"/>
    <w:rsid w:val="00EB6F32"/>
    <w:rsid w:val="00EB785D"/>
    <w:rsid w:val="00ED05F7"/>
    <w:rsid w:val="00ED1C1E"/>
    <w:rsid w:val="00ED49BF"/>
    <w:rsid w:val="00EE0DBC"/>
    <w:rsid w:val="00EE6709"/>
    <w:rsid w:val="00EE67F7"/>
    <w:rsid w:val="00EF1C43"/>
    <w:rsid w:val="00EF71EE"/>
    <w:rsid w:val="00F0180D"/>
    <w:rsid w:val="00F0505F"/>
    <w:rsid w:val="00F05ABA"/>
    <w:rsid w:val="00F0623D"/>
    <w:rsid w:val="00F069B1"/>
    <w:rsid w:val="00F142B9"/>
    <w:rsid w:val="00F15123"/>
    <w:rsid w:val="00F24C6F"/>
    <w:rsid w:val="00F2521F"/>
    <w:rsid w:val="00F25443"/>
    <w:rsid w:val="00F30C03"/>
    <w:rsid w:val="00F31F12"/>
    <w:rsid w:val="00F335F5"/>
    <w:rsid w:val="00F33D3B"/>
    <w:rsid w:val="00F352F4"/>
    <w:rsid w:val="00F3574A"/>
    <w:rsid w:val="00F365EC"/>
    <w:rsid w:val="00F41CC9"/>
    <w:rsid w:val="00F43A8C"/>
    <w:rsid w:val="00F44FAF"/>
    <w:rsid w:val="00F452ED"/>
    <w:rsid w:val="00F46840"/>
    <w:rsid w:val="00F5318F"/>
    <w:rsid w:val="00F53349"/>
    <w:rsid w:val="00F544CE"/>
    <w:rsid w:val="00F56993"/>
    <w:rsid w:val="00F66633"/>
    <w:rsid w:val="00F668CF"/>
    <w:rsid w:val="00F70058"/>
    <w:rsid w:val="00F7754A"/>
    <w:rsid w:val="00F81B35"/>
    <w:rsid w:val="00F84A12"/>
    <w:rsid w:val="00F850D2"/>
    <w:rsid w:val="00F86B1A"/>
    <w:rsid w:val="00F87E66"/>
    <w:rsid w:val="00F93C41"/>
    <w:rsid w:val="00F93C85"/>
    <w:rsid w:val="00FA4F18"/>
    <w:rsid w:val="00FB098B"/>
    <w:rsid w:val="00FB4EBB"/>
    <w:rsid w:val="00FC0312"/>
    <w:rsid w:val="00FC0518"/>
    <w:rsid w:val="00FC07DA"/>
    <w:rsid w:val="00FC2B0B"/>
    <w:rsid w:val="00FC6680"/>
    <w:rsid w:val="00FC691A"/>
    <w:rsid w:val="00FC7465"/>
    <w:rsid w:val="00FD140E"/>
    <w:rsid w:val="00FD355A"/>
    <w:rsid w:val="00FD45F5"/>
    <w:rsid w:val="00FD5646"/>
    <w:rsid w:val="00FD5DF1"/>
    <w:rsid w:val="00FD702C"/>
    <w:rsid w:val="00FE0CD4"/>
    <w:rsid w:val="00FE3A97"/>
    <w:rsid w:val="00FE4A42"/>
    <w:rsid w:val="00FE4B20"/>
    <w:rsid w:val="00FE4C18"/>
    <w:rsid w:val="00FE5DCF"/>
    <w:rsid w:val="00FE7708"/>
    <w:rsid w:val="00FF5CA9"/>
    <w:rsid w:val="00FF793D"/>
    <w:rsid w:val="02462161"/>
    <w:rsid w:val="03D2CCC5"/>
    <w:rsid w:val="049CC044"/>
    <w:rsid w:val="0687ADA8"/>
    <w:rsid w:val="069C1F19"/>
    <w:rsid w:val="074B8CF6"/>
    <w:rsid w:val="0A86DEED"/>
    <w:rsid w:val="0B29418C"/>
    <w:rsid w:val="0B86E807"/>
    <w:rsid w:val="0BF232B5"/>
    <w:rsid w:val="0C3A2B08"/>
    <w:rsid w:val="0C9E6FB9"/>
    <w:rsid w:val="0CC5A266"/>
    <w:rsid w:val="0D042592"/>
    <w:rsid w:val="0DE8EC14"/>
    <w:rsid w:val="0DF8EF0B"/>
    <w:rsid w:val="0E54CD5E"/>
    <w:rsid w:val="0E56E66A"/>
    <w:rsid w:val="0FB3ADB2"/>
    <w:rsid w:val="103ABC33"/>
    <w:rsid w:val="1064F8EF"/>
    <w:rsid w:val="119EC7FB"/>
    <w:rsid w:val="1340148A"/>
    <w:rsid w:val="14A5D96E"/>
    <w:rsid w:val="1652E1DF"/>
    <w:rsid w:val="167C3B19"/>
    <w:rsid w:val="1A7CCC58"/>
    <w:rsid w:val="1D4BE4B8"/>
    <w:rsid w:val="1DFB63DE"/>
    <w:rsid w:val="1E287256"/>
    <w:rsid w:val="20042057"/>
    <w:rsid w:val="2026019A"/>
    <w:rsid w:val="2142A33A"/>
    <w:rsid w:val="2147A190"/>
    <w:rsid w:val="2261F315"/>
    <w:rsid w:val="22C177D7"/>
    <w:rsid w:val="23BB7FE5"/>
    <w:rsid w:val="2551C3DB"/>
    <w:rsid w:val="25C40B19"/>
    <w:rsid w:val="26A5DE6A"/>
    <w:rsid w:val="288D41C0"/>
    <w:rsid w:val="28FB4547"/>
    <w:rsid w:val="2A85CE9F"/>
    <w:rsid w:val="2B28726A"/>
    <w:rsid w:val="2B959708"/>
    <w:rsid w:val="2BA0201A"/>
    <w:rsid w:val="2BB6E85C"/>
    <w:rsid w:val="2BDC1798"/>
    <w:rsid w:val="2BE75672"/>
    <w:rsid w:val="2CC26E63"/>
    <w:rsid w:val="2E2E97A6"/>
    <w:rsid w:val="307366D3"/>
    <w:rsid w:val="30D351B5"/>
    <w:rsid w:val="31AE8B1A"/>
    <w:rsid w:val="32733CFC"/>
    <w:rsid w:val="32D7AF1D"/>
    <w:rsid w:val="336C3634"/>
    <w:rsid w:val="33CA8A53"/>
    <w:rsid w:val="3416C3D2"/>
    <w:rsid w:val="348C1CB0"/>
    <w:rsid w:val="374EE542"/>
    <w:rsid w:val="38193053"/>
    <w:rsid w:val="38CC9116"/>
    <w:rsid w:val="3988F4FD"/>
    <w:rsid w:val="39F6ACB8"/>
    <w:rsid w:val="3A6D47EF"/>
    <w:rsid w:val="3B2C6AA4"/>
    <w:rsid w:val="3B41E7B4"/>
    <w:rsid w:val="3DABEB43"/>
    <w:rsid w:val="3EEB727B"/>
    <w:rsid w:val="41C71DEF"/>
    <w:rsid w:val="43E2EFD5"/>
    <w:rsid w:val="4442B37F"/>
    <w:rsid w:val="46B9D03D"/>
    <w:rsid w:val="484E9E8E"/>
    <w:rsid w:val="4A32B69B"/>
    <w:rsid w:val="4A43A0C5"/>
    <w:rsid w:val="4B67D24A"/>
    <w:rsid w:val="4BD4B66B"/>
    <w:rsid w:val="4DC70575"/>
    <w:rsid w:val="50CE8DFD"/>
    <w:rsid w:val="51A76CB4"/>
    <w:rsid w:val="51D72F40"/>
    <w:rsid w:val="520DF214"/>
    <w:rsid w:val="5230C151"/>
    <w:rsid w:val="53576AB8"/>
    <w:rsid w:val="577EECA7"/>
    <w:rsid w:val="594F4004"/>
    <w:rsid w:val="5A18D3AD"/>
    <w:rsid w:val="5B4CBC4C"/>
    <w:rsid w:val="5C32420E"/>
    <w:rsid w:val="5E2AAD84"/>
    <w:rsid w:val="5E5CD3F8"/>
    <w:rsid w:val="5EAD6A97"/>
    <w:rsid w:val="608F600E"/>
    <w:rsid w:val="60B85D98"/>
    <w:rsid w:val="62A7F944"/>
    <w:rsid w:val="63F872ED"/>
    <w:rsid w:val="657322A6"/>
    <w:rsid w:val="66D97CEF"/>
    <w:rsid w:val="68597DAD"/>
    <w:rsid w:val="68BFBA3E"/>
    <w:rsid w:val="68D65D4C"/>
    <w:rsid w:val="6BC4CCA7"/>
    <w:rsid w:val="6BD81E1B"/>
    <w:rsid w:val="6C7A2FD0"/>
    <w:rsid w:val="6D992D5C"/>
    <w:rsid w:val="6DF8D4E1"/>
    <w:rsid w:val="6F25C06D"/>
    <w:rsid w:val="6F673E61"/>
    <w:rsid w:val="71FC7DD4"/>
    <w:rsid w:val="7325E304"/>
    <w:rsid w:val="78693408"/>
    <w:rsid w:val="79285908"/>
    <w:rsid w:val="795A7A8F"/>
    <w:rsid w:val="79660D5E"/>
    <w:rsid w:val="7C6C6DDA"/>
    <w:rsid w:val="7DBD2B50"/>
    <w:rsid w:val="7EFA3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73EB6"/>
  <w15:docId w15:val="{3483064D-7BE9-412D-B62C-EFB365B7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F7"/>
    <w:pPr>
      <w:spacing w:after="220"/>
    </w:pPr>
    <w:rPr>
      <w:rFonts w:ascii="Aptos" w:hAnsi="Aptos"/>
      <w:sz w:val="24"/>
      <w:lang w:val="en-US"/>
    </w:rPr>
  </w:style>
  <w:style w:type="paragraph" w:styleId="Heading1">
    <w:name w:val="heading 1"/>
    <w:basedOn w:val="Normal"/>
    <w:next w:val="Normal"/>
    <w:link w:val="Heading1Char"/>
    <w:uiPriority w:val="9"/>
    <w:qFormat/>
    <w:rsid w:val="00E751FA"/>
    <w:pPr>
      <w:keepNext/>
      <w:keepLines/>
      <w:spacing w:after="200"/>
      <w:jc w:val="center"/>
      <w:outlineLvl w:val="0"/>
    </w:pPr>
    <w:rPr>
      <w:b/>
      <w:color w:val="114E72"/>
      <w:sz w:val="52"/>
      <w:szCs w:val="52"/>
    </w:rPr>
  </w:style>
  <w:style w:type="paragraph" w:styleId="Heading2">
    <w:name w:val="heading 2"/>
    <w:basedOn w:val="Normal"/>
    <w:next w:val="Normal"/>
    <w:uiPriority w:val="9"/>
    <w:unhideWhenUsed/>
    <w:qFormat/>
    <w:rsid w:val="002B5619"/>
    <w:pPr>
      <w:keepNext/>
      <w:keepLines/>
      <w:spacing w:after="240"/>
      <w:ind w:firstLine="14"/>
      <w:jc w:val="center"/>
      <w:outlineLvl w:val="1"/>
    </w:pPr>
    <w:rPr>
      <w:b/>
      <w:color w:val="114E72"/>
      <w:sz w:val="40"/>
      <w:szCs w:val="24"/>
    </w:rPr>
  </w:style>
  <w:style w:type="paragraph" w:styleId="Heading3">
    <w:name w:val="heading 3"/>
    <w:basedOn w:val="Normal"/>
    <w:next w:val="Normal"/>
    <w:link w:val="Heading3Char"/>
    <w:uiPriority w:val="9"/>
    <w:unhideWhenUsed/>
    <w:qFormat/>
    <w:rsid w:val="00E751FA"/>
    <w:pPr>
      <w:keepNext/>
      <w:keepLines/>
      <w:spacing w:before="240" w:after="120"/>
      <w:ind w:firstLine="14"/>
      <w:outlineLvl w:val="2"/>
    </w:pPr>
    <w:rPr>
      <w:b/>
      <w:color w:val="114E72"/>
      <w:sz w:val="36"/>
    </w:rPr>
  </w:style>
  <w:style w:type="paragraph" w:styleId="Heading4">
    <w:name w:val="heading 4"/>
    <w:basedOn w:val="Normal"/>
    <w:next w:val="Normal"/>
    <w:link w:val="Heading4Char"/>
    <w:uiPriority w:val="9"/>
    <w:unhideWhenUsed/>
    <w:qFormat/>
    <w:rsid w:val="00E751FA"/>
    <w:pPr>
      <w:keepNext/>
      <w:keepLines/>
      <w:spacing w:before="240" w:after="120"/>
      <w:outlineLvl w:val="3"/>
    </w:pPr>
    <w:rPr>
      <w:b/>
      <w:color w:val="114E72"/>
      <w:sz w:val="32"/>
    </w:rPr>
  </w:style>
  <w:style w:type="paragraph" w:styleId="Heading5">
    <w:name w:val="heading 5"/>
    <w:basedOn w:val="Normal"/>
    <w:next w:val="Normal"/>
    <w:link w:val="Heading5Char"/>
    <w:uiPriority w:val="9"/>
    <w:unhideWhenUsed/>
    <w:qFormat/>
    <w:rsid w:val="00E751FA"/>
    <w:pPr>
      <w:keepNext/>
      <w:keepLines/>
      <w:spacing w:before="240" w:after="120"/>
      <w:outlineLvl w:val="4"/>
    </w:pPr>
    <w:rPr>
      <w:i/>
      <w:color w:val="114E72"/>
      <w:sz w:val="32"/>
    </w:rPr>
  </w:style>
  <w:style w:type="paragraph" w:styleId="Heading6">
    <w:name w:val="heading 6"/>
    <w:basedOn w:val="Normal"/>
    <w:next w:val="Normal"/>
    <w:uiPriority w:val="9"/>
    <w:semiHidden/>
    <w:unhideWhenUsed/>
    <w:qFormat/>
    <w:rsid w:val="00E751FA"/>
    <w:pPr>
      <w:keepNext/>
      <w:keepLines/>
      <w:spacing w:before="240"/>
      <w:outlineLvl w:val="5"/>
    </w:pPr>
    <w:rPr>
      <w:b/>
      <w:color w:val="114E7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0720AD"/>
    <w:pPr>
      <w:spacing w:line="240" w:lineRule="auto"/>
    </w:pPr>
  </w:style>
  <w:style w:type="character" w:styleId="CommentReference">
    <w:name w:val="annotation reference"/>
    <w:basedOn w:val="DefaultParagraphFont"/>
    <w:uiPriority w:val="99"/>
    <w:semiHidden/>
    <w:unhideWhenUsed/>
    <w:rsid w:val="00BF1675"/>
    <w:rPr>
      <w:sz w:val="16"/>
      <w:szCs w:val="16"/>
    </w:rPr>
  </w:style>
  <w:style w:type="paragraph" w:styleId="CommentText">
    <w:name w:val="annotation text"/>
    <w:basedOn w:val="Normal"/>
    <w:link w:val="CommentTextChar"/>
    <w:uiPriority w:val="99"/>
    <w:unhideWhenUsed/>
    <w:rsid w:val="00BF1675"/>
    <w:pPr>
      <w:spacing w:line="240" w:lineRule="auto"/>
    </w:pPr>
    <w:rPr>
      <w:sz w:val="20"/>
      <w:szCs w:val="20"/>
    </w:rPr>
  </w:style>
  <w:style w:type="character" w:customStyle="1" w:styleId="CommentTextChar">
    <w:name w:val="Comment Text Char"/>
    <w:basedOn w:val="DefaultParagraphFont"/>
    <w:link w:val="CommentText"/>
    <w:uiPriority w:val="99"/>
    <w:rsid w:val="00BF1675"/>
    <w:rPr>
      <w:sz w:val="20"/>
      <w:szCs w:val="20"/>
    </w:rPr>
  </w:style>
  <w:style w:type="paragraph" w:styleId="CommentSubject">
    <w:name w:val="annotation subject"/>
    <w:basedOn w:val="CommentText"/>
    <w:next w:val="CommentText"/>
    <w:link w:val="CommentSubjectChar"/>
    <w:uiPriority w:val="99"/>
    <w:semiHidden/>
    <w:unhideWhenUsed/>
    <w:rsid w:val="00BF1675"/>
    <w:rPr>
      <w:b/>
      <w:bCs/>
    </w:rPr>
  </w:style>
  <w:style w:type="character" w:customStyle="1" w:styleId="CommentSubjectChar">
    <w:name w:val="Comment Subject Char"/>
    <w:basedOn w:val="CommentTextChar"/>
    <w:link w:val="CommentSubject"/>
    <w:uiPriority w:val="99"/>
    <w:semiHidden/>
    <w:rsid w:val="00BF1675"/>
    <w:rPr>
      <w:b/>
      <w:bCs/>
      <w:sz w:val="20"/>
      <w:szCs w:val="20"/>
    </w:rPr>
  </w:style>
  <w:style w:type="paragraph" w:styleId="Header">
    <w:name w:val="header"/>
    <w:basedOn w:val="Normal"/>
    <w:link w:val="HeaderChar"/>
    <w:uiPriority w:val="99"/>
    <w:unhideWhenUsed/>
    <w:rsid w:val="0083183B"/>
    <w:pPr>
      <w:tabs>
        <w:tab w:val="center" w:pos="4680"/>
        <w:tab w:val="right" w:pos="9360"/>
      </w:tabs>
      <w:spacing w:line="240" w:lineRule="auto"/>
    </w:pPr>
  </w:style>
  <w:style w:type="character" w:customStyle="1" w:styleId="HeaderChar">
    <w:name w:val="Header Char"/>
    <w:basedOn w:val="DefaultParagraphFont"/>
    <w:link w:val="Header"/>
    <w:uiPriority w:val="99"/>
    <w:rsid w:val="0083183B"/>
  </w:style>
  <w:style w:type="paragraph" w:styleId="Footer">
    <w:name w:val="footer"/>
    <w:basedOn w:val="Normal"/>
    <w:link w:val="FooterChar"/>
    <w:uiPriority w:val="99"/>
    <w:unhideWhenUsed/>
    <w:rsid w:val="0083183B"/>
    <w:pPr>
      <w:tabs>
        <w:tab w:val="center" w:pos="4680"/>
        <w:tab w:val="right" w:pos="9360"/>
      </w:tabs>
      <w:spacing w:line="240" w:lineRule="auto"/>
    </w:pPr>
  </w:style>
  <w:style w:type="character" w:customStyle="1" w:styleId="FooterChar">
    <w:name w:val="Footer Char"/>
    <w:basedOn w:val="DefaultParagraphFont"/>
    <w:link w:val="Footer"/>
    <w:uiPriority w:val="99"/>
    <w:rsid w:val="0083183B"/>
  </w:style>
  <w:style w:type="character" w:styleId="Hyperlink">
    <w:name w:val="Hyperlink"/>
    <w:basedOn w:val="DefaultParagraphFont"/>
    <w:uiPriority w:val="99"/>
    <w:unhideWhenUsed/>
    <w:rsid w:val="009639E4"/>
    <w:rPr>
      <w:color w:val="0000FF" w:themeColor="hyperlink"/>
      <w:u w:val="single"/>
    </w:rPr>
  </w:style>
  <w:style w:type="character" w:styleId="UnresolvedMention">
    <w:name w:val="Unresolved Mention"/>
    <w:basedOn w:val="DefaultParagraphFont"/>
    <w:uiPriority w:val="99"/>
    <w:semiHidden/>
    <w:unhideWhenUsed/>
    <w:rsid w:val="009639E4"/>
    <w:rPr>
      <w:color w:val="605E5C"/>
      <w:shd w:val="clear" w:color="auto" w:fill="E1DFDD"/>
    </w:rPr>
  </w:style>
  <w:style w:type="character" w:styleId="FollowedHyperlink">
    <w:name w:val="FollowedHyperlink"/>
    <w:basedOn w:val="DefaultParagraphFont"/>
    <w:uiPriority w:val="99"/>
    <w:semiHidden/>
    <w:unhideWhenUsed/>
    <w:rsid w:val="009639E4"/>
    <w:rPr>
      <w:color w:val="800080" w:themeColor="followedHyperlink"/>
      <w:u w:val="single"/>
    </w:rPr>
  </w:style>
  <w:style w:type="character" w:styleId="Mention">
    <w:name w:val="Mention"/>
    <w:basedOn w:val="DefaultParagraphFont"/>
    <w:uiPriority w:val="99"/>
    <w:unhideWhenUsed/>
    <w:rsid w:val="007F3078"/>
    <w:rPr>
      <w:color w:val="2B579A"/>
      <w:shd w:val="clear" w:color="auto" w:fill="E1DFDD"/>
    </w:rPr>
  </w:style>
  <w:style w:type="character" w:customStyle="1" w:styleId="Heading3Char">
    <w:name w:val="Heading 3 Char"/>
    <w:basedOn w:val="DefaultParagraphFont"/>
    <w:link w:val="Heading3"/>
    <w:uiPriority w:val="9"/>
    <w:rsid w:val="00014035"/>
    <w:rPr>
      <w:rFonts w:ascii="Aptos" w:hAnsi="Aptos"/>
      <w:b/>
      <w:color w:val="114E72"/>
      <w:sz w:val="36"/>
    </w:rPr>
  </w:style>
  <w:style w:type="character" w:customStyle="1" w:styleId="Heading4Char">
    <w:name w:val="Heading 4 Char"/>
    <w:basedOn w:val="DefaultParagraphFont"/>
    <w:link w:val="Heading4"/>
    <w:uiPriority w:val="9"/>
    <w:rsid w:val="00014035"/>
    <w:rPr>
      <w:rFonts w:ascii="Aptos" w:hAnsi="Aptos"/>
      <w:b/>
      <w:color w:val="114E72"/>
      <w:sz w:val="32"/>
    </w:rPr>
  </w:style>
  <w:style w:type="character" w:customStyle="1" w:styleId="Heading5Char">
    <w:name w:val="Heading 5 Char"/>
    <w:basedOn w:val="DefaultParagraphFont"/>
    <w:link w:val="Heading5"/>
    <w:uiPriority w:val="9"/>
    <w:rsid w:val="00014035"/>
    <w:rPr>
      <w:rFonts w:ascii="Aptos" w:hAnsi="Aptos"/>
      <w:i/>
      <w:color w:val="114E72"/>
      <w:sz w:val="32"/>
    </w:rPr>
  </w:style>
  <w:style w:type="paragraph" w:styleId="ListParagraph">
    <w:name w:val="List Paragraph"/>
    <w:basedOn w:val="Normal"/>
    <w:uiPriority w:val="34"/>
    <w:qFormat/>
    <w:rsid w:val="00014035"/>
    <w:pPr>
      <w:spacing w:after="120" w:line="259" w:lineRule="auto"/>
      <w:ind w:left="720"/>
    </w:pPr>
    <w:rPr>
      <w:rFonts w:eastAsiaTheme="minorHAnsi" w:cstheme="minorBidi"/>
      <w:kern w:val="2"/>
      <w14:ligatures w14:val="standardContextual"/>
    </w:rPr>
  </w:style>
  <w:style w:type="paragraph" w:customStyle="1" w:styleId="term">
    <w:name w:val="term"/>
    <w:basedOn w:val="Normal"/>
    <w:qFormat/>
    <w:rsid w:val="00CE0006"/>
    <w:pPr>
      <w:pBdr>
        <w:top w:val="single" w:sz="2" w:space="1" w:color="A6A6A6" w:themeColor="background1" w:themeShade="A6"/>
      </w:pBdr>
      <w:spacing w:before="60" w:after="60" w:line="259" w:lineRule="auto"/>
    </w:pPr>
    <w:rPr>
      <w:rFonts w:eastAsiaTheme="minorHAnsi" w:cstheme="minorBidi"/>
      <w:b/>
      <w:bCs/>
      <w:kern w:val="2"/>
      <w14:ligatures w14:val="standardContextual"/>
    </w:rPr>
  </w:style>
  <w:style w:type="paragraph" w:customStyle="1" w:styleId="definition">
    <w:name w:val="definition"/>
    <w:basedOn w:val="Normal"/>
    <w:qFormat/>
    <w:rsid w:val="00133B12"/>
    <w:pPr>
      <w:spacing w:after="120" w:line="259" w:lineRule="auto"/>
      <w:ind w:left="288"/>
    </w:pPr>
    <w:rPr>
      <w:rFonts w:eastAsiaTheme="minorHAnsi" w:cstheme="minorBidi"/>
      <w:kern w:val="2"/>
      <w14:ligatures w14:val="standardContextual"/>
    </w:rPr>
  </w:style>
  <w:style w:type="paragraph" w:customStyle="1" w:styleId="tabletext">
    <w:name w:val="table text"/>
    <w:basedOn w:val="Normal"/>
    <w:link w:val="tabletextChar"/>
    <w:qFormat/>
    <w:rsid w:val="00036A7F"/>
    <w:pPr>
      <w:spacing w:after="0"/>
    </w:pPr>
    <w:rPr>
      <w:rFonts w:eastAsia="Calibri" w:cs="Calibri"/>
    </w:rPr>
  </w:style>
  <w:style w:type="character" w:customStyle="1" w:styleId="tabletextChar">
    <w:name w:val="table text Char"/>
    <w:basedOn w:val="DefaultParagraphFont"/>
    <w:link w:val="tabletext"/>
    <w:rsid w:val="00036A7F"/>
    <w:rPr>
      <w:rFonts w:ascii="Aptos" w:eastAsia="Calibri" w:hAnsi="Aptos" w:cs="Calibri"/>
      <w:lang w:val="en-US"/>
    </w:rPr>
  </w:style>
  <w:style w:type="paragraph" w:styleId="Caption">
    <w:name w:val="caption"/>
    <w:basedOn w:val="Normal"/>
    <w:next w:val="Normal"/>
    <w:uiPriority w:val="35"/>
    <w:unhideWhenUsed/>
    <w:qFormat/>
    <w:rsid w:val="00483107"/>
    <w:pPr>
      <w:spacing w:after="120" w:line="240" w:lineRule="auto"/>
    </w:pPr>
    <w:rPr>
      <w:rFonts w:eastAsiaTheme="minorHAnsi" w:cstheme="minorBidi"/>
      <w:b/>
      <w:iCs/>
      <w:color w:val="114E72"/>
      <w:kern w:val="2"/>
      <w:szCs w:val="18"/>
      <w14:ligatures w14:val="standardContextual"/>
    </w:rPr>
  </w:style>
  <w:style w:type="paragraph" w:customStyle="1" w:styleId="beforelist">
    <w:name w:val="before list"/>
    <w:basedOn w:val="Normal"/>
    <w:link w:val="beforelistChar"/>
    <w:qFormat/>
    <w:rsid w:val="005D2104"/>
    <w:pPr>
      <w:spacing w:after="120"/>
    </w:pPr>
    <w:rPr>
      <w:szCs w:val="24"/>
    </w:rPr>
  </w:style>
  <w:style w:type="character" w:customStyle="1" w:styleId="beforelistChar">
    <w:name w:val="before list Char"/>
    <w:basedOn w:val="DefaultParagraphFont"/>
    <w:link w:val="beforelist"/>
    <w:rsid w:val="005D2104"/>
    <w:rPr>
      <w:rFonts w:ascii="Aptos" w:hAnsi="Aptos"/>
      <w:sz w:val="24"/>
      <w:szCs w:val="24"/>
      <w:lang w:val="en-US"/>
    </w:rPr>
  </w:style>
  <w:style w:type="character" w:customStyle="1" w:styleId="Heading1Char">
    <w:name w:val="Heading 1 Char"/>
    <w:basedOn w:val="DefaultParagraphFont"/>
    <w:link w:val="Heading1"/>
    <w:uiPriority w:val="9"/>
    <w:rsid w:val="00C5621A"/>
    <w:rPr>
      <w:rFonts w:ascii="Aptos" w:hAnsi="Aptos"/>
      <w:b/>
      <w:color w:val="114E72"/>
      <w:sz w:val="52"/>
      <w:szCs w:val="52"/>
    </w:rPr>
  </w:style>
  <w:style w:type="paragraph" w:customStyle="1" w:styleId="covertext">
    <w:name w:val="cover text"/>
    <w:basedOn w:val="Normal"/>
    <w:qFormat/>
    <w:rsid w:val="00C5621A"/>
    <w:pPr>
      <w:spacing w:after="120" w:line="259" w:lineRule="auto"/>
      <w:jc w:val="center"/>
    </w:pPr>
    <w:rPr>
      <w:rFonts w:asciiTheme="minorHAnsi" w:eastAsiaTheme="minorHAnsi" w:hAnsiTheme="minorHAnsi" w:cstheme="minorBidi"/>
      <w:kern w:val="2"/>
      <w:sz w:val="32"/>
      <w:szCs w:val="28"/>
      <w14:ligatures w14:val="standardContextual"/>
    </w:rPr>
  </w:style>
  <w:style w:type="paragraph" w:styleId="TOC1">
    <w:name w:val="toc 1"/>
    <w:basedOn w:val="Normal"/>
    <w:next w:val="Normal"/>
    <w:autoRedefine/>
    <w:uiPriority w:val="39"/>
    <w:unhideWhenUsed/>
    <w:rsid w:val="00A636FE"/>
    <w:pPr>
      <w:spacing w:after="100"/>
    </w:pPr>
  </w:style>
  <w:style w:type="paragraph" w:styleId="TOC2">
    <w:name w:val="toc 2"/>
    <w:basedOn w:val="Normal"/>
    <w:next w:val="Normal"/>
    <w:autoRedefine/>
    <w:uiPriority w:val="39"/>
    <w:unhideWhenUsed/>
    <w:rsid w:val="00A636FE"/>
    <w:pPr>
      <w:spacing w:after="100"/>
      <w:ind w:left="240"/>
    </w:pPr>
  </w:style>
  <w:style w:type="paragraph" w:styleId="TOC3">
    <w:name w:val="toc 3"/>
    <w:basedOn w:val="Normal"/>
    <w:next w:val="Normal"/>
    <w:autoRedefine/>
    <w:uiPriority w:val="39"/>
    <w:unhideWhenUsed/>
    <w:rsid w:val="00A636FE"/>
    <w:pPr>
      <w:spacing w:after="100"/>
      <w:ind w:left="480"/>
    </w:pPr>
  </w:style>
  <w:style w:type="paragraph" w:styleId="TOC4">
    <w:name w:val="toc 4"/>
    <w:basedOn w:val="Normal"/>
    <w:next w:val="Normal"/>
    <w:autoRedefine/>
    <w:uiPriority w:val="39"/>
    <w:unhideWhenUsed/>
    <w:rsid w:val="00A636FE"/>
    <w:pPr>
      <w:spacing w:after="100"/>
      <w:ind w:left="720"/>
    </w:pPr>
  </w:style>
  <w:style w:type="paragraph" w:styleId="TOC5">
    <w:name w:val="toc 5"/>
    <w:basedOn w:val="Normal"/>
    <w:next w:val="Normal"/>
    <w:autoRedefine/>
    <w:uiPriority w:val="39"/>
    <w:unhideWhenUsed/>
    <w:rsid w:val="00A636FE"/>
    <w:pPr>
      <w:spacing w:after="100"/>
      <w:ind w:left="960"/>
    </w:pPr>
  </w:style>
  <w:style w:type="paragraph" w:customStyle="1" w:styleId="checklistitem">
    <w:name w:val="checklist item"/>
    <w:basedOn w:val="Normal"/>
    <w:qFormat/>
    <w:rsid w:val="00700EB0"/>
    <w:pPr>
      <w:spacing w:before="360" w:after="240"/>
    </w:pPr>
    <w:rPr>
      <w:rFonts w:eastAsia="Calibri" w:cs="Segoe UI Emoji"/>
      <w:sz w:val="28"/>
      <w:szCs w:val="28"/>
    </w:rPr>
  </w:style>
  <w:style w:type="paragraph" w:styleId="FootnoteText">
    <w:name w:val="footnote text"/>
    <w:basedOn w:val="Normal"/>
    <w:link w:val="FootnoteTextChar"/>
    <w:uiPriority w:val="99"/>
    <w:semiHidden/>
    <w:unhideWhenUsed/>
    <w:rsid w:val="003D7DDC"/>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3D7DDC"/>
    <w:rPr>
      <w:rFonts w:ascii="Aptos" w:hAnsi="Aptos"/>
      <w:szCs w:val="20"/>
    </w:rPr>
  </w:style>
  <w:style w:type="character" w:styleId="FootnoteReference">
    <w:name w:val="footnote reference"/>
    <w:basedOn w:val="DefaultParagraphFont"/>
    <w:uiPriority w:val="99"/>
    <w:semiHidden/>
    <w:unhideWhenUsed/>
    <w:rsid w:val="00CB1A7F"/>
    <w:rPr>
      <w:vertAlign w:val="superscript"/>
    </w:rPr>
  </w:style>
  <w:style w:type="paragraph" w:styleId="TOCHeading">
    <w:name w:val="TOC Heading"/>
    <w:basedOn w:val="Heading1"/>
    <w:next w:val="Normal"/>
    <w:uiPriority w:val="39"/>
    <w:unhideWhenUsed/>
    <w:qFormat/>
    <w:rsid w:val="00072BF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61734">
      <w:bodyDiv w:val="1"/>
      <w:marLeft w:val="0"/>
      <w:marRight w:val="0"/>
      <w:marTop w:val="0"/>
      <w:marBottom w:val="0"/>
      <w:divBdr>
        <w:top w:val="none" w:sz="0" w:space="0" w:color="auto"/>
        <w:left w:val="none" w:sz="0" w:space="0" w:color="auto"/>
        <w:bottom w:val="none" w:sz="0" w:space="0" w:color="auto"/>
        <w:right w:val="none" w:sz="0" w:space="0" w:color="auto"/>
      </w:divBdr>
    </w:div>
    <w:div w:id="500776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learning.easygenerator.com/0d262ae4-1bff-43e5-9538-a6573811f7a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j.gov/education/lea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ocs.google.com/document/d/1E2FcfucHDXE2M13yBiulyuEBVdmtO6c-KvpE3RbBAKo/copy" TargetMode="External"/><Relationship Id="rId25" Type="http://schemas.openxmlformats.org/officeDocument/2006/relationships/hyperlink" Target="https://nj.gov/education/lear/"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rutgers.mediaspace.kaltura.com/media/5.5+Mapping+Tier+1+Instructional+Guidelines/1_ss48k4c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document/d/1E2FcfucHDXE2M13yBiulyuEBVdmtO6c-KvpE3RbBAKo/copy" TargetMode="External"/><Relationship Id="rId22" Type="http://schemas.openxmlformats.org/officeDocument/2006/relationships/hyperlink" Target="https://spanadvocacy.org/programs/start/njts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0D0524156646428E868F745AF5A2A4" ma:contentTypeVersion="10" ma:contentTypeDescription="Create a new document." ma:contentTypeScope="" ma:versionID="71fdb1fdfe791b58cd7853aec751b83e">
  <xsd:schema xmlns:xsd="http://www.w3.org/2001/XMLSchema" xmlns:xs="http://www.w3.org/2001/XMLSchema" xmlns:p="http://schemas.microsoft.com/office/2006/metadata/properties" xmlns:ns3="5130d1ee-9526-4678-943f-2459054d18a0" targetNamespace="http://schemas.microsoft.com/office/2006/metadata/properties" ma:root="true" ma:fieldsID="6317a8d337aca5677b0d115c792f3ba3" ns3:_="">
    <xsd:import namespace="5130d1ee-9526-4678-943f-2459054d18a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0d1ee-9526-4678-943f-2459054d18a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130d1ee-9526-4678-943f-2459054d18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638E9-49C6-43A9-B5D8-6CE05880D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0d1ee-9526-4678-943f-2459054d1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800B1-4BA0-4E38-9CD7-2A9CF90BACB3}">
  <ds:schemaRefs>
    <ds:schemaRef ds:uri="http://schemas.microsoft.com/office/2006/metadata/properties"/>
    <ds:schemaRef ds:uri="http://schemas.microsoft.com/office/infopath/2007/PartnerControls"/>
    <ds:schemaRef ds:uri="5130d1ee-9526-4678-943f-2459054d18a0"/>
  </ds:schemaRefs>
</ds:datastoreItem>
</file>

<file path=customXml/itemProps3.xml><?xml version="1.0" encoding="utf-8"?>
<ds:datastoreItem xmlns:ds="http://schemas.openxmlformats.org/officeDocument/2006/customXml" ds:itemID="{8D9B3FEB-6638-4BE5-9A17-D249C390C636}">
  <ds:schemaRefs>
    <ds:schemaRef ds:uri="http://schemas.microsoft.com/sharepoint/v3/contenttype/forms"/>
  </ds:schemaRefs>
</ds:datastoreItem>
</file>

<file path=customXml/itemProps4.xml><?xml version="1.0" encoding="utf-8"?>
<ds:datastoreItem xmlns:ds="http://schemas.openxmlformats.org/officeDocument/2006/customXml" ds:itemID="{927D870A-5988-4BF9-9A6F-9186AEB8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3479</Words>
  <Characters>19833</Characters>
  <Application>Microsoft Office Word</Application>
  <DocSecurity>0</DocSecurity>
  <Lines>165</Lines>
  <Paragraphs>46</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The New Jersey Literacy Framework: A Guide to High Quality Instructional Materials</vt:lpstr>
      <vt:lpstr>Appendices for the  New Jersey Literacy Framework:  A Guide to High Quality  Ins</vt:lpstr>
      <vt:lpstr>    Table of Contents</vt:lpstr>
      <vt:lpstr>    Appendix A—HQIM Rubric</vt:lpstr>
      <vt:lpstr>        Criterion 1: Assess Whether Students’ Needs are Met and Analyze Evidence of HQIM</vt:lpstr>
      <vt:lpstr>        Criterion 2: Consider Suitability for Diverse Learners, Accessibility, and Local</vt:lpstr>
      <vt:lpstr>        Additional Considerations</vt:lpstr>
      <vt:lpstr>        Definitions</vt:lpstr>
      <vt:lpstr>    Appendix B—HQIM Implementation Checklist</vt:lpstr>
      <vt:lpstr>        Phase 1: Strategic Leadership &amp; Readiness</vt:lpstr>
      <vt:lpstr>        Phase 2: Informed Selection &amp; Implementation</vt:lpstr>
      <vt:lpstr>        Phase 3: Continuous Improvement &amp; Sustainability</vt:lpstr>
      <vt:lpstr>    Appendix C.1—HQIM Family 2-pager</vt:lpstr>
      <vt:lpstr>        Purpose</vt:lpstr>
      <vt:lpstr>        What Are High-Quality Instructional Materials?</vt:lpstr>
      <vt:lpstr>        Why It Matters</vt:lpstr>
      <vt:lpstr>        What Families Should Know</vt:lpstr>
      <vt:lpstr>        What You Can Expect</vt:lpstr>
      <vt:lpstr>        How Families Can Stay Involved</vt:lpstr>
      <vt:lpstr>    Appendix C.2—HQIM Educator 2-pager</vt:lpstr>
      <vt:lpstr>        Purpose</vt:lpstr>
      <vt:lpstr>        What Are High-Quality Instructional Materials?</vt:lpstr>
      <vt:lpstr>        Why HQIM Matter</vt:lpstr>
      <vt:lpstr>        What HQIM Should Include</vt:lpstr>
      <vt:lpstr>        Selecting HQIM</vt:lpstr>
      <vt:lpstr>        Implementing HQIM in the Classroom</vt:lpstr>
      <vt:lpstr>        HQIM and Tiered Instruction</vt:lpstr>
      <vt:lpstr>        Sustaining and Improving HQIM Use</vt:lpstr>
      <vt:lpstr>        </vt:lpstr>
    </vt:vector>
  </TitlesOfParts>
  <Company/>
  <LinksUpToDate>false</LinksUpToDate>
  <CharactersWithSpaces>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Jersey Literacy Framework: HQIM Appendices</dc:title>
  <dc:subject/>
  <dc:creator>New Jersey Department of Education</dc:creator>
  <cp:keywords/>
  <cp:lastModifiedBy>Thomas, Elizabeth</cp:lastModifiedBy>
  <cp:revision>10</cp:revision>
  <dcterms:created xsi:type="dcterms:W3CDTF">2025-07-24T18:16:00Z</dcterms:created>
  <dcterms:modified xsi:type="dcterms:W3CDTF">2025-07-24T19:07:00Z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0x010100290D0524156646428E868F745AF5A2A4</vt:lpwstr>
  </property>
</Properties>
</file>