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FDF1DF" w14:textId="1F18BAC5" w:rsidR="00970FA4" w:rsidRPr="002655C0" w:rsidRDefault="00970FA4" w:rsidP="00562B91">
      <w:pPr>
        <w:pStyle w:val="NoSpacing"/>
        <w:spacing w:after="1480"/>
      </w:pPr>
      <w:r>
        <w:rPr>
          <w:noProof/>
        </w:rPr>
        <w:drawing>
          <wp:inline distT="0" distB="0" distL="0" distR="0" wp14:anchorId="4D33ABCC" wp14:editId="69A5F79A">
            <wp:extent cx="6718248" cy="1805940"/>
            <wp:effectExtent l="0" t="0" r="6985" b="3810"/>
            <wp:docPr id="120641634" name="Picture 120641634" descr="Letterhead: State of New Jersey, Department of Education, PO Box 500, Trenton, NJ, 08625-0500. Mikie Sherrill, Governor; Dr. Dale G. Caldwell, Lt. Governor; Kevin Dehmer, 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etterhead: State of New Jersey, Department of Education, PO Box 500, Trenton, NJ, 08625-0500. Mikie Sherrill, Governor; Dr. Dale G. Caldwell, Lt. Governor; Kevin Dehmer, Commissioner."/>
                    <pic:cNvPicPr/>
                  </pic:nvPicPr>
                  <pic:blipFill>
                    <a:blip r:embed="rId8" cstate="print">
                      <a:extLst>
                        <a:ext uri="{28A0092B-C50C-407E-A947-70E740481C1C}">
                          <a14:useLocalDpi xmlns:a14="http://schemas.microsoft.com/office/drawing/2010/main" val="0"/>
                        </a:ext>
                      </a:extLst>
                    </a:blip>
                    <a:stretch>
                      <a:fillRect/>
                    </a:stretch>
                  </pic:blipFill>
                  <pic:spPr>
                    <a:xfrm>
                      <a:off x="0" y="0"/>
                      <a:ext cx="6718248" cy="1805940"/>
                    </a:xfrm>
                    <a:prstGeom prst="rect">
                      <a:avLst/>
                    </a:prstGeom>
                  </pic:spPr>
                </pic:pic>
              </a:graphicData>
            </a:graphic>
          </wp:inline>
        </w:drawing>
      </w:r>
    </w:p>
    <w:p w14:paraId="0CE60888" w14:textId="12C1D9A8" w:rsidR="00B02CF0" w:rsidRDefault="00B02CF0" w:rsidP="002655C0">
      <w:pPr>
        <w:pStyle w:val="NoSpacing"/>
        <w:tabs>
          <w:tab w:val="left" w:pos="1800"/>
        </w:tabs>
        <w:spacing w:line="480" w:lineRule="auto"/>
      </w:pPr>
      <w:r w:rsidRPr="00DB7976">
        <w:rPr>
          <w:b/>
          <w:bCs/>
        </w:rPr>
        <w:t>To:</w:t>
      </w:r>
      <w:r>
        <w:tab/>
        <w:t>All Interested Bidders</w:t>
      </w:r>
    </w:p>
    <w:p w14:paraId="0722D445" w14:textId="31C7BD73" w:rsidR="00B02CF0" w:rsidRDefault="00B02CF0" w:rsidP="002655C0">
      <w:pPr>
        <w:pStyle w:val="NoSpacing"/>
        <w:tabs>
          <w:tab w:val="left" w:pos="1800"/>
        </w:tabs>
        <w:spacing w:line="480" w:lineRule="auto"/>
      </w:pPr>
      <w:r w:rsidRPr="00DB7976">
        <w:rPr>
          <w:b/>
          <w:bCs/>
        </w:rPr>
        <w:t>From:</w:t>
      </w:r>
      <w:r>
        <w:tab/>
        <w:t>Office of Budget and Accounting</w:t>
      </w:r>
    </w:p>
    <w:p w14:paraId="002104EB" w14:textId="64A08CA1" w:rsidR="00B02CF0" w:rsidRDefault="00B02CF0" w:rsidP="002655C0">
      <w:pPr>
        <w:pStyle w:val="NoSpacing"/>
        <w:tabs>
          <w:tab w:val="left" w:pos="1800"/>
        </w:tabs>
        <w:spacing w:line="480" w:lineRule="auto"/>
      </w:pPr>
      <w:r w:rsidRPr="00DB7976">
        <w:rPr>
          <w:b/>
          <w:bCs/>
        </w:rPr>
        <w:t>Date:</w:t>
      </w:r>
      <w:r>
        <w:tab/>
      </w:r>
      <w:r w:rsidR="00970FA4">
        <w:t>February 2, 2026</w:t>
      </w:r>
    </w:p>
    <w:p w14:paraId="4F1F380B" w14:textId="6582C93A" w:rsidR="00970FA4" w:rsidRPr="002655C0" w:rsidRDefault="00970FA4" w:rsidP="002655C0">
      <w:pPr>
        <w:pStyle w:val="NoSpacing"/>
        <w:tabs>
          <w:tab w:val="left" w:pos="1800"/>
        </w:tabs>
        <w:spacing w:after="360"/>
        <w:ind w:left="1800" w:hanging="1800"/>
        <w:rPr>
          <w:b/>
          <w:bCs/>
        </w:rPr>
      </w:pPr>
      <w:r>
        <w:rPr>
          <w:b/>
          <w:bCs/>
        </w:rPr>
        <w:t>Re:</w:t>
      </w:r>
      <w:r>
        <w:rPr>
          <w:b/>
          <w:bCs/>
        </w:rPr>
        <w:tab/>
        <w:t>Bid Solicitation (</w:t>
      </w:r>
      <w:proofErr w:type="gramStart"/>
      <w:r>
        <w:rPr>
          <w:b/>
          <w:bCs/>
        </w:rPr>
        <w:t>RFQ) #</w:t>
      </w:r>
      <w:proofErr w:type="gramEnd"/>
      <w:r>
        <w:rPr>
          <w:b/>
          <w:bCs/>
        </w:rPr>
        <w:t xml:space="preserve"> 26-006</w:t>
      </w:r>
      <w:r w:rsidR="002655C0">
        <w:rPr>
          <w:b/>
          <w:bCs/>
        </w:rPr>
        <w:br/>
      </w:r>
      <w:r w:rsidRPr="00970FA4">
        <w:t>PDF</w:t>
      </w:r>
      <w:r>
        <w:t xml:space="preserve"> </w:t>
      </w:r>
      <w:r w:rsidRPr="00970FA4">
        <w:t>Remediation and Document Accessibility Training</w:t>
      </w:r>
    </w:p>
    <w:p w14:paraId="31E7240A" w14:textId="74E3E427" w:rsidR="00970FA4" w:rsidRPr="00970FA4" w:rsidRDefault="00970FA4" w:rsidP="00562B91">
      <w:pPr>
        <w:pStyle w:val="NoSpacing"/>
        <w:spacing w:after="120"/>
        <w:rPr>
          <w:b/>
          <w:bCs/>
        </w:rPr>
      </w:pPr>
      <w:r w:rsidRPr="00970FA4">
        <w:rPr>
          <w:b/>
          <w:bCs/>
        </w:rPr>
        <w:t xml:space="preserve">Quote {Proposal} Submission Due Date: </w:t>
      </w:r>
      <w:r>
        <w:rPr>
          <w:b/>
          <w:bCs/>
        </w:rPr>
        <w:t>February</w:t>
      </w:r>
      <w:r w:rsidRPr="00970FA4">
        <w:rPr>
          <w:b/>
          <w:bCs/>
        </w:rPr>
        <w:t xml:space="preserve"> 20, 20</w:t>
      </w:r>
      <w:r>
        <w:rPr>
          <w:b/>
          <w:bCs/>
        </w:rPr>
        <w:t>26</w:t>
      </w:r>
      <w:r w:rsidRPr="00970FA4">
        <w:rPr>
          <w:b/>
          <w:bCs/>
        </w:rPr>
        <w:t xml:space="preserve"> (2:00 p.m. ET)</w:t>
      </w:r>
    </w:p>
    <w:p w14:paraId="32D32B4D" w14:textId="088AC360" w:rsidR="00970FA4" w:rsidRPr="00576A99" w:rsidRDefault="00970FA4" w:rsidP="002655C0">
      <w:pPr>
        <w:pStyle w:val="NoSpacing"/>
        <w:spacing w:after="240"/>
        <w:rPr>
          <w:b/>
          <w:bCs/>
          <w:color w:val="C00000"/>
        </w:rPr>
      </w:pPr>
      <w:r w:rsidRPr="00576A99">
        <w:rPr>
          <w:b/>
          <w:bCs/>
          <w:color w:val="C00000"/>
        </w:rPr>
        <w:t>R</w:t>
      </w:r>
      <w:r w:rsidR="00562B91">
        <w:rPr>
          <w:b/>
          <w:bCs/>
          <w:color w:val="C00000"/>
        </w:rPr>
        <w:t xml:space="preserve">evised </w:t>
      </w:r>
      <w:r w:rsidRPr="00576A99">
        <w:rPr>
          <w:b/>
          <w:bCs/>
          <w:color w:val="C00000"/>
        </w:rPr>
        <w:t xml:space="preserve">Quote {Proposal} Submission Due Date: March </w:t>
      </w:r>
      <w:r w:rsidR="001E479B" w:rsidRPr="00576A99">
        <w:rPr>
          <w:b/>
          <w:bCs/>
          <w:color w:val="C00000"/>
        </w:rPr>
        <w:t>6</w:t>
      </w:r>
      <w:r w:rsidRPr="00576A99">
        <w:rPr>
          <w:b/>
          <w:bCs/>
          <w:color w:val="C00000"/>
        </w:rPr>
        <w:t>, 2026 (2:00 p.m. ET)</w:t>
      </w:r>
    </w:p>
    <w:p w14:paraId="73B90914" w14:textId="22D73E55" w:rsidR="00970FA4" w:rsidRPr="002655C0" w:rsidRDefault="00970FA4" w:rsidP="002655C0">
      <w:pPr>
        <w:pStyle w:val="Heading1"/>
      </w:pPr>
      <w:r w:rsidRPr="002655C0">
        <w:t>Bid Amendment {Addendum} #01</w:t>
      </w:r>
    </w:p>
    <w:p w14:paraId="7CD33AF3" w14:textId="0A4C7E6B" w:rsidR="00970FA4" w:rsidRDefault="00970FA4" w:rsidP="002655C0">
      <w:pPr>
        <w:pStyle w:val="NoSpacing"/>
        <w:spacing w:after="120"/>
      </w:pPr>
      <w:r>
        <w:t xml:space="preserve">The following constitutes Bid </w:t>
      </w:r>
      <w:proofErr w:type="gramStart"/>
      <w:r>
        <w:t>Amendment {Addendum} #</w:t>
      </w:r>
      <w:proofErr w:type="gramEnd"/>
      <w:r>
        <w:t xml:space="preserve">01 to the above </w:t>
      </w:r>
      <w:proofErr w:type="gramStart"/>
      <w:r>
        <w:t>referenced</w:t>
      </w:r>
      <w:proofErr w:type="gramEnd"/>
      <w:r>
        <w:t xml:space="preserve"> Bid Solicitation {RFP}:</w:t>
      </w:r>
    </w:p>
    <w:p w14:paraId="18C9F742" w14:textId="63CAE912" w:rsidR="00970FA4" w:rsidRDefault="00970FA4" w:rsidP="002655C0">
      <w:pPr>
        <w:pStyle w:val="NoSpacing"/>
        <w:numPr>
          <w:ilvl w:val="0"/>
          <w:numId w:val="5"/>
        </w:numPr>
        <w:spacing w:after="240"/>
      </w:pPr>
      <w:r w:rsidRPr="00970FA4">
        <w:t xml:space="preserve">This Bid Amendment {Addendum} includes answers to questions. </w:t>
      </w:r>
    </w:p>
    <w:p w14:paraId="178E212E" w14:textId="7A5C3439" w:rsidR="00970FA4" w:rsidRDefault="00970FA4" w:rsidP="00450E20">
      <w:pPr>
        <w:pStyle w:val="NoSpacing"/>
        <w:spacing w:after="240"/>
      </w:pPr>
      <w:r>
        <w:t xml:space="preserve">It is the sole responsibility of the Vendor {Bidder} to be knowledgeable of </w:t>
      </w:r>
      <w:proofErr w:type="gramStart"/>
      <w:r>
        <w:t>all of</w:t>
      </w:r>
      <w:proofErr w:type="gramEnd"/>
      <w:r>
        <w:t xml:space="preserve"> the additions, deletions, clarifications, and modifications to the Bid Solicitation {RFQ} and/or the New Jersey Standard Terms and Conditions relative to this Bid Solicitation {RFQ} as set forth in all Bid Amendments {Addenda}. </w:t>
      </w:r>
    </w:p>
    <w:p w14:paraId="4914D653" w14:textId="3F6F1075" w:rsidR="002655C0" w:rsidRDefault="00970FA4" w:rsidP="00450E20">
      <w:pPr>
        <w:pStyle w:val="NoSpacing"/>
      </w:pPr>
      <w:r>
        <w:t>All other instructions, terms, and conditions of the Bid Solicitation {RFQ} shall remain the same.</w:t>
      </w:r>
      <w:r w:rsidR="002655C0">
        <w:br w:type="page"/>
      </w:r>
    </w:p>
    <w:p w14:paraId="1CD94002" w14:textId="34402385" w:rsidR="00970FA4" w:rsidRPr="002655C0" w:rsidRDefault="00970FA4" w:rsidP="002655C0">
      <w:pPr>
        <w:pStyle w:val="Heading2"/>
        <w:spacing w:after="240"/>
      </w:pPr>
      <w:r w:rsidRPr="002655C0">
        <w:lastRenderedPageBreak/>
        <w:t>PDF Remediation and Document Accessibility Training</w:t>
      </w:r>
      <w:r w:rsidR="002655C0">
        <w:br/>
      </w:r>
      <w:r w:rsidRPr="002655C0">
        <w:t>Bid Solicitation {RFQ} Number: 26-006</w:t>
      </w:r>
    </w:p>
    <w:p w14:paraId="58D9714B" w14:textId="6750B567" w:rsidR="00970FA4" w:rsidRPr="002655C0" w:rsidRDefault="00970FA4" w:rsidP="002655C0">
      <w:pPr>
        <w:pStyle w:val="Heading3"/>
      </w:pPr>
      <w:r w:rsidRPr="002655C0">
        <w:t>Answers to Questions</w:t>
      </w:r>
    </w:p>
    <w:p w14:paraId="49889E04" w14:textId="7AFF8DB2" w:rsidR="00676B8E" w:rsidRDefault="00970FA4" w:rsidP="002655C0">
      <w:pPr>
        <w:pStyle w:val="NoSpacing"/>
        <w:spacing w:after="360"/>
      </w:pPr>
      <w:r w:rsidRPr="00970FA4">
        <w:t>Note: Each question is referenced by the appropriate Bid Solicitation {RF</w:t>
      </w:r>
      <w:r>
        <w:t>Q</w:t>
      </w:r>
      <w:r w:rsidRPr="00970FA4">
        <w:t xml:space="preserve">} page number(s) and section where applicable. </w:t>
      </w:r>
    </w:p>
    <w:tbl>
      <w:tblPr>
        <w:tblStyle w:val="TableGrid"/>
        <w:tblW w:w="9501" w:type="dxa"/>
        <w:jc w:val="center"/>
        <w:tblLook w:val="04A0" w:firstRow="1" w:lastRow="0" w:firstColumn="1" w:lastColumn="0" w:noHBand="0" w:noVBand="1"/>
      </w:tblPr>
      <w:tblGrid>
        <w:gridCol w:w="473"/>
        <w:gridCol w:w="740"/>
        <w:gridCol w:w="1572"/>
        <w:gridCol w:w="6716"/>
      </w:tblGrid>
      <w:tr w:rsidR="00676B8E" w14:paraId="2BCD8326" w14:textId="77777777" w:rsidTr="002655C0">
        <w:trPr>
          <w:tblHeader/>
          <w:jc w:val="center"/>
        </w:trPr>
        <w:tc>
          <w:tcPr>
            <w:tcW w:w="473" w:type="dxa"/>
            <w:shd w:val="clear" w:color="auto" w:fill="D9D9D9" w:themeFill="background1" w:themeFillShade="D9"/>
          </w:tcPr>
          <w:p w14:paraId="715C51D6" w14:textId="4B18FB9C" w:rsidR="00676B8E" w:rsidRPr="00676B8E" w:rsidRDefault="00676B8E" w:rsidP="002655C0">
            <w:pPr>
              <w:pStyle w:val="NoSpacing"/>
              <w:rPr>
                <w:b/>
                <w:bCs/>
              </w:rPr>
            </w:pPr>
            <w:r w:rsidRPr="00676B8E">
              <w:rPr>
                <w:b/>
                <w:bCs/>
              </w:rPr>
              <w:t>#</w:t>
            </w:r>
          </w:p>
        </w:tc>
        <w:tc>
          <w:tcPr>
            <w:tcW w:w="740" w:type="dxa"/>
            <w:shd w:val="clear" w:color="auto" w:fill="D9D9D9" w:themeFill="background1" w:themeFillShade="D9"/>
          </w:tcPr>
          <w:p w14:paraId="7DBC85FC" w14:textId="4C208FEE" w:rsidR="00676B8E" w:rsidRPr="00676B8E" w:rsidRDefault="00676B8E" w:rsidP="002655C0">
            <w:pPr>
              <w:pStyle w:val="NoSpacing"/>
              <w:rPr>
                <w:b/>
                <w:bCs/>
              </w:rPr>
            </w:pPr>
            <w:r w:rsidRPr="00676B8E">
              <w:rPr>
                <w:b/>
                <w:bCs/>
              </w:rPr>
              <w:t>Page</w:t>
            </w:r>
            <w:r w:rsidR="002655C0">
              <w:rPr>
                <w:b/>
                <w:bCs/>
              </w:rPr>
              <w:t xml:space="preserve"> </w:t>
            </w:r>
            <w:r w:rsidRPr="00676B8E">
              <w:rPr>
                <w:b/>
                <w:bCs/>
              </w:rPr>
              <w:t>#</w:t>
            </w:r>
          </w:p>
        </w:tc>
        <w:tc>
          <w:tcPr>
            <w:tcW w:w="1572" w:type="dxa"/>
            <w:shd w:val="clear" w:color="auto" w:fill="D9D9D9" w:themeFill="background1" w:themeFillShade="D9"/>
          </w:tcPr>
          <w:p w14:paraId="446D0F81" w14:textId="21607E17" w:rsidR="00676B8E" w:rsidRPr="00676B8E" w:rsidRDefault="00676B8E" w:rsidP="002655C0">
            <w:pPr>
              <w:pStyle w:val="NoSpacing"/>
              <w:rPr>
                <w:b/>
                <w:bCs/>
              </w:rPr>
            </w:pPr>
            <w:r w:rsidRPr="00676B8E">
              <w:rPr>
                <w:b/>
                <w:bCs/>
              </w:rPr>
              <w:t>RFQ Section Reference</w:t>
            </w:r>
          </w:p>
        </w:tc>
        <w:tc>
          <w:tcPr>
            <w:tcW w:w="6716" w:type="dxa"/>
            <w:shd w:val="clear" w:color="auto" w:fill="D9D9D9" w:themeFill="background1" w:themeFillShade="D9"/>
          </w:tcPr>
          <w:p w14:paraId="26F8A48D" w14:textId="3C2698E1" w:rsidR="00676B8E" w:rsidRPr="00676B8E" w:rsidRDefault="00676B8E" w:rsidP="002655C0">
            <w:pPr>
              <w:pStyle w:val="NoSpacing"/>
              <w:rPr>
                <w:b/>
                <w:bCs/>
              </w:rPr>
            </w:pPr>
            <w:r>
              <w:rPr>
                <w:b/>
                <w:bCs/>
              </w:rPr>
              <w:t>Question (Bolded) and Answer</w:t>
            </w:r>
          </w:p>
        </w:tc>
      </w:tr>
      <w:tr w:rsidR="00676B8E" w14:paraId="351598B2" w14:textId="77777777" w:rsidTr="00676B8E">
        <w:trPr>
          <w:jc w:val="center"/>
        </w:trPr>
        <w:tc>
          <w:tcPr>
            <w:tcW w:w="473" w:type="dxa"/>
          </w:tcPr>
          <w:p w14:paraId="062D1F0D" w14:textId="5E535D8B" w:rsidR="00676B8E" w:rsidRDefault="00676B8E" w:rsidP="00970FA4">
            <w:pPr>
              <w:pStyle w:val="NoSpacing"/>
            </w:pPr>
            <w:r>
              <w:t>1</w:t>
            </w:r>
          </w:p>
        </w:tc>
        <w:tc>
          <w:tcPr>
            <w:tcW w:w="740" w:type="dxa"/>
          </w:tcPr>
          <w:p w14:paraId="0C0CEBD3" w14:textId="78ECFA5F" w:rsidR="00676B8E" w:rsidRDefault="00676B8E" w:rsidP="00970FA4">
            <w:pPr>
              <w:pStyle w:val="NoSpacing"/>
            </w:pPr>
            <w:r>
              <w:t>13</w:t>
            </w:r>
          </w:p>
        </w:tc>
        <w:tc>
          <w:tcPr>
            <w:tcW w:w="1572" w:type="dxa"/>
          </w:tcPr>
          <w:p w14:paraId="69A05E7F" w14:textId="77777777" w:rsidR="00676B8E" w:rsidRDefault="00676B8E" w:rsidP="00970FA4">
            <w:pPr>
              <w:pStyle w:val="NoSpacing"/>
            </w:pPr>
            <w:r>
              <w:t>Section 3.17</w:t>
            </w:r>
          </w:p>
          <w:p w14:paraId="66BFB6AC" w14:textId="04B9AF2A" w:rsidR="00676B8E" w:rsidRDefault="00676B8E" w:rsidP="00970FA4">
            <w:pPr>
              <w:pStyle w:val="NoSpacing"/>
            </w:pPr>
            <w:r w:rsidRPr="00676B8E">
              <w:t>Financial Capability of the Bidder</w:t>
            </w:r>
          </w:p>
        </w:tc>
        <w:tc>
          <w:tcPr>
            <w:tcW w:w="6716" w:type="dxa"/>
          </w:tcPr>
          <w:p w14:paraId="5A2A1933" w14:textId="476CFE67" w:rsidR="00676B8E" w:rsidRPr="00676B8E" w:rsidRDefault="00676B8E" w:rsidP="002655C0">
            <w:pPr>
              <w:pStyle w:val="NoSpacing"/>
              <w:spacing w:after="240"/>
              <w:rPr>
                <w:b/>
                <w:bCs/>
              </w:rPr>
            </w:pPr>
            <w:r w:rsidRPr="00676B8E">
              <w:rPr>
                <w:b/>
                <w:bCs/>
              </w:rPr>
              <w:t>The RFQ states: "For privately held companies the Bidder should provide the certified financial statement (audited or reviewed) in accordance with applicable standards by an independent Certified Public Accountant, including a balance sheet, income statement, and statement of cash flow, and all applicable notes for the most recent calendar year or the Bidder’s most recent fiscal year." Are bidders required to submit all three documents, i.e., balance sheet, income statement, and statement of cash flow?</w:t>
            </w:r>
          </w:p>
          <w:p w14:paraId="63CFC717" w14:textId="4B1C155F" w:rsidR="00676B8E" w:rsidRPr="00676B8E" w:rsidRDefault="00676B8E" w:rsidP="002655C0">
            <w:pPr>
              <w:spacing w:after="240"/>
            </w:pPr>
            <w:r w:rsidRPr="00676B8E">
              <w:t>Pursuant to Section 3.17 F</w:t>
            </w:r>
            <w:r w:rsidRPr="00676B8E">
              <w:rPr>
                <w:i/>
                <w:iCs/>
              </w:rPr>
              <w:t>inancial Capability of the Bidder</w:t>
            </w:r>
            <w:r w:rsidRPr="00676B8E">
              <w:t xml:space="preserve"> of the RFQ, the State requires that the Bidder should provide sufficient financial information to enable the State to assess the financial strength and creditworthiness of the Bidder and its ability to undertake and successfully complete the Contract. The Bidder is to determine what documents are needed to meet this requirement.</w:t>
            </w:r>
          </w:p>
        </w:tc>
      </w:tr>
      <w:tr w:rsidR="00676B8E" w14:paraId="388857A8" w14:textId="77777777" w:rsidTr="00676B8E">
        <w:trPr>
          <w:jc w:val="center"/>
        </w:trPr>
        <w:tc>
          <w:tcPr>
            <w:tcW w:w="473" w:type="dxa"/>
          </w:tcPr>
          <w:p w14:paraId="77417D4B" w14:textId="1C15A8E0" w:rsidR="00676B8E" w:rsidRDefault="00676B8E" w:rsidP="002655C0">
            <w:pPr>
              <w:pStyle w:val="NoSpacing"/>
              <w:spacing w:after="240"/>
            </w:pPr>
            <w:r>
              <w:t>2</w:t>
            </w:r>
          </w:p>
        </w:tc>
        <w:tc>
          <w:tcPr>
            <w:tcW w:w="740" w:type="dxa"/>
          </w:tcPr>
          <w:p w14:paraId="2670A434" w14:textId="154DE358" w:rsidR="00676B8E" w:rsidRDefault="00676B8E" w:rsidP="002655C0">
            <w:pPr>
              <w:pStyle w:val="NoSpacing"/>
              <w:spacing w:after="240"/>
            </w:pPr>
            <w:r>
              <w:t>28</w:t>
            </w:r>
          </w:p>
        </w:tc>
        <w:tc>
          <w:tcPr>
            <w:tcW w:w="1572" w:type="dxa"/>
          </w:tcPr>
          <w:p w14:paraId="4A581F67" w14:textId="571523FE" w:rsidR="00676B8E" w:rsidRDefault="00676B8E" w:rsidP="002655C0">
            <w:pPr>
              <w:pStyle w:val="NoSpacing"/>
              <w:spacing w:after="240"/>
            </w:pPr>
            <w:r w:rsidRPr="00676B8E">
              <w:t>Section 5.7 Procurement Efficiency Program</w:t>
            </w:r>
          </w:p>
        </w:tc>
        <w:tc>
          <w:tcPr>
            <w:tcW w:w="6716" w:type="dxa"/>
          </w:tcPr>
          <w:p w14:paraId="0A8B85C3" w14:textId="108E8ABC" w:rsidR="00676B8E" w:rsidRPr="002655C0" w:rsidRDefault="00676B8E" w:rsidP="002655C0">
            <w:pPr>
              <w:pStyle w:val="NoSpacing"/>
              <w:spacing w:after="240"/>
              <w:rPr>
                <w:b/>
                <w:bCs/>
              </w:rPr>
            </w:pPr>
            <w:r w:rsidRPr="00F658FC">
              <w:rPr>
                <w:b/>
                <w:bCs/>
              </w:rPr>
              <w:t>The RFQ states: "Procurement Efficiency Program Fee — For all purchases made under this Contract, that have been invoiced, the Contractor shall remit the Procurement Efficiency Program Fee in the amount of one percent (1%) of all Purchases to Periscope acting on behalf of the State of New Jersey." Please clarify this requirement. Should bidder factor in the Procurement Efficiency Program Fee in their pricing?</w:t>
            </w:r>
          </w:p>
          <w:p w14:paraId="5CF18240" w14:textId="563D8DF0" w:rsidR="00676B8E" w:rsidRDefault="00676B8E" w:rsidP="002655C0">
            <w:pPr>
              <w:pStyle w:val="NoSpacing"/>
              <w:spacing w:after="240"/>
            </w:pPr>
            <w:r w:rsidRPr="00F658FC">
              <w:t xml:space="preserve">The Procurement Efficiency Program (PEP) was established through NJAC 17:12-1.5 to create a sustainable funding model for the State of New Jersey’s procurement operations. The PEP and related initiatives have been implemented in partnership with Periscope, an </w:t>
            </w:r>
            <w:proofErr w:type="spellStart"/>
            <w:r w:rsidRPr="00F658FC">
              <w:t>mdf</w:t>
            </w:r>
            <w:proofErr w:type="spellEnd"/>
            <w:r w:rsidRPr="00F658FC">
              <w:t xml:space="preserve"> commerce company. Pursuant to RFQ, Section 5.7, the Contractor shall remit the PEP Fee in the </w:t>
            </w:r>
            <w:r w:rsidRPr="00F658FC">
              <w:lastRenderedPageBreak/>
              <w:t xml:space="preserve">amount of one percent (1%) of all Purchases to Periscope acting on behalf of the State of New Jersey. </w:t>
            </w:r>
          </w:p>
          <w:p w14:paraId="108FC9BD" w14:textId="6ABBD988" w:rsidR="00676B8E" w:rsidRPr="00F658FC" w:rsidRDefault="00676B8E" w:rsidP="002655C0">
            <w:pPr>
              <w:pStyle w:val="NoSpacing"/>
              <w:spacing w:after="240"/>
            </w:pPr>
            <w:r w:rsidRPr="00F658FC">
              <w:t>Please also note the Definition of Purchases:</w:t>
            </w:r>
          </w:p>
          <w:p w14:paraId="317454E0" w14:textId="4395357C" w:rsidR="00676B8E" w:rsidRPr="00F658FC" w:rsidRDefault="00676B8E" w:rsidP="002655C0">
            <w:pPr>
              <w:pStyle w:val="NoSpacing"/>
              <w:spacing w:after="240"/>
            </w:pPr>
            <w:r w:rsidRPr="00F658FC">
              <w:t xml:space="preserve">Purchases - means the total gross purchases, less credits, taxes, regulatory fees and separately stated shipping charges not included in unit prices, made regardless of </w:t>
            </w:r>
            <w:proofErr w:type="gramStart"/>
            <w:r w:rsidRPr="00F658FC">
              <w:t>whether or not</w:t>
            </w:r>
            <w:proofErr w:type="gramEnd"/>
            <w:r w:rsidRPr="00F658FC">
              <w:t xml:space="preserve"> NJSTART is used as part of the purchase process.</w:t>
            </w:r>
          </w:p>
          <w:p w14:paraId="31B99B52" w14:textId="14B9C4FE" w:rsidR="00676B8E" w:rsidRPr="00F658FC" w:rsidRDefault="00676B8E" w:rsidP="002655C0">
            <w:pPr>
              <w:pStyle w:val="NoSpacing"/>
              <w:spacing w:after="240"/>
            </w:pPr>
            <w:r w:rsidRPr="00F658FC">
              <w:t xml:space="preserve">All price lines presented in the State-Supplied Price Sheet are all items that fall within Section 4 – Scope of Work, of this RFQ. The Bidder should propose pricing in their State-Supplied Price Sheet that is reflective of the </w:t>
            </w:r>
            <w:proofErr w:type="gramStart"/>
            <w:r w:rsidRPr="00F658FC">
              <w:t>requirements as</w:t>
            </w:r>
            <w:proofErr w:type="gramEnd"/>
            <w:r w:rsidRPr="00F658FC">
              <w:t xml:space="preserve"> described in Section 4.</w:t>
            </w:r>
          </w:p>
        </w:tc>
      </w:tr>
      <w:tr w:rsidR="00676B8E" w14:paraId="25023183" w14:textId="77777777" w:rsidTr="00676B8E">
        <w:trPr>
          <w:jc w:val="center"/>
        </w:trPr>
        <w:tc>
          <w:tcPr>
            <w:tcW w:w="473" w:type="dxa"/>
          </w:tcPr>
          <w:p w14:paraId="627C39CF" w14:textId="48D99E20" w:rsidR="00676B8E" w:rsidRDefault="00F658FC" w:rsidP="002655C0">
            <w:pPr>
              <w:pStyle w:val="NoSpacing"/>
              <w:spacing w:after="240"/>
            </w:pPr>
            <w:r>
              <w:lastRenderedPageBreak/>
              <w:t>3</w:t>
            </w:r>
          </w:p>
        </w:tc>
        <w:tc>
          <w:tcPr>
            <w:tcW w:w="740" w:type="dxa"/>
          </w:tcPr>
          <w:p w14:paraId="52C2B23C" w14:textId="590090D9" w:rsidR="00676B8E" w:rsidRDefault="00F658FC" w:rsidP="002655C0">
            <w:pPr>
              <w:pStyle w:val="NoSpacing"/>
              <w:spacing w:after="240"/>
            </w:pPr>
            <w:r>
              <w:t>33</w:t>
            </w:r>
          </w:p>
        </w:tc>
        <w:tc>
          <w:tcPr>
            <w:tcW w:w="1572" w:type="dxa"/>
          </w:tcPr>
          <w:p w14:paraId="123C8130" w14:textId="3CBD6507" w:rsidR="00676B8E" w:rsidRDefault="00F658FC" w:rsidP="002655C0">
            <w:pPr>
              <w:pStyle w:val="NoSpacing"/>
              <w:spacing w:after="240"/>
            </w:pPr>
            <w:r w:rsidRPr="00F658FC">
              <w:t>Section 7.2.2 Cyber Breach Insurance</w:t>
            </w:r>
          </w:p>
        </w:tc>
        <w:tc>
          <w:tcPr>
            <w:tcW w:w="6716" w:type="dxa"/>
          </w:tcPr>
          <w:p w14:paraId="47AD0AEA" w14:textId="4E31B248" w:rsidR="00F658FC" w:rsidRDefault="00F658FC" w:rsidP="002655C0">
            <w:pPr>
              <w:pStyle w:val="NoSpacing"/>
              <w:spacing w:after="240"/>
              <w:rPr>
                <w:b/>
                <w:bCs/>
              </w:rPr>
            </w:pPr>
            <w:r w:rsidRPr="00F658FC">
              <w:rPr>
                <w:b/>
                <w:bCs/>
              </w:rPr>
              <w:t xml:space="preserve">Please confirm that the awardee of this contract will be </w:t>
            </w:r>
            <w:proofErr w:type="gramStart"/>
            <w:r w:rsidRPr="00F658FC">
              <w:rPr>
                <w:b/>
                <w:bCs/>
              </w:rPr>
              <w:t>require</w:t>
            </w:r>
            <w:proofErr w:type="gramEnd"/>
            <w:r w:rsidRPr="00F658FC">
              <w:rPr>
                <w:b/>
                <w:bCs/>
              </w:rPr>
              <w:t xml:space="preserve"> to have </w:t>
            </w:r>
            <w:proofErr w:type="gramStart"/>
            <w:r w:rsidRPr="00F658FC">
              <w:rPr>
                <w:b/>
                <w:bCs/>
              </w:rPr>
              <w:t>a Cyber</w:t>
            </w:r>
            <w:proofErr w:type="gramEnd"/>
            <w:r w:rsidRPr="00F658FC">
              <w:rPr>
                <w:b/>
                <w:bCs/>
              </w:rPr>
              <w:t xml:space="preserve"> Breach Insurance.</w:t>
            </w:r>
          </w:p>
          <w:p w14:paraId="3634DCAA" w14:textId="76790B71" w:rsidR="00F658FC" w:rsidRPr="00F658FC" w:rsidRDefault="00F658FC" w:rsidP="002655C0">
            <w:pPr>
              <w:pStyle w:val="NoSpacing"/>
              <w:spacing w:after="240"/>
            </w:pPr>
            <w:r w:rsidRPr="00F658FC">
              <w:t xml:space="preserve">As stated in Section 7.2.2 </w:t>
            </w:r>
            <w:r w:rsidRPr="00F658FC">
              <w:rPr>
                <w:i/>
                <w:iCs/>
              </w:rPr>
              <w:t>Cyber Breach Insurance</w:t>
            </w:r>
            <w:r w:rsidRPr="00F658FC">
              <w:t xml:space="preserve"> of the RFQ, the Contractor shall carry Cyber Breach Insurance in an amount sufficient to protect the Contractor from any liability arising out of its performance pursuant to the requirements of this Contract.</w:t>
            </w:r>
          </w:p>
        </w:tc>
      </w:tr>
      <w:tr w:rsidR="00676B8E" w14:paraId="3611A77E" w14:textId="77777777" w:rsidTr="00676B8E">
        <w:trPr>
          <w:jc w:val="center"/>
        </w:trPr>
        <w:tc>
          <w:tcPr>
            <w:tcW w:w="473" w:type="dxa"/>
          </w:tcPr>
          <w:p w14:paraId="2F0A263E" w14:textId="0842C033" w:rsidR="00676B8E" w:rsidRDefault="00F658FC" w:rsidP="002655C0">
            <w:pPr>
              <w:pStyle w:val="NoSpacing"/>
              <w:spacing w:after="240"/>
            </w:pPr>
            <w:r>
              <w:t>4</w:t>
            </w:r>
          </w:p>
        </w:tc>
        <w:tc>
          <w:tcPr>
            <w:tcW w:w="740" w:type="dxa"/>
          </w:tcPr>
          <w:p w14:paraId="3369E986" w14:textId="77777777" w:rsidR="00676B8E" w:rsidRDefault="00676B8E" w:rsidP="002655C0">
            <w:pPr>
              <w:pStyle w:val="NoSpacing"/>
              <w:spacing w:after="240"/>
            </w:pPr>
          </w:p>
        </w:tc>
        <w:tc>
          <w:tcPr>
            <w:tcW w:w="1572" w:type="dxa"/>
          </w:tcPr>
          <w:p w14:paraId="01307AB9" w14:textId="77777777" w:rsidR="00676B8E" w:rsidRDefault="00676B8E" w:rsidP="002655C0">
            <w:pPr>
              <w:pStyle w:val="NoSpacing"/>
              <w:spacing w:after="240"/>
            </w:pPr>
          </w:p>
        </w:tc>
        <w:tc>
          <w:tcPr>
            <w:tcW w:w="6716" w:type="dxa"/>
          </w:tcPr>
          <w:p w14:paraId="09904172" w14:textId="639164FF" w:rsidR="00F658FC" w:rsidRPr="002655C0" w:rsidRDefault="00F658FC" w:rsidP="002655C0">
            <w:pPr>
              <w:pStyle w:val="NoSpacing"/>
              <w:spacing w:after="240"/>
              <w:rPr>
                <w:b/>
                <w:bCs/>
              </w:rPr>
            </w:pPr>
            <w:r w:rsidRPr="00F658FC">
              <w:rPr>
                <w:b/>
                <w:bCs/>
              </w:rPr>
              <w:t>Can the State provide estimated annual volumes (based on historical data or projections) for the number of PDF documents and trainings expected each year?</w:t>
            </w:r>
          </w:p>
          <w:p w14:paraId="124401CD" w14:textId="07AB70FC" w:rsidR="00F658FC" w:rsidRDefault="00F658FC" w:rsidP="002655C0">
            <w:pPr>
              <w:pStyle w:val="NoSpacing"/>
              <w:spacing w:after="240"/>
            </w:pPr>
            <w:r>
              <w:t xml:space="preserve">An estimate cannot be </w:t>
            </w:r>
            <w:r w:rsidR="00106FD5">
              <w:t>provided</w:t>
            </w:r>
            <w:r>
              <w:t xml:space="preserve"> as </w:t>
            </w:r>
            <w:r w:rsidR="00106FD5">
              <w:t>comprehensive</w:t>
            </w:r>
            <w:r>
              <w:t xml:space="preserve"> data is not available regarding </w:t>
            </w:r>
            <w:r w:rsidR="00106FD5">
              <w:t xml:space="preserve">the total number of PDFs produced annually by all </w:t>
            </w:r>
            <w:r w:rsidR="0055203D">
              <w:t>using</w:t>
            </w:r>
            <w:r w:rsidR="00106FD5">
              <w:t xml:space="preserve"> agencies, nor the proportion of those documents that would be contracted out versus remediated in-house by agency staff. The New Jersey Department of Educatio</w:t>
            </w:r>
            <w:r w:rsidR="00450E20">
              <w:t>n (NJDOE)</w:t>
            </w:r>
            <w:r w:rsidR="00106FD5">
              <w:t xml:space="preserve"> produces, at a minimum, approximately 1,000 PDFs each year, representing an estimated 7,500 pages. </w:t>
            </w:r>
          </w:p>
          <w:p w14:paraId="3BE0B1CC" w14:textId="0D270790" w:rsidR="00106FD5" w:rsidRDefault="002655C0" w:rsidP="002655C0">
            <w:pPr>
              <w:pStyle w:val="NoSpacing"/>
              <w:spacing w:after="240"/>
            </w:pPr>
            <w:r>
              <w:t xml:space="preserve">NJDOE anticipates no more than six </w:t>
            </w:r>
            <w:r w:rsidR="00863DC6">
              <w:t xml:space="preserve">trainings </w:t>
            </w:r>
            <w:r>
              <w:t>per year.</w:t>
            </w:r>
            <w:r w:rsidR="00863DC6">
              <w:t xml:space="preserve"> An estimate cannot be provided regarding the number of trainings for other </w:t>
            </w:r>
            <w:r w:rsidR="0055203D">
              <w:t>using</w:t>
            </w:r>
            <w:r w:rsidR="00863DC6">
              <w:t xml:space="preserve"> agencies that may utilize this contract. </w:t>
            </w:r>
          </w:p>
        </w:tc>
      </w:tr>
      <w:tr w:rsidR="00F658FC" w14:paraId="0EC271E1" w14:textId="77777777" w:rsidTr="00676B8E">
        <w:trPr>
          <w:jc w:val="center"/>
        </w:trPr>
        <w:tc>
          <w:tcPr>
            <w:tcW w:w="473" w:type="dxa"/>
          </w:tcPr>
          <w:p w14:paraId="7BDA1E43" w14:textId="2F1A2750" w:rsidR="00F658FC" w:rsidRDefault="00964816" w:rsidP="002655C0">
            <w:pPr>
              <w:pStyle w:val="NoSpacing"/>
              <w:spacing w:after="240"/>
            </w:pPr>
            <w:r>
              <w:lastRenderedPageBreak/>
              <w:t>5</w:t>
            </w:r>
          </w:p>
        </w:tc>
        <w:tc>
          <w:tcPr>
            <w:tcW w:w="740" w:type="dxa"/>
          </w:tcPr>
          <w:p w14:paraId="79C7F376" w14:textId="0538D902" w:rsidR="00F658FC" w:rsidRDefault="00964816" w:rsidP="002655C0">
            <w:pPr>
              <w:pStyle w:val="NoSpacing"/>
              <w:spacing w:after="240"/>
            </w:pPr>
            <w:r>
              <w:t>20</w:t>
            </w:r>
          </w:p>
        </w:tc>
        <w:tc>
          <w:tcPr>
            <w:tcW w:w="1572" w:type="dxa"/>
          </w:tcPr>
          <w:p w14:paraId="06D3F147" w14:textId="6E62B21C" w:rsidR="00F658FC" w:rsidRDefault="00964816" w:rsidP="002655C0">
            <w:pPr>
              <w:pStyle w:val="NoSpacing"/>
              <w:spacing w:after="240"/>
            </w:pPr>
            <w:r w:rsidRPr="00964816">
              <w:t>Section 4.4 Acceptance Criteria</w:t>
            </w:r>
          </w:p>
        </w:tc>
        <w:tc>
          <w:tcPr>
            <w:tcW w:w="6716" w:type="dxa"/>
          </w:tcPr>
          <w:p w14:paraId="24C20535" w14:textId="19B359F3" w:rsidR="00964816" w:rsidRPr="002655C0" w:rsidRDefault="00964816" w:rsidP="002655C0">
            <w:pPr>
              <w:pStyle w:val="NoSpacing"/>
              <w:spacing w:after="240"/>
              <w:rPr>
                <w:b/>
                <w:bCs/>
              </w:rPr>
            </w:pPr>
            <w:r w:rsidRPr="00964816">
              <w:rPr>
                <w:b/>
                <w:bCs/>
              </w:rPr>
              <w:t>Section 4.4 (Acceptance Criteria), page 20, states: “If the Using Agency is NJDOE, the training follows NJDOE guidelines outlined in 4.1.1 and 10.1–10.3.” However, Sections 1.1–10.3 do not appear in the document. Could the State please clarify whether there are specific NJDOE training guidelines that must be followed and, if so, provide or reference those sections?</w:t>
            </w:r>
          </w:p>
          <w:p w14:paraId="0BDBEA91" w14:textId="3E9868D3" w:rsidR="00964816" w:rsidRDefault="00AB7F72" w:rsidP="002655C0">
            <w:pPr>
              <w:pStyle w:val="NoSpacing"/>
              <w:spacing w:after="240"/>
            </w:pPr>
            <w:r w:rsidRPr="00AB7F72">
              <w:t xml:space="preserve">Sections 10.1–10.3 </w:t>
            </w:r>
            <w:r>
              <w:t>were relocated to Exhibit A; however, the corresponding language in Section 4.4 was not updated accordingly. The New Jersey Department of Education (</w:t>
            </w:r>
            <w:r w:rsidRPr="00AB7F72">
              <w:t>NJDOE</w:t>
            </w:r>
            <w:r>
              <w:t>)</w:t>
            </w:r>
            <w:r w:rsidRPr="00AB7F72">
              <w:t xml:space="preserve"> </w:t>
            </w:r>
            <w:r>
              <w:t>g</w:t>
            </w:r>
            <w:r w:rsidRPr="00AB7F72">
              <w:t xml:space="preserve">uidelines are outlined in 4.1.1 and Exhibit A. These guidelines are content authoring and document accessibility guidelines, not training guidelines. The intent of this language is that any document accessibility training for NJDOE does not conflict with NJDOE document accessibility guidelines. For example, NJDOE only uses all caps for acronyms, which </w:t>
            </w:r>
            <w:proofErr w:type="gramStart"/>
            <w:r w:rsidRPr="00AB7F72">
              <w:t>is</w:t>
            </w:r>
            <w:proofErr w:type="gramEnd"/>
            <w:r w:rsidRPr="00AB7F72">
              <w:t xml:space="preserve"> not specified under WCAG or Section 508 of the Rehabilitation Act. Consequently, to follow NJDOE guidelines, document accessibility training should not instruct attendees to use all caps for headings. As another example, NJDOE only uses one heading 1 in a document (which is not required under WCAG or Section 508). Therefore, document accessibility training should not instruct attendees to use multiple heading 1's in a document.</w:t>
            </w:r>
          </w:p>
        </w:tc>
      </w:tr>
      <w:tr w:rsidR="00F658FC" w14:paraId="2C557E87" w14:textId="77777777" w:rsidTr="00676B8E">
        <w:trPr>
          <w:jc w:val="center"/>
        </w:trPr>
        <w:tc>
          <w:tcPr>
            <w:tcW w:w="473" w:type="dxa"/>
          </w:tcPr>
          <w:p w14:paraId="746C6FF5" w14:textId="4B9BBDB5" w:rsidR="00F658FC" w:rsidRDefault="00AB7F72" w:rsidP="002655C0">
            <w:pPr>
              <w:pStyle w:val="NoSpacing"/>
              <w:spacing w:after="240"/>
            </w:pPr>
            <w:r>
              <w:t>6</w:t>
            </w:r>
          </w:p>
        </w:tc>
        <w:tc>
          <w:tcPr>
            <w:tcW w:w="740" w:type="dxa"/>
          </w:tcPr>
          <w:p w14:paraId="7F0FEF9A" w14:textId="30C9B52D" w:rsidR="00F658FC" w:rsidRDefault="00AB7F72" w:rsidP="002655C0">
            <w:pPr>
              <w:pStyle w:val="NoSpacing"/>
              <w:spacing w:after="240"/>
            </w:pPr>
            <w:r>
              <w:t>4</w:t>
            </w:r>
          </w:p>
        </w:tc>
        <w:tc>
          <w:tcPr>
            <w:tcW w:w="1572" w:type="dxa"/>
          </w:tcPr>
          <w:p w14:paraId="2167F2D7" w14:textId="6ED6F0CD" w:rsidR="00F658FC" w:rsidRDefault="00AB7F72" w:rsidP="002655C0">
            <w:pPr>
              <w:pStyle w:val="NoSpacing"/>
              <w:spacing w:after="240"/>
            </w:pPr>
            <w:r w:rsidRPr="00AB7F72">
              <w:t>Section 1.1.1 Background</w:t>
            </w:r>
          </w:p>
        </w:tc>
        <w:tc>
          <w:tcPr>
            <w:tcW w:w="6716" w:type="dxa"/>
          </w:tcPr>
          <w:p w14:paraId="5E98574E" w14:textId="77777777" w:rsidR="00F658FC" w:rsidRPr="00AB7F72" w:rsidRDefault="00AB7F72" w:rsidP="002655C0">
            <w:pPr>
              <w:pStyle w:val="NoSpacing"/>
              <w:tabs>
                <w:tab w:val="left" w:pos="924"/>
              </w:tabs>
              <w:spacing w:after="240"/>
            </w:pPr>
            <w:r w:rsidRPr="00AB7F72">
              <w:rPr>
                <w:b/>
                <w:bCs/>
              </w:rPr>
              <w:t>What does "54151S" refer to. Would [NJDOE] accept "541511" or "611430" SIN's?</w:t>
            </w:r>
          </w:p>
          <w:p w14:paraId="2BDBDA61" w14:textId="7E25BC46" w:rsidR="00AB7F72" w:rsidRPr="00AB7F72" w:rsidRDefault="00AB7F72" w:rsidP="002655C0">
            <w:pPr>
              <w:pStyle w:val="NoSpacing"/>
              <w:tabs>
                <w:tab w:val="left" w:pos="924"/>
              </w:tabs>
              <w:spacing w:after="240"/>
              <w:rPr>
                <w:b/>
                <w:bCs/>
              </w:rPr>
            </w:pPr>
            <w:r w:rsidRPr="00AB7F72">
              <w:t xml:space="preserve">Yes, </w:t>
            </w:r>
            <w:r>
              <w:t xml:space="preserve">the </w:t>
            </w:r>
            <w:r w:rsidR="00BC10B7">
              <w:t>NJDOE</w:t>
            </w:r>
            <w:r w:rsidRPr="00AB7F72">
              <w:t xml:space="preserve"> will accept SIN 611430</w:t>
            </w:r>
            <w:r w:rsidR="002655C0">
              <w:t xml:space="preserve"> and SIN 541</w:t>
            </w:r>
            <w:r w:rsidR="006B57A9">
              <w:t>5</w:t>
            </w:r>
            <w:r w:rsidR="002655C0">
              <w:t>11</w:t>
            </w:r>
            <w:r w:rsidRPr="00AB7F72">
              <w:t>. SIN 541</w:t>
            </w:r>
            <w:r w:rsidR="006B57A9">
              <w:t>5</w:t>
            </w:r>
            <w:r w:rsidRPr="00AB7F72">
              <w:t>1S covers Information Technology Professional Services.</w:t>
            </w:r>
          </w:p>
        </w:tc>
      </w:tr>
    </w:tbl>
    <w:p w14:paraId="09C77A4C" w14:textId="77777777" w:rsidR="00970FA4" w:rsidRDefault="00970FA4" w:rsidP="00970FA4">
      <w:pPr>
        <w:pStyle w:val="NoSpacing"/>
        <w:jc w:val="both"/>
      </w:pPr>
    </w:p>
    <w:sectPr w:rsidR="00970FA4" w:rsidSect="00562B91">
      <w:footerReference w:type="default" r:id="rId9"/>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15AAC1" w14:textId="77777777" w:rsidR="00AB7246" w:rsidRDefault="00AB7246" w:rsidP="00BC10B7">
      <w:pPr>
        <w:spacing w:after="0" w:line="240" w:lineRule="auto"/>
      </w:pPr>
      <w:r>
        <w:separator/>
      </w:r>
    </w:p>
  </w:endnote>
  <w:endnote w:type="continuationSeparator" w:id="0">
    <w:p w14:paraId="638EAD75" w14:textId="77777777" w:rsidR="00AB7246" w:rsidRDefault="00AB7246" w:rsidP="00BC10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0789731"/>
      <w:docPartObj>
        <w:docPartGallery w:val="Page Numbers (Bottom of Page)"/>
        <w:docPartUnique/>
      </w:docPartObj>
    </w:sdtPr>
    <w:sdtEndPr>
      <w:rPr>
        <w:noProof/>
      </w:rPr>
    </w:sdtEndPr>
    <w:sdtContent>
      <w:p w14:paraId="6BD10903" w14:textId="5C6EA888" w:rsidR="00CA3799" w:rsidRDefault="00CA379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4B98610" w14:textId="77777777" w:rsidR="00CA3799" w:rsidRDefault="00CA37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2F88DD" w14:textId="77777777" w:rsidR="00AB7246" w:rsidRDefault="00AB7246" w:rsidP="00BC10B7">
      <w:pPr>
        <w:spacing w:after="0" w:line="240" w:lineRule="auto"/>
      </w:pPr>
      <w:r>
        <w:separator/>
      </w:r>
    </w:p>
  </w:footnote>
  <w:footnote w:type="continuationSeparator" w:id="0">
    <w:p w14:paraId="1A911CDB" w14:textId="77777777" w:rsidR="00AB7246" w:rsidRDefault="00AB7246" w:rsidP="00BC10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F2BA1"/>
    <w:multiLevelType w:val="hybridMultilevel"/>
    <w:tmpl w:val="D2102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C34AF7"/>
    <w:multiLevelType w:val="hybridMultilevel"/>
    <w:tmpl w:val="5E2C4550"/>
    <w:lvl w:ilvl="0" w:tplc="6BC04352">
      <w:start w:val="1"/>
      <w:numFmt w:val="decimal"/>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B0F0EED"/>
    <w:multiLevelType w:val="hybridMultilevel"/>
    <w:tmpl w:val="18EEB4C8"/>
    <w:lvl w:ilvl="0" w:tplc="6BC0435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CC528B"/>
    <w:multiLevelType w:val="hybridMultilevel"/>
    <w:tmpl w:val="B382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F49072D"/>
    <w:multiLevelType w:val="multilevel"/>
    <w:tmpl w:val="15D85E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9878256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76732071">
    <w:abstractNumId w:val="3"/>
  </w:num>
  <w:num w:numId="3" w16cid:durableId="767316287">
    <w:abstractNumId w:val="2"/>
  </w:num>
  <w:num w:numId="4" w16cid:durableId="163475383">
    <w:abstractNumId w:val="1"/>
  </w:num>
  <w:num w:numId="5" w16cid:durableId="38313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CF0"/>
    <w:rsid w:val="000F4F78"/>
    <w:rsid w:val="00106FD5"/>
    <w:rsid w:val="00125DDA"/>
    <w:rsid w:val="00185430"/>
    <w:rsid w:val="001E479B"/>
    <w:rsid w:val="00217C34"/>
    <w:rsid w:val="00225741"/>
    <w:rsid w:val="00252024"/>
    <w:rsid w:val="002655C0"/>
    <w:rsid w:val="00320EE8"/>
    <w:rsid w:val="00450E20"/>
    <w:rsid w:val="004C3736"/>
    <w:rsid w:val="0055203D"/>
    <w:rsid w:val="00555AA0"/>
    <w:rsid w:val="00562B91"/>
    <w:rsid w:val="00576A99"/>
    <w:rsid w:val="00654383"/>
    <w:rsid w:val="00676B8E"/>
    <w:rsid w:val="00687D8B"/>
    <w:rsid w:val="006B57A9"/>
    <w:rsid w:val="006E0C68"/>
    <w:rsid w:val="00713FAC"/>
    <w:rsid w:val="00863DC6"/>
    <w:rsid w:val="008A6FED"/>
    <w:rsid w:val="00964816"/>
    <w:rsid w:val="00970FA4"/>
    <w:rsid w:val="0099040B"/>
    <w:rsid w:val="00997BEC"/>
    <w:rsid w:val="00A2598D"/>
    <w:rsid w:val="00AB7246"/>
    <w:rsid w:val="00AB7F72"/>
    <w:rsid w:val="00B02CF0"/>
    <w:rsid w:val="00BC10B7"/>
    <w:rsid w:val="00CA3747"/>
    <w:rsid w:val="00CA3799"/>
    <w:rsid w:val="00CC5C0A"/>
    <w:rsid w:val="00CD6043"/>
    <w:rsid w:val="00D1350D"/>
    <w:rsid w:val="00D5615F"/>
    <w:rsid w:val="00DB7976"/>
    <w:rsid w:val="00E7316B"/>
    <w:rsid w:val="00F25C75"/>
    <w:rsid w:val="00F658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5723D"/>
  <w15:chartTrackingRefBased/>
  <w15:docId w15:val="{F102E40E-FD72-4330-9528-27C935E4C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Spacing"/>
    <w:next w:val="Normal"/>
    <w:link w:val="Heading1Char"/>
    <w:uiPriority w:val="9"/>
    <w:qFormat/>
    <w:rsid w:val="002655C0"/>
    <w:pPr>
      <w:spacing w:after="480"/>
      <w:jc w:val="center"/>
      <w:outlineLvl w:val="0"/>
    </w:pPr>
    <w:rPr>
      <w:b/>
      <w:bCs/>
    </w:rPr>
  </w:style>
  <w:style w:type="paragraph" w:styleId="Heading2">
    <w:name w:val="heading 2"/>
    <w:basedOn w:val="NoSpacing"/>
    <w:next w:val="Normal"/>
    <w:link w:val="Heading2Char"/>
    <w:uiPriority w:val="9"/>
    <w:unhideWhenUsed/>
    <w:qFormat/>
    <w:rsid w:val="002655C0"/>
    <w:pPr>
      <w:spacing w:before="360"/>
      <w:jc w:val="center"/>
      <w:outlineLvl w:val="1"/>
    </w:pPr>
    <w:rPr>
      <w:b/>
      <w:bCs/>
    </w:rPr>
  </w:style>
  <w:style w:type="paragraph" w:styleId="Heading3">
    <w:name w:val="heading 3"/>
    <w:basedOn w:val="NoSpacing"/>
    <w:next w:val="Normal"/>
    <w:link w:val="Heading3Char"/>
    <w:uiPriority w:val="9"/>
    <w:unhideWhenUsed/>
    <w:qFormat/>
    <w:rsid w:val="002655C0"/>
    <w:pPr>
      <w:spacing w:after="240"/>
      <w:jc w:val="center"/>
      <w:outlineLvl w:val="2"/>
    </w:pPr>
    <w:rPr>
      <w:b/>
      <w:bCs/>
    </w:rPr>
  </w:style>
  <w:style w:type="paragraph" w:styleId="Heading4">
    <w:name w:val="heading 4"/>
    <w:basedOn w:val="Normal"/>
    <w:next w:val="Normal"/>
    <w:link w:val="Heading4Char"/>
    <w:uiPriority w:val="9"/>
    <w:unhideWhenUsed/>
    <w:qFormat/>
    <w:rsid w:val="00B02CF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02CF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02C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02C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02C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02C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655C0"/>
    <w:rPr>
      <w:b/>
      <w:bCs/>
    </w:rPr>
  </w:style>
  <w:style w:type="character" w:customStyle="1" w:styleId="Heading2Char">
    <w:name w:val="Heading 2 Char"/>
    <w:basedOn w:val="DefaultParagraphFont"/>
    <w:link w:val="Heading2"/>
    <w:uiPriority w:val="9"/>
    <w:rsid w:val="002655C0"/>
    <w:rPr>
      <w:b/>
      <w:bCs/>
    </w:rPr>
  </w:style>
  <w:style w:type="character" w:customStyle="1" w:styleId="Heading3Char">
    <w:name w:val="Heading 3 Char"/>
    <w:basedOn w:val="DefaultParagraphFont"/>
    <w:link w:val="Heading3"/>
    <w:uiPriority w:val="9"/>
    <w:rsid w:val="002655C0"/>
    <w:rPr>
      <w:b/>
      <w:bCs/>
    </w:rPr>
  </w:style>
  <w:style w:type="character" w:customStyle="1" w:styleId="Heading4Char">
    <w:name w:val="Heading 4 Char"/>
    <w:basedOn w:val="DefaultParagraphFont"/>
    <w:link w:val="Heading4"/>
    <w:uiPriority w:val="9"/>
    <w:rsid w:val="00B02CF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02CF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02C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02C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02C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02CF0"/>
    <w:rPr>
      <w:rFonts w:eastAsiaTheme="majorEastAsia" w:cstheme="majorBidi"/>
      <w:color w:val="272727" w:themeColor="text1" w:themeTint="D8"/>
    </w:rPr>
  </w:style>
  <w:style w:type="paragraph" w:styleId="Title">
    <w:name w:val="Title"/>
    <w:basedOn w:val="Normal"/>
    <w:next w:val="Normal"/>
    <w:link w:val="TitleChar"/>
    <w:uiPriority w:val="10"/>
    <w:qFormat/>
    <w:rsid w:val="00B02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02C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02C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02C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02CF0"/>
    <w:pPr>
      <w:spacing w:before="160"/>
      <w:jc w:val="center"/>
    </w:pPr>
    <w:rPr>
      <w:i/>
      <w:iCs/>
      <w:color w:val="404040" w:themeColor="text1" w:themeTint="BF"/>
    </w:rPr>
  </w:style>
  <w:style w:type="character" w:customStyle="1" w:styleId="QuoteChar">
    <w:name w:val="Quote Char"/>
    <w:basedOn w:val="DefaultParagraphFont"/>
    <w:link w:val="Quote"/>
    <w:uiPriority w:val="29"/>
    <w:rsid w:val="00B02CF0"/>
    <w:rPr>
      <w:i/>
      <w:iCs/>
      <w:color w:val="404040" w:themeColor="text1" w:themeTint="BF"/>
    </w:rPr>
  </w:style>
  <w:style w:type="paragraph" w:styleId="ListParagraph">
    <w:name w:val="List Paragraph"/>
    <w:basedOn w:val="Normal"/>
    <w:uiPriority w:val="34"/>
    <w:qFormat/>
    <w:rsid w:val="00B02CF0"/>
    <w:pPr>
      <w:ind w:left="720"/>
      <w:contextualSpacing/>
    </w:pPr>
  </w:style>
  <w:style w:type="character" w:styleId="IntenseEmphasis">
    <w:name w:val="Intense Emphasis"/>
    <w:basedOn w:val="DefaultParagraphFont"/>
    <w:uiPriority w:val="21"/>
    <w:qFormat/>
    <w:rsid w:val="00B02CF0"/>
    <w:rPr>
      <w:i/>
      <w:iCs/>
      <w:color w:val="0F4761" w:themeColor="accent1" w:themeShade="BF"/>
    </w:rPr>
  </w:style>
  <w:style w:type="paragraph" w:styleId="IntenseQuote">
    <w:name w:val="Intense Quote"/>
    <w:basedOn w:val="Normal"/>
    <w:next w:val="Normal"/>
    <w:link w:val="IntenseQuoteChar"/>
    <w:uiPriority w:val="30"/>
    <w:qFormat/>
    <w:rsid w:val="00B02CF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02CF0"/>
    <w:rPr>
      <w:i/>
      <w:iCs/>
      <w:color w:val="0F4761" w:themeColor="accent1" w:themeShade="BF"/>
    </w:rPr>
  </w:style>
  <w:style w:type="character" w:styleId="IntenseReference">
    <w:name w:val="Intense Reference"/>
    <w:basedOn w:val="DefaultParagraphFont"/>
    <w:uiPriority w:val="32"/>
    <w:qFormat/>
    <w:rsid w:val="00B02CF0"/>
    <w:rPr>
      <w:b/>
      <w:bCs/>
      <w:smallCaps/>
      <w:color w:val="0F4761" w:themeColor="accent1" w:themeShade="BF"/>
      <w:spacing w:val="5"/>
    </w:rPr>
  </w:style>
  <w:style w:type="paragraph" w:styleId="NoSpacing">
    <w:name w:val="No Spacing"/>
    <w:uiPriority w:val="1"/>
    <w:qFormat/>
    <w:rsid w:val="00B02CF0"/>
    <w:pPr>
      <w:spacing w:after="0" w:line="240" w:lineRule="auto"/>
    </w:pPr>
  </w:style>
  <w:style w:type="character" w:styleId="Hyperlink">
    <w:name w:val="Hyperlink"/>
    <w:basedOn w:val="DefaultParagraphFont"/>
    <w:uiPriority w:val="99"/>
    <w:unhideWhenUsed/>
    <w:rsid w:val="00DB7976"/>
    <w:rPr>
      <w:color w:val="467886" w:themeColor="hyperlink"/>
      <w:u w:val="single"/>
    </w:rPr>
  </w:style>
  <w:style w:type="character" w:styleId="UnresolvedMention">
    <w:name w:val="Unresolved Mention"/>
    <w:basedOn w:val="DefaultParagraphFont"/>
    <w:uiPriority w:val="99"/>
    <w:semiHidden/>
    <w:unhideWhenUsed/>
    <w:rsid w:val="00DB7976"/>
    <w:rPr>
      <w:color w:val="605E5C"/>
      <w:shd w:val="clear" w:color="auto" w:fill="E1DFDD"/>
    </w:rPr>
  </w:style>
  <w:style w:type="table" w:styleId="TableGrid">
    <w:name w:val="Table Grid"/>
    <w:basedOn w:val="TableNormal"/>
    <w:uiPriority w:val="39"/>
    <w:rsid w:val="00676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C10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0B7"/>
  </w:style>
  <w:style w:type="paragraph" w:styleId="Footer">
    <w:name w:val="footer"/>
    <w:basedOn w:val="Normal"/>
    <w:link w:val="FooterChar"/>
    <w:uiPriority w:val="99"/>
    <w:unhideWhenUsed/>
    <w:rsid w:val="00BC10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10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214459">
      <w:bodyDiv w:val="1"/>
      <w:marLeft w:val="0"/>
      <w:marRight w:val="0"/>
      <w:marTop w:val="0"/>
      <w:marBottom w:val="0"/>
      <w:divBdr>
        <w:top w:val="none" w:sz="0" w:space="0" w:color="auto"/>
        <w:left w:val="none" w:sz="0" w:space="0" w:color="auto"/>
        <w:bottom w:val="none" w:sz="0" w:space="0" w:color="auto"/>
        <w:right w:val="none" w:sz="0" w:space="0" w:color="auto"/>
      </w:divBdr>
    </w:div>
    <w:div w:id="318001881">
      <w:bodyDiv w:val="1"/>
      <w:marLeft w:val="0"/>
      <w:marRight w:val="0"/>
      <w:marTop w:val="0"/>
      <w:marBottom w:val="0"/>
      <w:divBdr>
        <w:top w:val="none" w:sz="0" w:space="0" w:color="auto"/>
        <w:left w:val="none" w:sz="0" w:space="0" w:color="auto"/>
        <w:bottom w:val="none" w:sz="0" w:space="0" w:color="auto"/>
        <w:right w:val="none" w:sz="0" w:space="0" w:color="auto"/>
      </w:divBdr>
    </w:div>
    <w:div w:id="830486557">
      <w:bodyDiv w:val="1"/>
      <w:marLeft w:val="0"/>
      <w:marRight w:val="0"/>
      <w:marTop w:val="0"/>
      <w:marBottom w:val="0"/>
      <w:divBdr>
        <w:top w:val="none" w:sz="0" w:space="0" w:color="auto"/>
        <w:left w:val="none" w:sz="0" w:space="0" w:color="auto"/>
        <w:bottom w:val="none" w:sz="0" w:space="0" w:color="auto"/>
        <w:right w:val="none" w:sz="0" w:space="0" w:color="auto"/>
      </w:divBdr>
    </w:div>
    <w:div w:id="886188680">
      <w:bodyDiv w:val="1"/>
      <w:marLeft w:val="0"/>
      <w:marRight w:val="0"/>
      <w:marTop w:val="0"/>
      <w:marBottom w:val="0"/>
      <w:divBdr>
        <w:top w:val="none" w:sz="0" w:space="0" w:color="auto"/>
        <w:left w:val="none" w:sz="0" w:space="0" w:color="auto"/>
        <w:bottom w:val="none" w:sz="0" w:space="0" w:color="auto"/>
        <w:right w:val="none" w:sz="0" w:space="0" w:color="auto"/>
      </w:divBdr>
    </w:div>
    <w:div w:id="1292396011">
      <w:bodyDiv w:val="1"/>
      <w:marLeft w:val="0"/>
      <w:marRight w:val="0"/>
      <w:marTop w:val="0"/>
      <w:marBottom w:val="0"/>
      <w:divBdr>
        <w:top w:val="none" w:sz="0" w:space="0" w:color="auto"/>
        <w:left w:val="none" w:sz="0" w:space="0" w:color="auto"/>
        <w:bottom w:val="none" w:sz="0" w:space="0" w:color="auto"/>
        <w:right w:val="none" w:sz="0" w:space="0" w:color="auto"/>
      </w:divBdr>
    </w:div>
    <w:div w:id="1299800413">
      <w:bodyDiv w:val="1"/>
      <w:marLeft w:val="0"/>
      <w:marRight w:val="0"/>
      <w:marTop w:val="0"/>
      <w:marBottom w:val="0"/>
      <w:divBdr>
        <w:top w:val="none" w:sz="0" w:space="0" w:color="auto"/>
        <w:left w:val="none" w:sz="0" w:space="0" w:color="auto"/>
        <w:bottom w:val="none" w:sz="0" w:space="0" w:color="auto"/>
        <w:right w:val="none" w:sz="0" w:space="0" w:color="auto"/>
      </w:divBdr>
    </w:div>
    <w:div w:id="191288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698F02-DB81-43D6-98B1-131C73C2ED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Pages>
  <Words>984</Words>
  <Characters>5403</Characters>
  <Application>Microsoft Office Word</Application>
  <DocSecurity>0</DocSecurity>
  <Lines>100</Lines>
  <Paragraphs>48</Paragraphs>
  <ScaleCrop>false</ScaleCrop>
  <HeadingPairs>
    <vt:vector size="2" baseType="variant">
      <vt:variant>
        <vt:lpstr>Title</vt:lpstr>
      </vt:variant>
      <vt:variant>
        <vt:i4>1</vt:i4>
      </vt:variant>
    </vt:vector>
  </HeadingPairs>
  <TitlesOfParts>
    <vt:vector size="1" baseType="lpstr">
      <vt:lpstr>26006: Reponses to Bidder Questions</vt:lpstr>
    </vt:vector>
  </TitlesOfParts>
  <Company>NJ Department of Education</Company>
  <LinksUpToDate>false</LinksUpToDate>
  <CharactersWithSpaces>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26006: Reponses to Bidder Questions</dc:title>
  <dc:subject/>
  <dc:creator>Amon, Robert</dc:creator>
  <cp:keywords/>
  <dc:description/>
  <cp:lastModifiedBy>Amon, Robert</cp:lastModifiedBy>
  <cp:revision>7</cp:revision>
  <dcterms:created xsi:type="dcterms:W3CDTF">2026-02-02T18:40:00Z</dcterms:created>
  <dcterms:modified xsi:type="dcterms:W3CDTF">2026-02-02T20:22:00Z</dcterms:modified>
</cp:coreProperties>
</file>