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DF1DF" w14:textId="64A56FFF" w:rsidR="00970FA4" w:rsidRPr="002655C0" w:rsidRDefault="00C76CC7" w:rsidP="00562B91">
      <w:pPr>
        <w:pStyle w:val="NoSpacing"/>
        <w:spacing w:after="148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9C66BDE" wp14:editId="474B6A4F">
            <wp:simplePos x="0" y="0"/>
            <wp:positionH relativeFrom="margin">
              <wp:posOffset>-312420</wp:posOffset>
            </wp:positionH>
            <wp:positionV relativeFrom="paragraph">
              <wp:posOffset>-708660</wp:posOffset>
            </wp:positionV>
            <wp:extent cx="7018020" cy="1731010"/>
            <wp:effectExtent l="0" t="0" r="0" b="2540"/>
            <wp:wrapNone/>
            <wp:docPr id="1" name="Picture 1" descr="Letterhead: State of New Jersey, Department of Education. PO Box 500, Trenton, NJ 08625-0500. Mikie Sherrill, Governor; Dr. Dale G. Caldwell, Lt. Governor; Dr. Lily Laux, Commission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etterhead: State of New Jersey, Department of Education. PO Box 500, Trenton, NJ 08625-0500. Mikie Sherrill, Governor; Dr. Dale G. Caldwell, Lt. Governor; Dr. Lily Laux, Commissioner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8020" cy="1731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164547" w14:textId="77777777" w:rsidR="00C76CC7" w:rsidRDefault="00C76CC7" w:rsidP="002655C0">
      <w:pPr>
        <w:pStyle w:val="NoSpacing"/>
        <w:tabs>
          <w:tab w:val="left" w:pos="1800"/>
        </w:tabs>
        <w:spacing w:line="480" w:lineRule="auto"/>
        <w:rPr>
          <w:b/>
          <w:bCs/>
        </w:rPr>
      </w:pPr>
    </w:p>
    <w:p w14:paraId="0CE60888" w14:textId="333A3529" w:rsidR="00B02CF0" w:rsidRDefault="00B02CF0" w:rsidP="002655C0">
      <w:pPr>
        <w:pStyle w:val="NoSpacing"/>
        <w:tabs>
          <w:tab w:val="left" w:pos="1800"/>
        </w:tabs>
        <w:spacing w:line="480" w:lineRule="auto"/>
      </w:pPr>
      <w:r w:rsidRPr="00DB7976">
        <w:rPr>
          <w:b/>
          <w:bCs/>
        </w:rPr>
        <w:t>To:</w:t>
      </w:r>
      <w:r>
        <w:tab/>
        <w:t>All Interested Bidders</w:t>
      </w:r>
    </w:p>
    <w:p w14:paraId="0722D445" w14:textId="31C7BD73" w:rsidR="00B02CF0" w:rsidRDefault="00B02CF0" w:rsidP="002655C0">
      <w:pPr>
        <w:pStyle w:val="NoSpacing"/>
        <w:tabs>
          <w:tab w:val="left" w:pos="1800"/>
        </w:tabs>
        <w:spacing w:line="480" w:lineRule="auto"/>
      </w:pPr>
      <w:r w:rsidRPr="00DB7976">
        <w:rPr>
          <w:b/>
          <w:bCs/>
        </w:rPr>
        <w:t>From:</w:t>
      </w:r>
      <w:r>
        <w:tab/>
        <w:t>Office of Budget and Accounting</w:t>
      </w:r>
    </w:p>
    <w:p w14:paraId="002104EB" w14:textId="480AFEAC" w:rsidR="00B02CF0" w:rsidRDefault="00B02CF0" w:rsidP="002655C0">
      <w:pPr>
        <w:pStyle w:val="NoSpacing"/>
        <w:tabs>
          <w:tab w:val="left" w:pos="1800"/>
        </w:tabs>
        <w:spacing w:line="480" w:lineRule="auto"/>
      </w:pPr>
      <w:r w:rsidRPr="00DB7976">
        <w:rPr>
          <w:b/>
          <w:bCs/>
        </w:rPr>
        <w:t>Date:</w:t>
      </w:r>
      <w:r>
        <w:tab/>
      </w:r>
      <w:r w:rsidR="00C31993">
        <w:t>March 1</w:t>
      </w:r>
      <w:r w:rsidR="00EB4A80">
        <w:t>8</w:t>
      </w:r>
      <w:r w:rsidR="00C31993">
        <w:t>, 2026</w:t>
      </w:r>
    </w:p>
    <w:p w14:paraId="4F1F380B" w14:textId="48E3BC87" w:rsidR="00970FA4" w:rsidRPr="002655C0" w:rsidRDefault="00970FA4" w:rsidP="002655C0">
      <w:pPr>
        <w:pStyle w:val="NoSpacing"/>
        <w:tabs>
          <w:tab w:val="left" w:pos="1800"/>
        </w:tabs>
        <w:spacing w:after="360"/>
        <w:ind w:left="1800" w:hanging="1800"/>
        <w:rPr>
          <w:b/>
          <w:bCs/>
        </w:rPr>
      </w:pPr>
      <w:r>
        <w:rPr>
          <w:b/>
          <w:bCs/>
        </w:rPr>
        <w:t>Re:</w:t>
      </w:r>
      <w:r>
        <w:rPr>
          <w:b/>
          <w:bCs/>
        </w:rPr>
        <w:tab/>
        <w:t>Bid Solicitation (RFQ) # 26-00</w:t>
      </w:r>
      <w:r w:rsidR="00AD6B9B">
        <w:rPr>
          <w:b/>
          <w:bCs/>
        </w:rPr>
        <w:t>8</w:t>
      </w:r>
      <w:r w:rsidR="002655C0">
        <w:rPr>
          <w:b/>
          <w:bCs/>
        </w:rPr>
        <w:br/>
      </w:r>
      <w:r w:rsidR="00AD6B9B" w:rsidRPr="00AD6B9B">
        <w:t>Supporting Nontraditional and Special Population Students in Career and Technical Education for FY26 – FY28</w:t>
      </w:r>
    </w:p>
    <w:p w14:paraId="32D32B4D" w14:textId="5EA24D90" w:rsidR="00970FA4" w:rsidRDefault="00970FA4" w:rsidP="00C31993">
      <w:pPr>
        <w:pStyle w:val="NoSpacing"/>
        <w:spacing w:after="120"/>
        <w:rPr>
          <w:b/>
          <w:bCs/>
        </w:rPr>
      </w:pPr>
      <w:r w:rsidRPr="00970FA4">
        <w:rPr>
          <w:b/>
          <w:bCs/>
        </w:rPr>
        <w:t xml:space="preserve">Quote {Proposal} Submission Due Date: </w:t>
      </w:r>
      <w:r w:rsidR="00C31993">
        <w:rPr>
          <w:b/>
          <w:bCs/>
        </w:rPr>
        <w:t>April 1</w:t>
      </w:r>
      <w:r w:rsidRPr="00970FA4">
        <w:rPr>
          <w:b/>
          <w:bCs/>
        </w:rPr>
        <w:t>, 20</w:t>
      </w:r>
      <w:r>
        <w:rPr>
          <w:b/>
          <w:bCs/>
        </w:rPr>
        <w:t>26</w:t>
      </w:r>
      <w:r w:rsidRPr="00970FA4">
        <w:rPr>
          <w:b/>
          <w:bCs/>
        </w:rPr>
        <w:t xml:space="preserve"> (</w:t>
      </w:r>
      <w:r w:rsidR="00AD6B9B">
        <w:rPr>
          <w:b/>
          <w:bCs/>
        </w:rPr>
        <w:t>1</w:t>
      </w:r>
      <w:r w:rsidRPr="00970FA4">
        <w:rPr>
          <w:b/>
          <w:bCs/>
        </w:rPr>
        <w:t>2:00 p.m. ET)</w:t>
      </w:r>
    </w:p>
    <w:p w14:paraId="2AFE5D7D" w14:textId="77777777" w:rsidR="00C31993" w:rsidRPr="00C31993" w:rsidRDefault="00C31993" w:rsidP="00C31993">
      <w:pPr>
        <w:pStyle w:val="NoSpacing"/>
        <w:spacing w:after="120"/>
        <w:rPr>
          <w:b/>
          <w:bCs/>
        </w:rPr>
      </w:pPr>
    </w:p>
    <w:p w14:paraId="73B90914" w14:textId="14E3C0DF" w:rsidR="00970FA4" w:rsidRPr="002655C0" w:rsidRDefault="00970FA4" w:rsidP="002655C0">
      <w:pPr>
        <w:pStyle w:val="Heading1"/>
      </w:pPr>
      <w:r w:rsidRPr="002655C0">
        <w:t>Bid Amendment {Addendum} #0</w:t>
      </w:r>
      <w:r w:rsidR="00C31993">
        <w:t>2</w:t>
      </w:r>
    </w:p>
    <w:p w14:paraId="7CD33AF3" w14:textId="231662D8" w:rsidR="00970FA4" w:rsidRDefault="00970FA4" w:rsidP="002655C0">
      <w:pPr>
        <w:pStyle w:val="NoSpacing"/>
        <w:spacing w:after="120"/>
      </w:pPr>
      <w:r>
        <w:t>The following constitutes Bid Amendment {Addendum} #0</w:t>
      </w:r>
      <w:r w:rsidR="00C31993">
        <w:t>2</w:t>
      </w:r>
      <w:r>
        <w:t xml:space="preserve"> to the above referenced Bid Solicitation {RFP}:</w:t>
      </w:r>
    </w:p>
    <w:p w14:paraId="18C9F742" w14:textId="49993922" w:rsidR="00970FA4" w:rsidRDefault="00970FA4" w:rsidP="002655C0">
      <w:pPr>
        <w:pStyle w:val="NoSpacing"/>
        <w:numPr>
          <w:ilvl w:val="0"/>
          <w:numId w:val="5"/>
        </w:numPr>
        <w:spacing w:after="240"/>
      </w:pPr>
      <w:r w:rsidRPr="00970FA4">
        <w:t xml:space="preserve">This Bid Amendment {Addendum} includes answers to </w:t>
      </w:r>
      <w:r w:rsidR="00C31993">
        <w:t xml:space="preserve">potential bidder </w:t>
      </w:r>
      <w:r w:rsidRPr="00970FA4">
        <w:t xml:space="preserve">questions. </w:t>
      </w:r>
    </w:p>
    <w:p w14:paraId="178E212E" w14:textId="7A5C3439" w:rsidR="00970FA4" w:rsidRDefault="00970FA4" w:rsidP="00C76CC7">
      <w:pPr>
        <w:pStyle w:val="NoSpacing"/>
        <w:spacing w:after="240"/>
      </w:pPr>
      <w:r>
        <w:t xml:space="preserve">It is the sole responsibility of the Vendor {Bidder} to be knowledgeable of all of the additions, deletions, clarifications, and modifications to the Bid Solicitation {RFQ} and/or the New Jersey Standard Terms and Conditions relative to this Bid Solicitation {RFQ} as set forth in all Bid Amendments {Addenda}. </w:t>
      </w:r>
    </w:p>
    <w:p w14:paraId="4914D653" w14:textId="3F6F1075" w:rsidR="002655C0" w:rsidRDefault="00970FA4" w:rsidP="00C76CC7">
      <w:pPr>
        <w:pStyle w:val="NoSpacing"/>
      </w:pPr>
      <w:r>
        <w:t>All other instructions, terms, and conditions of the Bid Solicitation {RFQ} shall remain the same.</w:t>
      </w:r>
      <w:r w:rsidR="002655C0">
        <w:br w:type="page"/>
      </w:r>
    </w:p>
    <w:p w14:paraId="1CD94002" w14:textId="0B6DC48C" w:rsidR="00970FA4" w:rsidRPr="002655C0" w:rsidRDefault="00AD6B9B" w:rsidP="002655C0">
      <w:pPr>
        <w:pStyle w:val="Heading2"/>
        <w:spacing w:after="240"/>
      </w:pPr>
      <w:r w:rsidRPr="00AD6B9B">
        <w:lastRenderedPageBreak/>
        <w:t>Supporting Nontraditional and Special Population Students in Career and Technical Education for FY26 – FY28</w:t>
      </w:r>
      <w:r w:rsidR="002655C0">
        <w:br/>
      </w:r>
      <w:r w:rsidR="00970FA4" w:rsidRPr="002655C0">
        <w:t>Bid Solicitation {RFQ} Number: 26-00</w:t>
      </w:r>
      <w:r>
        <w:t>8</w:t>
      </w:r>
    </w:p>
    <w:p w14:paraId="49889E04" w14:textId="594D1819" w:rsidR="00676B8E" w:rsidRDefault="00970FA4" w:rsidP="0006570C">
      <w:pPr>
        <w:pStyle w:val="Heading3"/>
      </w:pPr>
      <w:r w:rsidRPr="002655C0">
        <w:t>Answers to Questions</w:t>
      </w:r>
    </w:p>
    <w:tbl>
      <w:tblPr>
        <w:tblStyle w:val="TableGrid"/>
        <w:tblW w:w="9629" w:type="dxa"/>
        <w:jc w:val="center"/>
        <w:tblLook w:val="04A0" w:firstRow="1" w:lastRow="0" w:firstColumn="1" w:lastColumn="0" w:noHBand="0" w:noVBand="1"/>
      </w:tblPr>
      <w:tblGrid>
        <w:gridCol w:w="535"/>
        <w:gridCol w:w="9094"/>
      </w:tblGrid>
      <w:tr w:rsidR="001A140C" w14:paraId="2BCD8326" w14:textId="77777777" w:rsidTr="001A140C">
        <w:trPr>
          <w:tblHeader/>
          <w:jc w:val="center"/>
        </w:trPr>
        <w:tc>
          <w:tcPr>
            <w:tcW w:w="535" w:type="dxa"/>
            <w:shd w:val="clear" w:color="auto" w:fill="D9D9D9" w:themeFill="background1" w:themeFillShade="D9"/>
          </w:tcPr>
          <w:p w14:paraId="715C51D6" w14:textId="4B18FB9C" w:rsidR="001A140C" w:rsidRPr="00676B8E" w:rsidRDefault="001A140C" w:rsidP="002655C0">
            <w:pPr>
              <w:pStyle w:val="NoSpacing"/>
              <w:rPr>
                <w:b/>
                <w:bCs/>
              </w:rPr>
            </w:pPr>
            <w:r w:rsidRPr="00676B8E">
              <w:rPr>
                <w:b/>
                <w:bCs/>
              </w:rPr>
              <w:t>#</w:t>
            </w:r>
          </w:p>
        </w:tc>
        <w:tc>
          <w:tcPr>
            <w:tcW w:w="9094" w:type="dxa"/>
            <w:shd w:val="clear" w:color="auto" w:fill="D9D9D9" w:themeFill="background1" w:themeFillShade="D9"/>
          </w:tcPr>
          <w:p w14:paraId="26F8A48D" w14:textId="3C2698E1" w:rsidR="001A140C" w:rsidRPr="00676B8E" w:rsidRDefault="001A140C" w:rsidP="002655C0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Question (Bolded) and Answer</w:t>
            </w:r>
          </w:p>
        </w:tc>
      </w:tr>
      <w:tr w:rsidR="001A140C" w14:paraId="351598B2" w14:textId="77777777" w:rsidTr="001A140C">
        <w:trPr>
          <w:jc w:val="center"/>
        </w:trPr>
        <w:tc>
          <w:tcPr>
            <w:tcW w:w="535" w:type="dxa"/>
          </w:tcPr>
          <w:p w14:paraId="062D1F0D" w14:textId="5E535D8B" w:rsidR="001A140C" w:rsidRPr="001A140C" w:rsidRDefault="001A140C" w:rsidP="00970FA4">
            <w:pPr>
              <w:pStyle w:val="NoSpacing"/>
              <w:rPr>
                <w:b/>
                <w:bCs/>
              </w:rPr>
            </w:pPr>
            <w:r w:rsidRPr="001A140C">
              <w:rPr>
                <w:b/>
                <w:bCs/>
              </w:rPr>
              <w:t>1</w:t>
            </w:r>
          </w:p>
        </w:tc>
        <w:tc>
          <w:tcPr>
            <w:tcW w:w="9094" w:type="dxa"/>
          </w:tcPr>
          <w:p w14:paraId="4BF59EE7" w14:textId="77777777" w:rsidR="001A140C" w:rsidRDefault="001A140C" w:rsidP="002655C0">
            <w:pPr>
              <w:spacing w:after="240"/>
              <w:rPr>
                <w:b/>
                <w:bCs/>
              </w:rPr>
            </w:pPr>
            <w:r w:rsidRPr="001A140C">
              <w:rPr>
                <w:b/>
                <w:bCs/>
              </w:rPr>
              <w:t>How does OCR define “expanding access” and “removing barriers” in measurable terms for this contract?</w:t>
            </w:r>
          </w:p>
          <w:p w14:paraId="63CFC717" w14:textId="56A79204" w:rsidR="001A140C" w:rsidRPr="001A140C" w:rsidRDefault="00050D28" w:rsidP="002655C0">
            <w:pPr>
              <w:spacing w:after="240"/>
            </w:pPr>
            <w:r>
              <w:t xml:space="preserve">It is recommended that applicants identify key performance indicators </w:t>
            </w:r>
            <w:r w:rsidR="00E04DC2">
              <w:t xml:space="preserve">(KPIs) </w:t>
            </w:r>
            <w:r w:rsidR="00394C41">
              <w:t xml:space="preserve">aligned to </w:t>
            </w:r>
            <w:r w:rsidR="00E04DC2">
              <w:t xml:space="preserve">the goals of the RFP </w:t>
            </w:r>
            <w:r w:rsidR="0027500A">
              <w:t xml:space="preserve">outlined in Attachment A, Scope of Work. </w:t>
            </w:r>
            <w:r w:rsidR="008E62BB">
              <w:t xml:space="preserve">Examples may include, </w:t>
            </w:r>
            <w:r w:rsidR="00394C41">
              <w:t>professional development</w:t>
            </w:r>
            <w:r w:rsidR="00E466CE">
              <w:t xml:space="preserve"> </w:t>
            </w:r>
            <w:r w:rsidR="00DF20F1">
              <w:t xml:space="preserve">workshop outcomes (knowledge gained), </w:t>
            </w:r>
            <w:r w:rsidR="00E466CE">
              <w:t>session topics (</w:t>
            </w:r>
            <w:r w:rsidR="001C511A">
              <w:t xml:space="preserve">breadth of </w:t>
            </w:r>
            <w:r w:rsidR="00223A71">
              <w:t xml:space="preserve">content), number of sessions, </w:t>
            </w:r>
            <w:r w:rsidR="0094652A">
              <w:t>etc.</w:t>
            </w:r>
          </w:p>
        </w:tc>
      </w:tr>
      <w:tr w:rsidR="001A140C" w14:paraId="388857A8" w14:textId="77777777" w:rsidTr="001A140C">
        <w:trPr>
          <w:jc w:val="center"/>
        </w:trPr>
        <w:tc>
          <w:tcPr>
            <w:tcW w:w="535" w:type="dxa"/>
          </w:tcPr>
          <w:p w14:paraId="77417D4B" w14:textId="1C15A8E0" w:rsidR="001A140C" w:rsidRPr="001A140C" w:rsidRDefault="001A140C" w:rsidP="002655C0">
            <w:pPr>
              <w:pStyle w:val="NoSpacing"/>
              <w:spacing w:after="240"/>
              <w:rPr>
                <w:b/>
                <w:bCs/>
              </w:rPr>
            </w:pPr>
            <w:r w:rsidRPr="001A140C">
              <w:rPr>
                <w:b/>
                <w:bCs/>
              </w:rPr>
              <w:t>2</w:t>
            </w:r>
          </w:p>
        </w:tc>
        <w:tc>
          <w:tcPr>
            <w:tcW w:w="9094" w:type="dxa"/>
          </w:tcPr>
          <w:p w14:paraId="7ADCA71A" w14:textId="77777777" w:rsidR="001A140C" w:rsidRPr="001A140C" w:rsidRDefault="001A140C" w:rsidP="001A140C">
            <w:pPr>
              <w:pStyle w:val="NoSpacing"/>
              <w:spacing w:after="240"/>
              <w:jc w:val="both"/>
              <w:rPr>
                <w:b/>
                <w:bCs/>
              </w:rPr>
            </w:pPr>
            <w:r w:rsidRPr="001A140C">
              <w:rPr>
                <w:b/>
                <w:bCs/>
              </w:rPr>
              <w:t>Is NJDOE envisioning that the annual in-person professional development sessions (delivered in three regions) build on the previous year’s learnings and progress, thus, offering a three-part professional development series over three years? Or, does the NJDOE envision that the core content of the in-person professional development is similar each year with annual modifications to reflect current needs?</w:t>
            </w:r>
          </w:p>
          <w:p w14:paraId="31B99B52" w14:textId="575D7B86" w:rsidR="001A140C" w:rsidRPr="00EF3B49" w:rsidRDefault="00F51A0F" w:rsidP="00EF3B49">
            <w:pPr>
              <w:spacing w:after="240"/>
              <w:jc w:val="both"/>
              <w:rPr>
                <w:b/>
                <w:bCs/>
              </w:rPr>
            </w:pPr>
            <w:r>
              <w:t xml:space="preserve">The </w:t>
            </w:r>
            <w:r w:rsidR="0006570C">
              <w:t>NJ</w:t>
            </w:r>
            <w:r>
              <w:t xml:space="preserve">DOE expects that the in-person professional development will </w:t>
            </w:r>
            <w:r w:rsidR="00033F01">
              <w:t xml:space="preserve">spiral learning so new content </w:t>
            </w:r>
            <w:r w:rsidR="005C527F">
              <w:t>is</w:t>
            </w:r>
            <w:r w:rsidR="00033F01">
              <w:t xml:space="preserve"> </w:t>
            </w:r>
            <w:r w:rsidR="005E0C9E">
              <w:t>integrated</w:t>
            </w:r>
            <w:r w:rsidR="00033F01">
              <w:t xml:space="preserve"> into prior content </w:t>
            </w:r>
            <w:r w:rsidR="005C527F">
              <w:t>so</w:t>
            </w:r>
            <w:r w:rsidR="00033F01">
              <w:t xml:space="preserve"> participants at varying levels</w:t>
            </w:r>
            <w:r w:rsidR="005E0C9E">
              <w:t xml:space="preserve"> of participation</w:t>
            </w:r>
            <w:r w:rsidR="005C527F">
              <w:t xml:space="preserve"> can benefit from the professional learning sessions</w:t>
            </w:r>
            <w:r w:rsidR="005E0C9E">
              <w:t>.</w:t>
            </w:r>
            <w:r w:rsidR="00EF3B49">
              <w:t xml:space="preserve"> Per the Scope of Work, Section B, Course materials, resources, and curricula should be updated at least annually based upon attendees feedback.</w:t>
            </w:r>
          </w:p>
        </w:tc>
      </w:tr>
      <w:tr w:rsidR="001A140C" w14:paraId="25023183" w14:textId="77777777" w:rsidTr="001A140C">
        <w:trPr>
          <w:jc w:val="center"/>
        </w:trPr>
        <w:tc>
          <w:tcPr>
            <w:tcW w:w="535" w:type="dxa"/>
          </w:tcPr>
          <w:p w14:paraId="627C39CF" w14:textId="48D99E20" w:rsidR="001A140C" w:rsidRPr="001A140C" w:rsidRDefault="001A140C" w:rsidP="002655C0">
            <w:pPr>
              <w:pStyle w:val="NoSpacing"/>
              <w:spacing w:after="240"/>
              <w:rPr>
                <w:b/>
                <w:bCs/>
              </w:rPr>
            </w:pPr>
            <w:r w:rsidRPr="001A140C">
              <w:rPr>
                <w:b/>
                <w:bCs/>
              </w:rPr>
              <w:t>3</w:t>
            </w:r>
          </w:p>
        </w:tc>
        <w:tc>
          <w:tcPr>
            <w:tcW w:w="9094" w:type="dxa"/>
          </w:tcPr>
          <w:p w14:paraId="6B9D7ACE" w14:textId="77777777" w:rsidR="001A140C" w:rsidRPr="001A140C" w:rsidRDefault="001A140C" w:rsidP="001A140C">
            <w:pPr>
              <w:pStyle w:val="NoSpacing"/>
              <w:spacing w:after="240"/>
              <w:jc w:val="both"/>
              <w:rPr>
                <w:b/>
                <w:bCs/>
              </w:rPr>
            </w:pPr>
            <w:r w:rsidRPr="001A140C">
              <w:rPr>
                <w:b/>
                <w:bCs/>
              </w:rPr>
              <w:t>Does the NJDOE intend to award a single partner for all services or will multiple vendors be selected to support this work? Does this differ by goal and deliverable (Professional Development; Curricula, Resources, and Course Materials; and Research and Case Studies)? Will the NJDOE consider applicants who propose to support some but not all goals/deliverables as articulated in the scope?</w:t>
            </w:r>
          </w:p>
          <w:p w14:paraId="5690F29D" w14:textId="77777777" w:rsidR="00CE2A21" w:rsidRDefault="005E0C9E" w:rsidP="002655C0">
            <w:pPr>
              <w:pStyle w:val="NoSpacing"/>
              <w:spacing w:after="240"/>
            </w:pPr>
            <w:r>
              <w:t>The NJDOE will award one contract</w:t>
            </w:r>
            <w:r w:rsidR="000F01B2">
              <w:t xml:space="preserve">. </w:t>
            </w:r>
          </w:p>
          <w:p w14:paraId="3634DCAA" w14:textId="09171BC4" w:rsidR="001A140C" w:rsidRPr="00F658FC" w:rsidRDefault="000F01B2" w:rsidP="002655C0">
            <w:pPr>
              <w:pStyle w:val="NoSpacing"/>
              <w:spacing w:after="240"/>
            </w:pPr>
            <w:r>
              <w:t xml:space="preserve">Section 1.1 </w:t>
            </w:r>
            <w:r w:rsidR="00341575">
              <w:t>Purpose and Intent, “</w:t>
            </w:r>
            <w:r w:rsidR="00CE2A21" w:rsidRPr="00BB2E41">
              <w:rPr>
                <w:rFonts w:eastAsia="HiddenHorzOCR"/>
              </w:rPr>
              <w:t xml:space="preserve">The New Jersey Department of Education (NJDOE), </w:t>
            </w:r>
            <w:r w:rsidR="00CE2A21" w:rsidRPr="00BB2E41">
              <w:t>Division of Teaching and Learning Services, Office of Career Readiness (OCR), is publishing this Request for Proposal (RFP) to identify</w:t>
            </w:r>
            <w:r w:rsidR="00CE2A21" w:rsidRPr="00CE2A21">
              <w:rPr>
                <w:b/>
                <w:bCs/>
                <w:color w:val="FF0000"/>
              </w:rPr>
              <w:t xml:space="preserve"> </w:t>
            </w:r>
            <w:r w:rsidR="00CE2A21" w:rsidRPr="00EF3B49">
              <w:rPr>
                <w:b/>
                <w:bCs/>
              </w:rPr>
              <w:t>an</w:t>
            </w:r>
            <w:r w:rsidR="00CE2A21" w:rsidRPr="00EF3B49">
              <w:t xml:space="preserve"> </w:t>
            </w:r>
            <w:r w:rsidR="00CE2A21" w:rsidRPr="00BB2E41">
              <w:rPr>
                <w:rFonts w:cs="Times New Roman"/>
                <w:color w:val="000000"/>
                <w:shd w:val="clear" w:color="auto" w:fill="FFFFFF"/>
              </w:rPr>
              <w:t>external partner to deliver professional development and perform research that specifically focuses on the Strengthening Career and Technical Education Act for the 21</w:t>
            </w:r>
            <w:r w:rsidR="00CE2A21" w:rsidRPr="00BB2E41">
              <w:rPr>
                <w:rFonts w:cs="Times New Roman"/>
                <w:color w:val="000000"/>
                <w:shd w:val="clear" w:color="auto" w:fill="FFFFFF"/>
                <w:vertAlign w:val="superscript"/>
              </w:rPr>
              <w:t>st</w:t>
            </w:r>
            <w:r w:rsidR="00CE2A21" w:rsidRPr="00BB2E41">
              <w:rPr>
                <w:rFonts w:cs="Times New Roman"/>
                <w:color w:val="000000"/>
                <w:shd w:val="clear" w:color="auto" w:fill="FFFFFF"/>
              </w:rPr>
              <w:t xml:space="preserve"> Century (Perkins V) and removing barriers for nontraditional students and promoting the access of special populations students to Career and Technical Education (CTE) programs</w:t>
            </w:r>
            <w:r w:rsidR="00CE2A21">
              <w:rPr>
                <w:rFonts w:cs="Times New Roman"/>
                <w:color w:val="000000"/>
                <w:shd w:val="clear" w:color="auto" w:fill="FFFFFF"/>
              </w:rPr>
              <w:t>.”</w:t>
            </w:r>
          </w:p>
        </w:tc>
      </w:tr>
      <w:tr w:rsidR="001A140C" w14:paraId="3611A77E" w14:textId="77777777" w:rsidTr="001A140C">
        <w:trPr>
          <w:jc w:val="center"/>
        </w:trPr>
        <w:tc>
          <w:tcPr>
            <w:tcW w:w="535" w:type="dxa"/>
          </w:tcPr>
          <w:p w14:paraId="2F0A263E" w14:textId="0842C033" w:rsidR="001A140C" w:rsidRPr="001A140C" w:rsidRDefault="001A140C" w:rsidP="002655C0">
            <w:pPr>
              <w:pStyle w:val="NoSpacing"/>
              <w:spacing w:after="240"/>
              <w:rPr>
                <w:b/>
                <w:bCs/>
              </w:rPr>
            </w:pPr>
            <w:r w:rsidRPr="001A140C">
              <w:rPr>
                <w:b/>
                <w:bCs/>
              </w:rPr>
              <w:lastRenderedPageBreak/>
              <w:t>4</w:t>
            </w:r>
          </w:p>
        </w:tc>
        <w:tc>
          <w:tcPr>
            <w:tcW w:w="9094" w:type="dxa"/>
          </w:tcPr>
          <w:p w14:paraId="10F0DD86" w14:textId="77777777" w:rsidR="001A140C" w:rsidRDefault="001A140C" w:rsidP="001A140C">
            <w:pPr>
              <w:pStyle w:val="NoSpacing"/>
              <w:spacing w:after="240"/>
              <w:jc w:val="both"/>
              <w:rPr>
                <w:b/>
                <w:bCs/>
              </w:rPr>
            </w:pPr>
            <w:r w:rsidRPr="001A140C">
              <w:rPr>
                <w:b/>
                <w:bCs/>
              </w:rPr>
              <w:t xml:space="preserve">What existing tools or resources does the NJDOE currently reference when designing professional learning support for CTE programming and supporting non-traditional and special populations? Are there preferred frameworks or materials that the vendor should consider in developing the professional learning and curricula? </w:t>
            </w:r>
          </w:p>
          <w:p w14:paraId="3BE0B1CC" w14:textId="10D461C6" w:rsidR="001A140C" w:rsidRDefault="00876FE0" w:rsidP="002655C0">
            <w:pPr>
              <w:pStyle w:val="NoSpacing"/>
              <w:spacing w:after="240"/>
            </w:pPr>
            <w:r w:rsidRPr="00876FE0">
              <w:t>The NJDOE recommends adhering to N.J.A.C. 6A:9, Professional Standards, Subchapter 3 to the greatest extent possible.</w:t>
            </w:r>
          </w:p>
        </w:tc>
      </w:tr>
      <w:tr w:rsidR="001A140C" w14:paraId="0EC271E1" w14:textId="77777777" w:rsidTr="001A140C">
        <w:trPr>
          <w:jc w:val="center"/>
        </w:trPr>
        <w:tc>
          <w:tcPr>
            <w:tcW w:w="535" w:type="dxa"/>
          </w:tcPr>
          <w:p w14:paraId="7BDA1E43" w14:textId="2F1A2750" w:rsidR="001A140C" w:rsidRPr="001A140C" w:rsidRDefault="001A140C" w:rsidP="002655C0">
            <w:pPr>
              <w:pStyle w:val="NoSpacing"/>
              <w:spacing w:after="240"/>
              <w:rPr>
                <w:b/>
                <w:bCs/>
              </w:rPr>
            </w:pPr>
            <w:r w:rsidRPr="001A140C">
              <w:rPr>
                <w:b/>
                <w:bCs/>
              </w:rPr>
              <w:t>5</w:t>
            </w:r>
          </w:p>
        </w:tc>
        <w:tc>
          <w:tcPr>
            <w:tcW w:w="9094" w:type="dxa"/>
          </w:tcPr>
          <w:p w14:paraId="1779899D" w14:textId="77777777" w:rsidR="001A140C" w:rsidRDefault="001A140C" w:rsidP="001A140C">
            <w:pPr>
              <w:pStyle w:val="NoSpacing"/>
              <w:spacing w:after="240"/>
              <w:jc w:val="both"/>
              <w:rPr>
                <w:b/>
                <w:bCs/>
              </w:rPr>
            </w:pPr>
            <w:r w:rsidRPr="001A140C">
              <w:rPr>
                <w:b/>
                <w:bCs/>
              </w:rPr>
              <w:t xml:space="preserve">Who is the primary audience for the professional learning experiences (county vocational technical schools, community colleges, or traditional secondary comprehensive schools)? </w:t>
            </w:r>
          </w:p>
          <w:p w14:paraId="0BDBEA91" w14:textId="07588B00" w:rsidR="001A140C" w:rsidRDefault="00591246" w:rsidP="002655C0">
            <w:pPr>
              <w:pStyle w:val="NoSpacing"/>
              <w:spacing w:after="240"/>
            </w:pPr>
            <w:r>
              <w:t>The primary audience will be teachers</w:t>
            </w:r>
            <w:r w:rsidR="004D4EC7">
              <w:t xml:space="preserve">, faculty, administrators, and staff from County Vocational Schools, community colleges, and comprehensive (traditional) </w:t>
            </w:r>
            <w:r w:rsidR="005901D1">
              <w:t>school districts with approved Career and Technical Education (CTE) programs of study.</w:t>
            </w:r>
          </w:p>
        </w:tc>
      </w:tr>
      <w:tr w:rsidR="001A140C" w14:paraId="2C557E87" w14:textId="77777777" w:rsidTr="001A140C">
        <w:trPr>
          <w:jc w:val="center"/>
        </w:trPr>
        <w:tc>
          <w:tcPr>
            <w:tcW w:w="535" w:type="dxa"/>
          </w:tcPr>
          <w:p w14:paraId="746C6FF5" w14:textId="4B9BBDB5" w:rsidR="001A140C" w:rsidRPr="001A140C" w:rsidRDefault="001A140C" w:rsidP="002655C0">
            <w:pPr>
              <w:pStyle w:val="NoSpacing"/>
              <w:spacing w:after="240"/>
              <w:rPr>
                <w:b/>
                <w:bCs/>
              </w:rPr>
            </w:pPr>
            <w:r w:rsidRPr="001A140C">
              <w:rPr>
                <w:b/>
                <w:bCs/>
              </w:rPr>
              <w:t>6</w:t>
            </w:r>
          </w:p>
        </w:tc>
        <w:tc>
          <w:tcPr>
            <w:tcW w:w="9094" w:type="dxa"/>
          </w:tcPr>
          <w:p w14:paraId="0FA04561" w14:textId="77777777" w:rsidR="001A140C" w:rsidRPr="001A140C" w:rsidRDefault="001A140C" w:rsidP="001A140C">
            <w:pPr>
              <w:pStyle w:val="NoSpacing"/>
              <w:tabs>
                <w:tab w:val="left" w:pos="924"/>
              </w:tabs>
              <w:spacing w:after="240"/>
              <w:rPr>
                <w:b/>
                <w:bCs/>
              </w:rPr>
            </w:pPr>
            <w:r w:rsidRPr="001A140C">
              <w:rPr>
                <w:b/>
                <w:bCs/>
              </w:rPr>
              <w:t xml:space="preserve">Are there prioritized special populations based on any performance data within those special populations? </w:t>
            </w:r>
          </w:p>
          <w:p w14:paraId="2BDBDA61" w14:textId="2507C8C8" w:rsidR="001A140C" w:rsidRPr="001A140C" w:rsidRDefault="008215CD" w:rsidP="002655C0">
            <w:pPr>
              <w:pStyle w:val="NoSpacing"/>
              <w:tabs>
                <w:tab w:val="left" w:pos="924"/>
              </w:tabs>
              <w:spacing w:after="240"/>
            </w:pPr>
            <w:r>
              <w:t>The R</w:t>
            </w:r>
            <w:r w:rsidR="00604BFF">
              <w:t>FP</w:t>
            </w:r>
            <w:r>
              <w:t xml:space="preserve"> focuses on students preparing for nontraditional careers and all special population categories </w:t>
            </w:r>
            <w:r w:rsidR="00604BFF">
              <w:t>specified on page 3 of the RFP</w:t>
            </w:r>
            <w:r>
              <w:t xml:space="preserve">. </w:t>
            </w:r>
          </w:p>
        </w:tc>
      </w:tr>
      <w:tr w:rsidR="001A140C" w14:paraId="57B5DDA3" w14:textId="77777777" w:rsidTr="001A140C">
        <w:trPr>
          <w:jc w:val="center"/>
        </w:trPr>
        <w:tc>
          <w:tcPr>
            <w:tcW w:w="535" w:type="dxa"/>
          </w:tcPr>
          <w:p w14:paraId="6CA312EF" w14:textId="7704A841" w:rsidR="001A140C" w:rsidRPr="001A140C" w:rsidRDefault="001A140C" w:rsidP="002655C0">
            <w:pPr>
              <w:pStyle w:val="NoSpacing"/>
              <w:spacing w:after="240"/>
              <w:rPr>
                <w:b/>
                <w:bCs/>
              </w:rPr>
            </w:pPr>
            <w:r w:rsidRPr="001A140C">
              <w:rPr>
                <w:b/>
                <w:bCs/>
              </w:rPr>
              <w:t>7</w:t>
            </w:r>
          </w:p>
        </w:tc>
        <w:tc>
          <w:tcPr>
            <w:tcW w:w="9094" w:type="dxa"/>
          </w:tcPr>
          <w:p w14:paraId="522E4F7D" w14:textId="15583F8B" w:rsidR="001A140C" w:rsidRDefault="001A140C" w:rsidP="001A140C">
            <w:pPr>
              <w:pStyle w:val="NoSpacing"/>
              <w:tabs>
                <w:tab w:val="left" w:pos="924"/>
              </w:tabs>
              <w:spacing w:after="240"/>
              <w:rPr>
                <w:b/>
                <w:bCs/>
              </w:rPr>
            </w:pPr>
            <w:r w:rsidRPr="001A140C">
              <w:rPr>
                <w:b/>
                <w:bCs/>
              </w:rPr>
              <w:t xml:space="preserve">What data will the outside partner have access to </w:t>
            </w:r>
            <w:r>
              <w:rPr>
                <w:b/>
                <w:bCs/>
              </w:rPr>
              <w:t xml:space="preserve">to </w:t>
            </w:r>
            <w:r w:rsidRPr="001A140C">
              <w:rPr>
                <w:b/>
                <w:bCs/>
              </w:rPr>
              <w:t>support the research study and identification of potential bright spots? Is there a set of schools that are already under consideration based on any initial analysis conducted?</w:t>
            </w:r>
          </w:p>
          <w:p w14:paraId="462BC327" w14:textId="77777777" w:rsidR="005F34CC" w:rsidRDefault="00B073AF" w:rsidP="001A140C">
            <w:pPr>
              <w:pStyle w:val="NoSpacing"/>
              <w:tabs>
                <w:tab w:val="left" w:pos="924"/>
              </w:tabs>
              <w:spacing w:after="240"/>
            </w:pPr>
            <w:r w:rsidRPr="001A70A9">
              <w:rPr>
                <w:i/>
                <w:iCs/>
              </w:rPr>
              <w:t xml:space="preserve">Section </w:t>
            </w:r>
            <w:r w:rsidR="00551492" w:rsidRPr="001A70A9">
              <w:rPr>
                <w:i/>
                <w:iCs/>
              </w:rPr>
              <w:t xml:space="preserve">4.4.12 Data Sharing </w:t>
            </w:r>
            <w:r w:rsidR="001A70A9" w:rsidRPr="001A70A9">
              <w:rPr>
                <w:i/>
                <w:iCs/>
              </w:rPr>
              <w:t>Agreement</w:t>
            </w:r>
            <w:r w:rsidR="002D5B51">
              <w:t xml:space="preserve"> states that there will be a Data Sharing Agreement between the selected vendor and NJDOE</w:t>
            </w:r>
            <w:r w:rsidR="006D498D">
              <w:t xml:space="preserve">. </w:t>
            </w:r>
          </w:p>
          <w:p w14:paraId="1BBC41B8" w14:textId="77777777" w:rsidR="001A140C" w:rsidRDefault="001A70A9" w:rsidP="001A140C">
            <w:pPr>
              <w:pStyle w:val="NoSpacing"/>
              <w:tabs>
                <w:tab w:val="left" w:pos="924"/>
              </w:tabs>
              <w:spacing w:after="240"/>
            </w:pPr>
            <w:r>
              <w:t xml:space="preserve">The NJDOE does not have a set of schools under consideration for initial analysis. </w:t>
            </w:r>
          </w:p>
          <w:p w14:paraId="471A5183" w14:textId="5FC30770" w:rsidR="005F34CC" w:rsidRPr="001A140C" w:rsidRDefault="005F34CC" w:rsidP="001A140C">
            <w:pPr>
              <w:pStyle w:val="NoSpacing"/>
              <w:tabs>
                <w:tab w:val="left" w:pos="924"/>
              </w:tabs>
              <w:spacing w:after="240"/>
            </w:pPr>
            <w:r>
              <w:t xml:space="preserve">The response should clarify the </w:t>
            </w:r>
            <w:r w:rsidR="00081FF2">
              <w:t>data needed as a part of their technical proposal.</w:t>
            </w:r>
          </w:p>
        </w:tc>
      </w:tr>
      <w:tr w:rsidR="001A140C" w14:paraId="53A975A0" w14:textId="77777777" w:rsidTr="001A140C">
        <w:trPr>
          <w:jc w:val="center"/>
        </w:trPr>
        <w:tc>
          <w:tcPr>
            <w:tcW w:w="535" w:type="dxa"/>
          </w:tcPr>
          <w:p w14:paraId="4F40E67A" w14:textId="271251BE" w:rsidR="001A140C" w:rsidRPr="001A140C" w:rsidRDefault="001A140C" w:rsidP="002655C0">
            <w:pPr>
              <w:pStyle w:val="NoSpacing"/>
              <w:spacing w:after="240"/>
              <w:rPr>
                <w:b/>
                <w:bCs/>
              </w:rPr>
            </w:pPr>
            <w:r w:rsidRPr="001A140C">
              <w:rPr>
                <w:b/>
                <w:bCs/>
              </w:rPr>
              <w:t>8</w:t>
            </w:r>
          </w:p>
        </w:tc>
        <w:tc>
          <w:tcPr>
            <w:tcW w:w="9094" w:type="dxa"/>
          </w:tcPr>
          <w:p w14:paraId="379145BF" w14:textId="77777777" w:rsidR="001A140C" w:rsidRDefault="001A140C" w:rsidP="001A140C">
            <w:pPr>
              <w:pStyle w:val="NoSpacing"/>
              <w:tabs>
                <w:tab w:val="left" w:pos="924"/>
              </w:tabs>
              <w:spacing w:after="240"/>
              <w:rPr>
                <w:b/>
                <w:bCs/>
              </w:rPr>
            </w:pPr>
            <w:r w:rsidRPr="001A140C">
              <w:rPr>
                <w:b/>
                <w:bCs/>
              </w:rPr>
              <w:t xml:space="preserve">How will the final research report be disseminated to the field? What is the responsibility of the external partner for leading this and what will the NJDOE lead? </w:t>
            </w:r>
          </w:p>
          <w:p w14:paraId="6944795C" w14:textId="7E36F72D" w:rsidR="007A2C16" w:rsidRDefault="007A2C16" w:rsidP="001A140C">
            <w:pPr>
              <w:pStyle w:val="NoSpacing"/>
              <w:tabs>
                <w:tab w:val="left" w:pos="924"/>
              </w:tabs>
              <w:spacing w:after="240"/>
            </w:pPr>
            <w:r>
              <w:t>Attachment A, Scope of Work, Program Criteria C.2. (</w:t>
            </w:r>
            <w:r w:rsidR="00C86CCC">
              <w:t xml:space="preserve">p.22). </w:t>
            </w:r>
            <w:r w:rsidR="00CB0EEA" w:rsidRPr="00CB0EEA">
              <w:t>The final report will be submitted to the NJDOE with the final report.</w:t>
            </w:r>
            <w:r w:rsidR="00A0748D">
              <w:t xml:space="preserve"> </w:t>
            </w:r>
          </w:p>
          <w:p w14:paraId="07D6B9FB" w14:textId="3AF878F1" w:rsidR="001A140C" w:rsidRPr="00CB0EEA" w:rsidRDefault="00A0748D" w:rsidP="001A140C">
            <w:pPr>
              <w:pStyle w:val="NoSpacing"/>
              <w:tabs>
                <w:tab w:val="left" w:pos="924"/>
              </w:tabs>
              <w:spacing w:after="240"/>
            </w:pPr>
            <w:r>
              <w:t xml:space="preserve">The NJDOE will </w:t>
            </w:r>
            <w:r w:rsidR="00455862">
              <w:t xml:space="preserve">determine how it will be shared with the public. </w:t>
            </w:r>
          </w:p>
        </w:tc>
      </w:tr>
      <w:tr w:rsidR="001A140C" w14:paraId="103A3E31" w14:textId="77777777" w:rsidTr="001A140C">
        <w:trPr>
          <w:jc w:val="center"/>
        </w:trPr>
        <w:tc>
          <w:tcPr>
            <w:tcW w:w="535" w:type="dxa"/>
          </w:tcPr>
          <w:p w14:paraId="43A62152" w14:textId="25709074" w:rsidR="001A140C" w:rsidRPr="001A140C" w:rsidRDefault="001A140C" w:rsidP="002655C0">
            <w:pPr>
              <w:pStyle w:val="NoSpacing"/>
              <w:spacing w:after="240"/>
              <w:rPr>
                <w:b/>
                <w:bCs/>
              </w:rPr>
            </w:pPr>
            <w:r w:rsidRPr="001A140C">
              <w:rPr>
                <w:b/>
                <w:bCs/>
              </w:rPr>
              <w:lastRenderedPageBreak/>
              <w:t>9</w:t>
            </w:r>
          </w:p>
        </w:tc>
        <w:tc>
          <w:tcPr>
            <w:tcW w:w="9094" w:type="dxa"/>
          </w:tcPr>
          <w:p w14:paraId="2C5846D2" w14:textId="77777777" w:rsidR="001A140C" w:rsidRPr="001A140C" w:rsidRDefault="001A140C" w:rsidP="001A140C">
            <w:pPr>
              <w:pStyle w:val="NoSpacing"/>
              <w:tabs>
                <w:tab w:val="left" w:pos="924"/>
              </w:tabs>
              <w:spacing w:after="240"/>
              <w:rPr>
                <w:b/>
                <w:bCs/>
              </w:rPr>
            </w:pPr>
            <w:r w:rsidRPr="001A140C">
              <w:rPr>
                <w:b/>
                <w:bCs/>
              </w:rPr>
              <w:t xml:space="preserve">When does the NJDOE anticipate the contract will be awarded? When do they expect the work to begin? </w:t>
            </w:r>
          </w:p>
          <w:p w14:paraId="575919A9" w14:textId="520F7CAB" w:rsidR="001A140C" w:rsidRPr="00824A94" w:rsidRDefault="00A26E8F" w:rsidP="001A140C">
            <w:pPr>
              <w:pStyle w:val="NoSpacing"/>
              <w:tabs>
                <w:tab w:val="left" w:pos="924"/>
              </w:tabs>
              <w:spacing w:after="240"/>
            </w:pPr>
            <w:r w:rsidRPr="00824A94">
              <w:t>Work will begin upon</w:t>
            </w:r>
            <w:r w:rsidR="00824A94" w:rsidRPr="00824A94">
              <w:t xml:space="preserve"> the selected vendor receiving a</w:t>
            </w:r>
            <w:r w:rsidRPr="00824A94">
              <w:t xml:space="preserve"> </w:t>
            </w:r>
            <w:r w:rsidR="00C317AF" w:rsidRPr="00824A94">
              <w:t xml:space="preserve">Notice of </w:t>
            </w:r>
            <w:r w:rsidR="00824A94" w:rsidRPr="00824A94">
              <w:t>Award Determination</w:t>
            </w:r>
            <w:r w:rsidR="00081FF2">
              <w:t xml:space="preserve"> and the completion of all vendor forms</w:t>
            </w:r>
            <w:r w:rsidR="00824A94" w:rsidRPr="00824A94">
              <w:t>.</w:t>
            </w:r>
            <w:r w:rsidR="006004F9">
              <w:t xml:space="preserve"> See </w:t>
            </w:r>
            <w:r w:rsidR="00610BE9">
              <w:t>Attachment A, Scope of Work, Program Criteria D</w:t>
            </w:r>
            <w:r w:rsidR="00EB5557">
              <w:t xml:space="preserve"> for the program deliverable schedule.</w:t>
            </w:r>
          </w:p>
        </w:tc>
      </w:tr>
      <w:tr w:rsidR="001A140C" w14:paraId="75325E1D" w14:textId="77777777" w:rsidTr="001A140C">
        <w:trPr>
          <w:jc w:val="center"/>
        </w:trPr>
        <w:tc>
          <w:tcPr>
            <w:tcW w:w="535" w:type="dxa"/>
          </w:tcPr>
          <w:p w14:paraId="5BC1A142" w14:textId="1B453FEE" w:rsidR="001A140C" w:rsidRPr="001A140C" w:rsidRDefault="001A140C" w:rsidP="002655C0">
            <w:pPr>
              <w:pStyle w:val="NoSpacing"/>
              <w:spacing w:after="240"/>
              <w:rPr>
                <w:b/>
                <w:bCs/>
              </w:rPr>
            </w:pPr>
            <w:r w:rsidRPr="001A140C">
              <w:rPr>
                <w:b/>
                <w:bCs/>
              </w:rPr>
              <w:t>10</w:t>
            </w:r>
          </w:p>
        </w:tc>
        <w:tc>
          <w:tcPr>
            <w:tcW w:w="9094" w:type="dxa"/>
          </w:tcPr>
          <w:p w14:paraId="60ED1A36" w14:textId="77777777" w:rsidR="001A140C" w:rsidRDefault="001A140C" w:rsidP="001A140C">
            <w:pPr>
              <w:pStyle w:val="NoSpacing"/>
              <w:tabs>
                <w:tab w:val="left" w:pos="924"/>
              </w:tabs>
              <w:spacing w:after="240"/>
              <w:rPr>
                <w:b/>
                <w:bCs/>
              </w:rPr>
            </w:pPr>
            <w:r w:rsidRPr="001A140C">
              <w:rPr>
                <w:b/>
                <w:bCs/>
              </w:rPr>
              <w:t>Is there an anticipated budget for this work? If so, what is expected budget?</w:t>
            </w:r>
          </w:p>
          <w:p w14:paraId="2E545AF6" w14:textId="64F9BAC6" w:rsidR="0096759E" w:rsidRPr="00C56CCA" w:rsidRDefault="0039339D" w:rsidP="001A140C">
            <w:pPr>
              <w:pStyle w:val="NoSpacing"/>
              <w:tabs>
                <w:tab w:val="left" w:pos="924"/>
              </w:tabs>
              <w:spacing w:after="240"/>
            </w:pPr>
            <w:r>
              <w:t>It is recommended that applicants submit their most competitive bid for the project</w:t>
            </w:r>
            <w:r w:rsidR="0089409A">
              <w:t xml:space="preserve"> for each project period</w:t>
            </w:r>
            <w:r w:rsidR="004D24B0">
              <w:t xml:space="preserve">. Please see Attachment C, NJDOE </w:t>
            </w:r>
            <w:r w:rsidR="00527A63">
              <w:t>Supplied Price Sheet.</w:t>
            </w:r>
          </w:p>
        </w:tc>
      </w:tr>
      <w:tr w:rsidR="001A140C" w14:paraId="597BC2B9" w14:textId="77777777" w:rsidTr="001A140C">
        <w:trPr>
          <w:jc w:val="center"/>
        </w:trPr>
        <w:tc>
          <w:tcPr>
            <w:tcW w:w="535" w:type="dxa"/>
          </w:tcPr>
          <w:p w14:paraId="329998B1" w14:textId="5D007729" w:rsidR="001A140C" w:rsidRPr="001A140C" w:rsidRDefault="001A140C" w:rsidP="002655C0">
            <w:pPr>
              <w:pStyle w:val="NoSpacing"/>
              <w:spacing w:after="240"/>
              <w:rPr>
                <w:b/>
                <w:bCs/>
              </w:rPr>
            </w:pPr>
            <w:r w:rsidRPr="001A140C">
              <w:rPr>
                <w:b/>
                <w:bCs/>
              </w:rPr>
              <w:t>11</w:t>
            </w:r>
          </w:p>
        </w:tc>
        <w:tc>
          <w:tcPr>
            <w:tcW w:w="9094" w:type="dxa"/>
          </w:tcPr>
          <w:p w14:paraId="3A897294" w14:textId="77777777" w:rsidR="001A140C" w:rsidRDefault="001A140C" w:rsidP="001A140C">
            <w:pPr>
              <w:pStyle w:val="NoSpacing"/>
              <w:tabs>
                <w:tab w:val="left" w:pos="924"/>
              </w:tabs>
              <w:spacing w:after="240"/>
              <w:rPr>
                <w:b/>
                <w:bCs/>
              </w:rPr>
            </w:pPr>
            <w:r w:rsidRPr="001A140C">
              <w:rPr>
                <w:b/>
                <w:bCs/>
              </w:rPr>
              <w:t>Given that Period 1 and Period 4 are partial years, what work/deliverables are expected for those two periods? </w:t>
            </w:r>
          </w:p>
          <w:p w14:paraId="49839F1C" w14:textId="195BA85E" w:rsidR="00180252" w:rsidRPr="00811BCE" w:rsidRDefault="00811BCE" w:rsidP="001A140C">
            <w:pPr>
              <w:pStyle w:val="NoSpacing"/>
              <w:tabs>
                <w:tab w:val="left" w:pos="924"/>
              </w:tabs>
              <w:spacing w:after="240"/>
            </w:pPr>
            <w:r w:rsidRPr="00811BCE">
              <w:t>The applicant will identify the deliverables for each project period and specify the corresponding funding for each.</w:t>
            </w:r>
            <w:r w:rsidR="004B018D">
              <w:t xml:space="preserve"> </w:t>
            </w:r>
            <w:r w:rsidR="00C719C2">
              <w:t>However, t</w:t>
            </w:r>
            <w:r w:rsidR="00D83135">
              <w:t xml:space="preserve">hree in person professional development workshops will be expected </w:t>
            </w:r>
            <w:r w:rsidR="00C719C2">
              <w:t xml:space="preserve">for all </w:t>
            </w:r>
            <w:r w:rsidR="004D5D28">
              <w:t xml:space="preserve">project </w:t>
            </w:r>
            <w:r w:rsidR="00C719C2">
              <w:t>periods</w:t>
            </w:r>
            <w:r w:rsidR="004D5D28">
              <w:t xml:space="preserve"> (including partial years)</w:t>
            </w:r>
            <w:r w:rsidR="00C719C2">
              <w:t xml:space="preserve">. </w:t>
            </w:r>
          </w:p>
        </w:tc>
      </w:tr>
      <w:tr w:rsidR="001A140C" w14:paraId="531025A2" w14:textId="77777777" w:rsidTr="001A140C">
        <w:trPr>
          <w:jc w:val="center"/>
        </w:trPr>
        <w:tc>
          <w:tcPr>
            <w:tcW w:w="535" w:type="dxa"/>
          </w:tcPr>
          <w:p w14:paraId="24CE5C05" w14:textId="3722F354" w:rsidR="001A140C" w:rsidRPr="001A140C" w:rsidRDefault="001A140C" w:rsidP="002655C0">
            <w:pPr>
              <w:pStyle w:val="NoSpacing"/>
              <w:spacing w:after="240"/>
              <w:rPr>
                <w:b/>
                <w:bCs/>
              </w:rPr>
            </w:pPr>
            <w:r w:rsidRPr="001A140C">
              <w:rPr>
                <w:b/>
                <w:bCs/>
              </w:rPr>
              <w:t>12</w:t>
            </w:r>
          </w:p>
        </w:tc>
        <w:tc>
          <w:tcPr>
            <w:tcW w:w="9094" w:type="dxa"/>
          </w:tcPr>
          <w:p w14:paraId="0A0EB582" w14:textId="77777777" w:rsidR="001A140C" w:rsidRDefault="001A140C" w:rsidP="001A140C">
            <w:pPr>
              <w:pStyle w:val="NoSpacing"/>
              <w:tabs>
                <w:tab w:val="left" w:pos="924"/>
              </w:tabs>
              <w:spacing w:after="240"/>
              <w:rPr>
                <w:b/>
                <w:bCs/>
              </w:rPr>
            </w:pPr>
            <w:r w:rsidRPr="001A140C">
              <w:rPr>
                <w:b/>
                <w:bCs/>
              </w:rPr>
              <w:t>Have particular schools been identified for onsite research and case studies?</w:t>
            </w:r>
          </w:p>
          <w:p w14:paraId="1BACE66A" w14:textId="5F3A419A" w:rsidR="001A140C" w:rsidRPr="001A140C" w:rsidRDefault="00811BCE" w:rsidP="001A140C">
            <w:pPr>
              <w:pStyle w:val="NoSpacing"/>
              <w:tabs>
                <w:tab w:val="left" w:pos="924"/>
              </w:tabs>
              <w:spacing w:after="240"/>
            </w:pPr>
            <w:r>
              <w:t>No</w:t>
            </w:r>
          </w:p>
        </w:tc>
      </w:tr>
      <w:tr w:rsidR="001A140C" w14:paraId="72B6C162" w14:textId="77777777" w:rsidTr="001A140C">
        <w:trPr>
          <w:jc w:val="center"/>
        </w:trPr>
        <w:tc>
          <w:tcPr>
            <w:tcW w:w="535" w:type="dxa"/>
          </w:tcPr>
          <w:p w14:paraId="47CC153E" w14:textId="0C1AD900" w:rsidR="001A140C" w:rsidRPr="001A140C" w:rsidRDefault="001A140C" w:rsidP="002655C0">
            <w:pPr>
              <w:pStyle w:val="NoSpacing"/>
              <w:spacing w:after="240"/>
              <w:rPr>
                <w:b/>
                <w:bCs/>
              </w:rPr>
            </w:pPr>
            <w:r w:rsidRPr="001A140C">
              <w:rPr>
                <w:b/>
                <w:bCs/>
              </w:rPr>
              <w:t>13</w:t>
            </w:r>
          </w:p>
        </w:tc>
        <w:tc>
          <w:tcPr>
            <w:tcW w:w="9094" w:type="dxa"/>
          </w:tcPr>
          <w:p w14:paraId="08E51D8D" w14:textId="77777777" w:rsidR="001A140C" w:rsidRDefault="001A140C" w:rsidP="001A140C">
            <w:pPr>
              <w:pStyle w:val="NoSpacing"/>
              <w:tabs>
                <w:tab w:val="left" w:pos="924"/>
              </w:tabs>
              <w:spacing w:after="240"/>
              <w:rPr>
                <w:b/>
                <w:bCs/>
              </w:rPr>
            </w:pPr>
            <w:r w:rsidRPr="001A140C">
              <w:rPr>
                <w:b/>
                <w:bCs/>
              </w:rPr>
              <w:t>Is there a regional preference for case study schools?</w:t>
            </w:r>
          </w:p>
          <w:p w14:paraId="7B57CF40" w14:textId="6831CD02" w:rsidR="001A140C" w:rsidRPr="001A140C" w:rsidRDefault="00811BCE" w:rsidP="001A140C">
            <w:pPr>
              <w:pStyle w:val="NoSpacing"/>
              <w:tabs>
                <w:tab w:val="left" w:pos="924"/>
              </w:tabs>
              <w:spacing w:after="240"/>
            </w:pPr>
            <w:r>
              <w:t>No</w:t>
            </w:r>
          </w:p>
        </w:tc>
      </w:tr>
      <w:tr w:rsidR="001A140C" w14:paraId="2BD60655" w14:textId="77777777" w:rsidTr="001A140C">
        <w:trPr>
          <w:jc w:val="center"/>
        </w:trPr>
        <w:tc>
          <w:tcPr>
            <w:tcW w:w="535" w:type="dxa"/>
          </w:tcPr>
          <w:p w14:paraId="3452F1BC" w14:textId="2719998D" w:rsidR="001A140C" w:rsidRPr="001A140C" w:rsidRDefault="001A140C" w:rsidP="002655C0">
            <w:pPr>
              <w:pStyle w:val="NoSpacing"/>
              <w:spacing w:after="240"/>
              <w:rPr>
                <w:b/>
                <w:bCs/>
              </w:rPr>
            </w:pPr>
            <w:r w:rsidRPr="001A140C">
              <w:rPr>
                <w:b/>
                <w:bCs/>
              </w:rPr>
              <w:t>14</w:t>
            </w:r>
          </w:p>
        </w:tc>
        <w:tc>
          <w:tcPr>
            <w:tcW w:w="9094" w:type="dxa"/>
          </w:tcPr>
          <w:p w14:paraId="28EBAB9A" w14:textId="77777777" w:rsidR="001A140C" w:rsidRDefault="001A140C" w:rsidP="001A140C">
            <w:pPr>
              <w:pStyle w:val="NoSpacing"/>
              <w:tabs>
                <w:tab w:val="left" w:pos="924"/>
              </w:tabs>
              <w:spacing w:after="240"/>
              <w:rPr>
                <w:b/>
                <w:bCs/>
              </w:rPr>
            </w:pPr>
            <w:r w:rsidRPr="001A140C">
              <w:rPr>
                <w:b/>
                <w:bCs/>
              </w:rPr>
              <w:t>Is there a desired timeline for onsite visits? For instance, is it desired for the visits to occur at one time or to do the visits over the course of the project scope?</w:t>
            </w:r>
            <w:r>
              <w:rPr>
                <w:b/>
                <w:bCs/>
              </w:rPr>
              <w:t xml:space="preserve"> </w:t>
            </w:r>
            <w:r w:rsidRPr="001A140C">
              <w:rPr>
                <w:b/>
                <w:bCs/>
              </w:rPr>
              <w:t>Is there a particular time of year that is preferred for these visits?</w:t>
            </w:r>
          </w:p>
          <w:p w14:paraId="6D1077EF" w14:textId="691B922D" w:rsidR="00464A4F" w:rsidRPr="0054212D" w:rsidRDefault="003D7E1A" w:rsidP="001A140C">
            <w:pPr>
              <w:pStyle w:val="NoSpacing"/>
              <w:tabs>
                <w:tab w:val="left" w:pos="924"/>
              </w:tabs>
              <w:spacing w:after="240"/>
            </w:pPr>
            <w:r w:rsidRPr="003D7E1A">
              <w:t>On</w:t>
            </w:r>
            <w:r w:rsidRPr="003D7E1A">
              <w:rPr>
                <w:rFonts w:ascii="Cambria Math" w:hAnsi="Cambria Math" w:cs="Cambria Math"/>
              </w:rPr>
              <w:t>‑</w:t>
            </w:r>
            <w:r w:rsidRPr="003D7E1A">
              <w:t>site visits to schools or colleges are not required under this RFP.</w:t>
            </w:r>
          </w:p>
        </w:tc>
      </w:tr>
      <w:tr w:rsidR="001A140C" w14:paraId="5522BCFA" w14:textId="77777777" w:rsidTr="001A140C">
        <w:trPr>
          <w:jc w:val="center"/>
        </w:trPr>
        <w:tc>
          <w:tcPr>
            <w:tcW w:w="535" w:type="dxa"/>
          </w:tcPr>
          <w:p w14:paraId="1F6135F8" w14:textId="38726DA2" w:rsidR="001A140C" w:rsidRPr="001A140C" w:rsidRDefault="001A140C" w:rsidP="002655C0">
            <w:pPr>
              <w:pStyle w:val="NoSpacing"/>
              <w:spacing w:after="240"/>
              <w:rPr>
                <w:b/>
                <w:bCs/>
              </w:rPr>
            </w:pPr>
            <w:r w:rsidRPr="001A140C">
              <w:rPr>
                <w:b/>
                <w:bCs/>
              </w:rPr>
              <w:t>15</w:t>
            </w:r>
          </w:p>
        </w:tc>
        <w:tc>
          <w:tcPr>
            <w:tcW w:w="9094" w:type="dxa"/>
          </w:tcPr>
          <w:p w14:paraId="590280A8" w14:textId="77777777" w:rsidR="001A140C" w:rsidRPr="001A140C" w:rsidRDefault="001A140C" w:rsidP="001A140C">
            <w:pPr>
              <w:pStyle w:val="NoSpacing"/>
              <w:tabs>
                <w:tab w:val="left" w:pos="924"/>
              </w:tabs>
              <w:spacing w:after="240"/>
              <w:rPr>
                <w:b/>
                <w:bCs/>
              </w:rPr>
            </w:pPr>
            <w:r w:rsidRPr="001A140C">
              <w:rPr>
                <w:b/>
                <w:bCs/>
              </w:rPr>
              <w:t>Are there topics in mind for the five virtual workshops? Or does NJDOE wish for the vendor to identify those topics?</w:t>
            </w:r>
          </w:p>
          <w:p w14:paraId="6F601C18" w14:textId="13EA13E8" w:rsidR="001A140C" w:rsidRPr="00193B59" w:rsidRDefault="00DF5577" w:rsidP="001A140C">
            <w:pPr>
              <w:pStyle w:val="NoSpacing"/>
              <w:tabs>
                <w:tab w:val="left" w:pos="924"/>
              </w:tabs>
              <w:spacing w:after="240"/>
            </w:pPr>
            <w:r w:rsidRPr="00DF5577">
              <w:t>Attachment A, Scope of Work Goals 1 and 2, outlines the primary focus of the professional development workshops. Section B, Curricula, Resources, and Course Materials, further describes expectations for professional development collaboration; however, applicants may propose sample workshop topics.</w:t>
            </w:r>
          </w:p>
        </w:tc>
      </w:tr>
      <w:tr w:rsidR="001A140C" w14:paraId="18663527" w14:textId="77777777" w:rsidTr="001A140C">
        <w:trPr>
          <w:jc w:val="center"/>
        </w:trPr>
        <w:tc>
          <w:tcPr>
            <w:tcW w:w="535" w:type="dxa"/>
          </w:tcPr>
          <w:p w14:paraId="285B8E9E" w14:textId="5A7FE0A1" w:rsidR="001A140C" w:rsidRPr="001A140C" w:rsidRDefault="001A140C" w:rsidP="002655C0">
            <w:pPr>
              <w:pStyle w:val="NoSpacing"/>
              <w:spacing w:after="240"/>
              <w:rPr>
                <w:b/>
                <w:bCs/>
              </w:rPr>
            </w:pPr>
            <w:r w:rsidRPr="001A140C">
              <w:rPr>
                <w:b/>
                <w:bCs/>
              </w:rPr>
              <w:t>16</w:t>
            </w:r>
          </w:p>
        </w:tc>
        <w:tc>
          <w:tcPr>
            <w:tcW w:w="9094" w:type="dxa"/>
          </w:tcPr>
          <w:p w14:paraId="51D92F8E" w14:textId="77777777" w:rsidR="001A140C" w:rsidRDefault="001A140C" w:rsidP="001A140C">
            <w:pPr>
              <w:pStyle w:val="NoSpacing"/>
              <w:tabs>
                <w:tab w:val="left" w:pos="924"/>
              </w:tabs>
              <w:spacing w:after="240"/>
              <w:rPr>
                <w:b/>
                <w:bCs/>
              </w:rPr>
            </w:pPr>
            <w:r w:rsidRPr="001A140C">
              <w:rPr>
                <w:b/>
                <w:bCs/>
              </w:rPr>
              <w:t>Are there specific items to be included in the report due in June 2026? Or does NJDOE expect that report to encompass a general work plan?</w:t>
            </w:r>
          </w:p>
          <w:p w14:paraId="5B7AFDC4" w14:textId="00DFFD79" w:rsidR="004A52FE" w:rsidRPr="009D3D3B" w:rsidRDefault="003F6628" w:rsidP="001A140C">
            <w:pPr>
              <w:pStyle w:val="NoSpacing"/>
              <w:tabs>
                <w:tab w:val="left" w:pos="924"/>
              </w:tabs>
              <w:spacing w:after="240"/>
            </w:pPr>
            <w:r w:rsidRPr="009D3D3B">
              <w:lastRenderedPageBreak/>
              <w:t xml:space="preserve">The report due in June 2026 must document (by </w:t>
            </w:r>
            <w:r w:rsidR="009D3D3B" w:rsidRPr="009D3D3B">
              <w:t>providing</w:t>
            </w:r>
            <w:r w:rsidRPr="009D3D3B">
              <w:t xml:space="preserve"> evidence) the completion of the budgeted program criteria outlined in Attachment C.</w:t>
            </w:r>
          </w:p>
        </w:tc>
      </w:tr>
      <w:tr w:rsidR="001A140C" w14:paraId="253E79AD" w14:textId="77777777" w:rsidTr="001A140C">
        <w:trPr>
          <w:jc w:val="center"/>
        </w:trPr>
        <w:tc>
          <w:tcPr>
            <w:tcW w:w="535" w:type="dxa"/>
          </w:tcPr>
          <w:p w14:paraId="5877AEE6" w14:textId="59C4A87F" w:rsidR="001A140C" w:rsidRPr="001A140C" w:rsidRDefault="001A140C" w:rsidP="002655C0">
            <w:pPr>
              <w:pStyle w:val="NoSpacing"/>
              <w:spacing w:after="240"/>
              <w:rPr>
                <w:b/>
                <w:bCs/>
              </w:rPr>
            </w:pPr>
            <w:r w:rsidRPr="001A140C">
              <w:rPr>
                <w:b/>
                <w:bCs/>
              </w:rPr>
              <w:lastRenderedPageBreak/>
              <w:t>17</w:t>
            </w:r>
          </w:p>
        </w:tc>
        <w:tc>
          <w:tcPr>
            <w:tcW w:w="9094" w:type="dxa"/>
          </w:tcPr>
          <w:p w14:paraId="59FFD536" w14:textId="77777777" w:rsidR="001A140C" w:rsidRDefault="001A140C" w:rsidP="001A140C">
            <w:pPr>
              <w:pStyle w:val="NoSpacing"/>
              <w:tabs>
                <w:tab w:val="left" w:pos="924"/>
              </w:tabs>
              <w:spacing w:after="240"/>
              <w:rPr>
                <w:b/>
                <w:bCs/>
              </w:rPr>
            </w:pPr>
            <w:r w:rsidRPr="001A140C">
              <w:rPr>
                <w:b/>
                <w:bCs/>
              </w:rPr>
              <w:t>Can the vendor use prior work with NJDOE as a reference in this opportunity?</w:t>
            </w:r>
          </w:p>
          <w:p w14:paraId="027D8AB2" w14:textId="515F9F41" w:rsidR="009D3D3B" w:rsidRPr="009D3D3B" w:rsidRDefault="009D3D3B" w:rsidP="001A140C">
            <w:pPr>
              <w:pStyle w:val="NoSpacing"/>
              <w:tabs>
                <w:tab w:val="left" w:pos="924"/>
              </w:tabs>
              <w:spacing w:after="240"/>
            </w:pPr>
            <w:r w:rsidRPr="009D3D3B">
              <w:t>Yes</w:t>
            </w:r>
          </w:p>
        </w:tc>
      </w:tr>
      <w:tr w:rsidR="001A140C" w14:paraId="1EEEA23C" w14:textId="77777777" w:rsidTr="001A140C">
        <w:trPr>
          <w:jc w:val="center"/>
        </w:trPr>
        <w:tc>
          <w:tcPr>
            <w:tcW w:w="535" w:type="dxa"/>
          </w:tcPr>
          <w:p w14:paraId="7AA4B403" w14:textId="03603E20" w:rsidR="001A140C" w:rsidRPr="001A140C" w:rsidRDefault="001A140C" w:rsidP="002655C0">
            <w:pPr>
              <w:pStyle w:val="NoSpacing"/>
              <w:spacing w:after="240"/>
              <w:rPr>
                <w:b/>
                <w:bCs/>
              </w:rPr>
            </w:pPr>
            <w:r w:rsidRPr="001A140C">
              <w:rPr>
                <w:b/>
                <w:bCs/>
              </w:rPr>
              <w:t>18</w:t>
            </w:r>
          </w:p>
        </w:tc>
        <w:tc>
          <w:tcPr>
            <w:tcW w:w="9094" w:type="dxa"/>
          </w:tcPr>
          <w:p w14:paraId="692891D6" w14:textId="77777777" w:rsidR="001A140C" w:rsidRDefault="001A140C" w:rsidP="001A140C">
            <w:pPr>
              <w:pStyle w:val="NoSpacing"/>
              <w:tabs>
                <w:tab w:val="left" w:pos="924"/>
              </w:tabs>
              <w:spacing w:after="240"/>
              <w:rPr>
                <w:b/>
                <w:bCs/>
              </w:rPr>
            </w:pPr>
            <w:r w:rsidRPr="001A140C">
              <w:rPr>
                <w:b/>
                <w:bCs/>
              </w:rPr>
              <w:t>How many professional development workshops are expected annually, and what is the typical duration of each workshop?</w:t>
            </w:r>
          </w:p>
          <w:p w14:paraId="1B9ADBCA" w14:textId="03B41EA1" w:rsidR="009D3D3B" w:rsidRPr="00B96596" w:rsidRDefault="00B96596" w:rsidP="001A140C">
            <w:pPr>
              <w:pStyle w:val="NoSpacing"/>
              <w:tabs>
                <w:tab w:val="left" w:pos="924"/>
              </w:tabs>
              <w:spacing w:after="240"/>
            </w:pPr>
            <w:r w:rsidRPr="00B96596">
              <w:t>Please see Attachment A, Scope of Work, Program Criteria, A.</w:t>
            </w:r>
          </w:p>
        </w:tc>
      </w:tr>
      <w:tr w:rsidR="001A140C" w14:paraId="651D9F64" w14:textId="77777777" w:rsidTr="001A140C">
        <w:trPr>
          <w:jc w:val="center"/>
        </w:trPr>
        <w:tc>
          <w:tcPr>
            <w:tcW w:w="535" w:type="dxa"/>
          </w:tcPr>
          <w:p w14:paraId="5BF3625B" w14:textId="7EC8DC8A" w:rsidR="001A140C" w:rsidRPr="001A140C" w:rsidRDefault="001A140C" w:rsidP="002655C0">
            <w:pPr>
              <w:pStyle w:val="NoSpacing"/>
              <w:spacing w:after="240"/>
              <w:rPr>
                <w:b/>
                <w:bCs/>
              </w:rPr>
            </w:pPr>
            <w:r w:rsidRPr="001A140C">
              <w:rPr>
                <w:b/>
                <w:bCs/>
              </w:rPr>
              <w:t>19</w:t>
            </w:r>
          </w:p>
        </w:tc>
        <w:tc>
          <w:tcPr>
            <w:tcW w:w="9094" w:type="dxa"/>
          </w:tcPr>
          <w:p w14:paraId="6E5186C5" w14:textId="77777777" w:rsidR="001A140C" w:rsidRDefault="001A140C" w:rsidP="001A140C">
            <w:pPr>
              <w:pStyle w:val="NoSpacing"/>
              <w:tabs>
                <w:tab w:val="left" w:pos="924"/>
              </w:tabs>
              <w:spacing w:after="240"/>
              <w:rPr>
                <w:b/>
                <w:bCs/>
              </w:rPr>
            </w:pPr>
            <w:r w:rsidRPr="001A140C">
              <w:rPr>
                <w:b/>
                <w:bCs/>
              </w:rPr>
              <w:t>Should workshops be delivered in-person, virtual, or hybrid, and will NJDOE provide venues and logistical support for in-person sessions?</w:t>
            </w:r>
          </w:p>
          <w:p w14:paraId="23112DFA" w14:textId="48AC17D2" w:rsidR="00B96596" w:rsidRPr="001A140C" w:rsidRDefault="00B96596" w:rsidP="001A140C">
            <w:pPr>
              <w:pStyle w:val="NoSpacing"/>
              <w:tabs>
                <w:tab w:val="left" w:pos="924"/>
              </w:tabs>
              <w:spacing w:after="240"/>
              <w:rPr>
                <w:b/>
                <w:bCs/>
              </w:rPr>
            </w:pPr>
            <w:r w:rsidRPr="00B96596">
              <w:t>Please see Attachment A, Scope of Work, Program Criteria, A.</w:t>
            </w:r>
          </w:p>
        </w:tc>
      </w:tr>
      <w:tr w:rsidR="001A140C" w14:paraId="124A057C" w14:textId="77777777" w:rsidTr="001A140C">
        <w:trPr>
          <w:jc w:val="center"/>
        </w:trPr>
        <w:tc>
          <w:tcPr>
            <w:tcW w:w="535" w:type="dxa"/>
          </w:tcPr>
          <w:p w14:paraId="799DC9EB" w14:textId="572259AB" w:rsidR="001A140C" w:rsidRPr="001A140C" w:rsidRDefault="001A140C" w:rsidP="002655C0">
            <w:pPr>
              <w:pStyle w:val="NoSpacing"/>
              <w:spacing w:after="240"/>
              <w:rPr>
                <w:b/>
                <w:bCs/>
              </w:rPr>
            </w:pPr>
            <w:r w:rsidRPr="001A140C">
              <w:rPr>
                <w:b/>
                <w:bCs/>
              </w:rPr>
              <w:t>20</w:t>
            </w:r>
          </w:p>
        </w:tc>
        <w:tc>
          <w:tcPr>
            <w:tcW w:w="9094" w:type="dxa"/>
          </w:tcPr>
          <w:p w14:paraId="53AA1A13" w14:textId="77777777" w:rsidR="001A140C" w:rsidRDefault="001A140C" w:rsidP="001A140C">
            <w:pPr>
              <w:pStyle w:val="NoSpacing"/>
              <w:tabs>
                <w:tab w:val="left" w:pos="924"/>
              </w:tabs>
              <w:spacing w:after="240"/>
              <w:rPr>
                <w:b/>
                <w:bCs/>
              </w:rPr>
            </w:pPr>
            <w:r w:rsidRPr="001A140C">
              <w:rPr>
                <w:b/>
                <w:bCs/>
              </w:rPr>
              <w:t>What specific deliverables are required each year (e.g., number of reports, toolkits, training modules, or resource materials)?</w:t>
            </w:r>
          </w:p>
          <w:p w14:paraId="355829D8" w14:textId="5E38CBAC" w:rsidR="00B96596" w:rsidRPr="001A140C" w:rsidRDefault="00B96596" w:rsidP="001A140C">
            <w:pPr>
              <w:pStyle w:val="NoSpacing"/>
              <w:tabs>
                <w:tab w:val="left" w:pos="924"/>
              </w:tabs>
              <w:spacing w:after="240"/>
              <w:rPr>
                <w:b/>
                <w:bCs/>
              </w:rPr>
            </w:pPr>
            <w:r>
              <w:t xml:space="preserve">Please refer to the Scope of Work and the deliverable due dates. Deliverables will </w:t>
            </w:r>
            <w:r w:rsidR="002D239C">
              <w:t xml:space="preserve">align with the program criteria and budget </w:t>
            </w:r>
            <w:r w:rsidR="003927F2">
              <w:t>costs for each period, Attachment C</w:t>
            </w:r>
          </w:p>
        </w:tc>
      </w:tr>
      <w:tr w:rsidR="001A140C" w14:paraId="782BB6EA" w14:textId="77777777" w:rsidTr="001A140C">
        <w:trPr>
          <w:jc w:val="center"/>
        </w:trPr>
        <w:tc>
          <w:tcPr>
            <w:tcW w:w="535" w:type="dxa"/>
          </w:tcPr>
          <w:p w14:paraId="50847B3B" w14:textId="072E62E3" w:rsidR="001A140C" w:rsidRPr="001A140C" w:rsidRDefault="001A140C" w:rsidP="002655C0">
            <w:pPr>
              <w:pStyle w:val="NoSpacing"/>
              <w:spacing w:after="240"/>
              <w:rPr>
                <w:b/>
                <w:bCs/>
              </w:rPr>
            </w:pPr>
            <w:r w:rsidRPr="001A140C">
              <w:rPr>
                <w:b/>
                <w:bCs/>
              </w:rPr>
              <w:t>21</w:t>
            </w:r>
          </w:p>
        </w:tc>
        <w:tc>
          <w:tcPr>
            <w:tcW w:w="9094" w:type="dxa"/>
          </w:tcPr>
          <w:p w14:paraId="14882019" w14:textId="77777777" w:rsidR="001A140C" w:rsidRDefault="001A140C" w:rsidP="001A140C">
            <w:pPr>
              <w:pStyle w:val="NoSpacing"/>
              <w:tabs>
                <w:tab w:val="left" w:pos="924"/>
              </w:tabs>
              <w:spacing w:after="240"/>
              <w:rPr>
                <w:b/>
                <w:bCs/>
              </w:rPr>
            </w:pPr>
            <w:r w:rsidRPr="001A140C">
              <w:rPr>
                <w:b/>
                <w:bCs/>
              </w:rPr>
              <w:t>Does NJDOE have predefined priority topics for professional development, or should the contractor propose topics aligned with the project goals?</w:t>
            </w:r>
          </w:p>
          <w:p w14:paraId="05786E4A" w14:textId="3E49D62E" w:rsidR="003927F2" w:rsidRPr="001A140C" w:rsidRDefault="003927F2" w:rsidP="001A140C">
            <w:pPr>
              <w:pStyle w:val="NoSpacing"/>
              <w:tabs>
                <w:tab w:val="left" w:pos="924"/>
              </w:tabs>
              <w:spacing w:after="240"/>
              <w:rPr>
                <w:b/>
                <w:bCs/>
              </w:rPr>
            </w:pPr>
            <w:r w:rsidRPr="0006570C">
              <w:t>P</w:t>
            </w:r>
            <w:r w:rsidRPr="003927F2">
              <w:t xml:space="preserve">rofessional development </w:t>
            </w:r>
            <w:r>
              <w:t>should</w:t>
            </w:r>
            <w:r w:rsidRPr="003927F2">
              <w:t xml:space="preserve"> be aligned with the project goals.</w:t>
            </w:r>
          </w:p>
        </w:tc>
      </w:tr>
      <w:tr w:rsidR="001A140C" w14:paraId="432AC4AB" w14:textId="77777777" w:rsidTr="001A140C">
        <w:trPr>
          <w:jc w:val="center"/>
        </w:trPr>
        <w:tc>
          <w:tcPr>
            <w:tcW w:w="535" w:type="dxa"/>
          </w:tcPr>
          <w:p w14:paraId="3886A59D" w14:textId="36BD66D2" w:rsidR="001A140C" w:rsidRPr="001A140C" w:rsidRDefault="001A140C" w:rsidP="002655C0">
            <w:pPr>
              <w:pStyle w:val="NoSpacing"/>
              <w:spacing w:after="240"/>
              <w:rPr>
                <w:b/>
                <w:bCs/>
              </w:rPr>
            </w:pPr>
            <w:r w:rsidRPr="001A140C">
              <w:rPr>
                <w:b/>
                <w:bCs/>
              </w:rPr>
              <w:t>22</w:t>
            </w:r>
          </w:p>
        </w:tc>
        <w:tc>
          <w:tcPr>
            <w:tcW w:w="9094" w:type="dxa"/>
          </w:tcPr>
          <w:p w14:paraId="0B2F58F2" w14:textId="77777777" w:rsidR="001A140C" w:rsidRDefault="001A140C" w:rsidP="001A140C">
            <w:pPr>
              <w:pStyle w:val="NoSpacing"/>
              <w:tabs>
                <w:tab w:val="left" w:pos="924"/>
              </w:tabs>
              <w:spacing w:after="240"/>
              <w:rPr>
                <w:b/>
                <w:bCs/>
              </w:rPr>
            </w:pPr>
            <w:r w:rsidRPr="001A140C">
              <w:rPr>
                <w:b/>
                <w:bCs/>
              </w:rPr>
              <w:t>What is the estimated number of participants to be served annually across all workshops and activities?</w:t>
            </w:r>
          </w:p>
          <w:p w14:paraId="208C5878" w14:textId="3374C55E" w:rsidR="00FF1167" w:rsidRPr="00C71F9D" w:rsidRDefault="00640C49" w:rsidP="001A140C">
            <w:pPr>
              <w:pStyle w:val="NoSpacing"/>
              <w:tabs>
                <w:tab w:val="left" w:pos="924"/>
              </w:tabs>
              <w:spacing w:after="240"/>
            </w:pPr>
            <w:r>
              <w:t xml:space="preserve">Unknown – </w:t>
            </w:r>
            <w:r w:rsidR="002272C1">
              <w:t>18</w:t>
            </w:r>
            <w:r>
              <w:t xml:space="preserve"> County Colleges and approx. 135 </w:t>
            </w:r>
            <w:r w:rsidR="002272C1">
              <w:t>secondary districts with CTE programs</w:t>
            </w:r>
          </w:p>
        </w:tc>
      </w:tr>
      <w:tr w:rsidR="001A140C" w14:paraId="34798B6A" w14:textId="77777777" w:rsidTr="001A140C">
        <w:trPr>
          <w:jc w:val="center"/>
        </w:trPr>
        <w:tc>
          <w:tcPr>
            <w:tcW w:w="535" w:type="dxa"/>
          </w:tcPr>
          <w:p w14:paraId="73EEA0D5" w14:textId="5D8AEAFA" w:rsidR="001A140C" w:rsidRPr="001A140C" w:rsidRDefault="001A140C" w:rsidP="002655C0">
            <w:pPr>
              <w:pStyle w:val="NoSpacing"/>
              <w:spacing w:after="240"/>
              <w:rPr>
                <w:b/>
                <w:bCs/>
              </w:rPr>
            </w:pPr>
            <w:r w:rsidRPr="001A140C">
              <w:rPr>
                <w:b/>
                <w:bCs/>
              </w:rPr>
              <w:t>23</w:t>
            </w:r>
          </w:p>
        </w:tc>
        <w:tc>
          <w:tcPr>
            <w:tcW w:w="9094" w:type="dxa"/>
          </w:tcPr>
          <w:p w14:paraId="0D7BBD46" w14:textId="77777777" w:rsidR="00640C49" w:rsidRDefault="001A140C" w:rsidP="001A140C">
            <w:pPr>
              <w:pStyle w:val="NoSpacing"/>
              <w:tabs>
                <w:tab w:val="left" w:pos="924"/>
              </w:tabs>
              <w:spacing w:after="240"/>
            </w:pPr>
            <w:r w:rsidRPr="001A140C">
              <w:rPr>
                <w:b/>
                <w:bCs/>
              </w:rPr>
              <w:t>Will NJDOE support participant recruitment and coordination with LEAs, community colleges, and other stakeholders?</w:t>
            </w:r>
            <w:r w:rsidR="00640C49" w:rsidRPr="00C71F9D">
              <w:t xml:space="preserve"> </w:t>
            </w:r>
          </w:p>
          <w:p w14:paraId="249CF541" w14:textId="39B26FE7" w:rsidR="001A140C" w:rsidRPr="001A140C" w:rsidRDefault="00640C49" w:rsidP="001A140C">
            <w:pPr>
              <w:pStyle w:val="NoSpacing"/>
              <w:tabs>
                <w:tab w:val="left" w:pos="924"/>
              </w:tabs>
              <w:spacing w:after="240"/>
              <w:rPr>
                <w:b/>
                <w:bCs/>
              </w:rPr>
            </w:pPr>
            <w:r w:rsidRPr="00C71F9D">
              <w:t>See Scope of Work, Program Criteria, Section A</w:t>
            </w:r>
          </w:p>
        </w:tc>
      </w:tr>
      <w:tr w:rsidR="001A140C" w14:paraId="1A5F64A9" w14:textId="77777777" w:rsidTr="001A140C">
        <w:trPr>
          <w:jc w:val="center"/>
        </w:trPr>
        <w:tc>
          <w:tcPr>
            <w:tcW w:w="535" w:type="dxa"/>
          </w:tcPr>
          <w:p w14:paraId="67A29D78" w14:textId="5C1FFD39" w:rsidR="001A140C" w:rsidRPr="001A140C" w:rsidRDefault="001A140C" w:rsidP="002655C0">
            <w:pPr>
              <w:pStyle w:val="NoSpacing"/>
              <w:spacing w:after="240"/>
              <w:rPr>
                <w:b/>
                <w:bCs/>
              </w:rPr>
            </w:pPr>
            <w:r w:rsidRPr="001A140C">
              <w:rPr>
                <w:b/>
                <w:bCs/>
              </w:rPr>
              <w:t>24</w:t>
            </w:r>
          </w:p>
        </w:tc>
        <w:tc>
          <w:tcPr>
            <w:tcW w:w="9094" w:type="dxa"/>
          </w:tcPr>
          <w:p w14:paraId="7BD9B6D1" w14:textId="77777777" w:rsidR="001A140C" w:rsidRDefault="001A140C" w:rsidP="001A140C">
            <w:pPr>
              <w:pStyle w:val="NoSpacing"/>
              <w:tabs>
                <w:tab w:val="left" w:pos="924"/>
              </w:tabs>
              <w:spacing w:after="240"/>
              <w:rPr>
                <w:b/>
                <w:bCs/>
              </w:rPr>
            </w:pPr>
            <w:r w:rsidRPr="001A140C">
              <w:rPr>
                <w:b/>
                <w:bCs/>
              </w:rPr>
              <w:t>Will NJDOE provide access to existing Perkins V performance data, enrollment data, and related reports to support the research component?</w:t>
            </w:r>
          </w:p>
          <w:p w14:paraId="647FEACB" w14:textId="3F06964B" w:rsidR="00785EB8" w:rsidRPr="001A140C" w:rsidRDefault="00785EB8" w:rsidP="001A140C">
            <w:pPr>
              <w:pStyle w:val="NoSpacing"/>
              <w:tabs>
                <w:tab w:val="left" w:pos="924"/>
              </w:tabs>
              <w:spacing w:after="240"/>
              <w:rPr>
                <w:b/>
                <w:bCs/>
              </w:rPr>
            </w:pPr>
            <w:r w:rsidRPr="001A70A9">
              <w:rPr>
                <w:i/>
                <w:iCs/>
              </w:rPr>
              <w:t>Section 4.4.12 Data Sharing Agreement</w:t>
            </w:r>
            <w:r>
              <w:t xml:space="preserve"> states that there will be a Data Sharing Agreement between the selected vendor and NJDOE. The NJDOE does not have a set </w:t>
            </w:r>
            <w:r>
              <w:lastRenderedPageBreak/>
              <w:t>of schools under consideration for initial analysis.</w:t>
            </w:r>
            <w:r w:rsidR="004D5D28">
              <w:t xml:space="preserve"> If access to a data element is necessary, it should </w:t>
            </w:r>
            <w:r w:rsidR="00B011D1">
              <w:t>be identified in the technical proposal</w:t>
            </w:r>
            <w:r w:rsidR="0006570C">
              <w:t>.</w:t>
            </w:r>
          </w:p>
        </w:tc>
      </w:tr>
      <w:tr w:rsidR="001A140C" w14:paraId="5FE014FB" w14:textId="77777777" w:rsidTr="001A140C">
        <w:trPr>
          <w:jc w:val="center"/>
        </w:trPr>
        <w:tc>
          <w:tcPr>
            <w:tcW w:w="535" w:type="dxa"/>
          </w:tcPr>
          <w:p w14:paraId="2EEFB23F" w14:textId="2032F3A4" w:rsidR="001A140C" w:rsidRPr="001A140C" w:rsidRDefault="001A140C" w:rsidP="002655C0">
            <w:pPr>
              <w:pStyle w:val="NoSpacing"/>
              <w:spacing w:after="240"/>
              <w:rPr>
                <w:b/>
                <w:bCs/>
              </w:rPr>
            </w:pPr>
            <w:r w:rsidRPr="001A140C">
              <w:rPr>
                <w:b/>
                <w:bCs/>
              </w:rPr>
              <w:lastRenderedPageBreak/>
              <w:t>25</w:t>
            </w:r>
          </w:p>
        </w:tc>
        <w:tc>
          <w:tcPr>
            <w:tcW w:w="9094" w:type="dxa"/>
          </w:tcPr>
          <w:p w14:paraId="3AFA9932" w14:textId="77777777" w:rsidR="001A140C" w:rsidRDefault="001A140C" w:rsidP="001A140C">
            <w:pPr>
              <w:pStyle w:val="NoSpacing"/>
              <w:tabs>
                <w:tab w:val="left" w:pos="924"/>
              </w:tabs>
              <w:spacing w:after="240"/>
              <w:rPr>
                <w:b/>
                <w:bCs/>
              </w:rPr>
            </w:pPr>
            <w:r w:rsidRPr="001A140C">
              <w:rPr>
                <w:b/>
                <w:bCs/>
              </w:rPr>
              <w:t>Are site visits, interviews, or surveys with institutions expected as part of the research scope, and will NJDOE facilitate access?</w:t>
            </w:r>
          </w:p>
          <w:p w14:paraId="3C95F4E0" w14:textId="36D483C1" w:rsidR="00DB4363" w:rsidRPr="00DB4363" w:rsidRDefault="00DB4363" w:rsidP="001A140C">
            <w:pPr>
              <w:pStyle w:val="NoSpacing"/>
              <w:tabs>
                <w:tab w:val="left" w:pos="924"/>
              </w:tabs>
              <w:spacing w:after="240"/>
            </w:pPr>
            <w:r w:rsidRPr="00DB4363">
              <w:t>These are not requirements for this RFP.</w:t>
            </w:r>
          </w:p>
        </w:tc>
      </w:tr>
      <w:tr w:rsidR="001A140C" w14:paraId="4A02B101" w14:textId="77777777" w:rsidTr="001A140C">
        <w:trPr>
          <w:jc w:val="center"/>
        </w:trPr>
        <w:tc>
          <w:tcPr>
            <w:tcW w:w="535" w:type="dxa"/>
          </w:tcPr>
          <w:p w14:paraId="7FF762E8" w14:textId="0604A524" w:rsidR="001A140C" w:rsidRPr="001A140C" w:rsidRDefault="001A140C" w:rsidP="002655C0">
            <w:pPr>
              <w:pStyle w:val="NoSpacing"/>
              <w:spacing w:after="240"/>
              <w:rPr>
                <w:b/>
                <w:bCs/>
              </w:rPr>
            </w:pPr>
            <w:r w:rsidRPr="001A140C">
              <w:rPr>
                <w:b/>
                <w:bCs/>
              </w:rPr>
              <w:t>26</w:t>
            </w:r>
          </w:p>
        </w:tc>
        <w:tc>
          <w:tcPr>
            <w:tcW w:w="9094" w:type="dxa"/>
          </w:tcPr>
          <w:p w14:paraId="25882ECC" w14:textId="77777777" w:rsidR="001A140C" w:rsidRDefault="001A140C" w:rsidP="001A140C">
            <w:pPr>
              <w:pStyle w:val="NoSpacing"/>
              <w:tabs>
                <w:tab w:val="left" w:pos="924"/>
              </w:tabs>
              <w:spacing w:after="240"/>
              <w:rPr>
                <w:b/>
                <w:bCs/>
              </w:rPr>
            </w:pPr>
            <w:r w:rsidRPr="001A140C">
              <w:rPr>
                <w:b/>
                <w:bCs/>
              </w:rPr>
              <w:t>What types and quantity of resources (e.g., implementation guides, best practice toolkits, digital content) are expected during the contract period?</w:t>
            </w:r>
          </w:p>
          <w:p w14:paraId="509A4981" w14:textId="77C9189F" w:rsidR="00DE59EC" w:rsidRPr="00DE59EC" w:rsidRDefault="00DE59EC" w:rsidP="001A140C">
            <w:pPr>
              <w:pStyle w:val="NoSpacing"/>
              <w:tabs>
                <w:tab w:val="left" w:pos="924"/>
              </w:tabs>
              <w:spacing w:after="240"/>
            </w:pPr>
            <w:r w:rsidRPr="00DE59EC">
              <w:t>See Attachment A, Scope of Work, Program Criteria, Section B., Curricula, Resources and Course Materials.</w:t>
            </w:r>
          </w:p>
        </w:tc>
      </w:tr>
      <w:tr w:rsidR="001A140C" w14:paraId="7EB9D7F6" w14:textId="77777777" w:rsidTr="001A140C">
        <w:trPr>
          <w:jc w:val="center"/>
        </w:trPr>
        <w:tc>
          <w:tcPr>
            <w:tcW w:w="535" w:type="dxa"/>
          </w:tcPr>
          <w:p w14:paraId="7D62B42D" w14:textId="7EC9F555" w:rsidR="001A140C" w:rsidRPr="001A140C" w:rsidRDefault="001A140C" w:rsidP="002655C0">
            <w:pPr>
              <w:pStyle w:val="NoSpacing"/>
              <w:spacing w:after="240"/>
              <w:rPr>
                <w:b/>
                <w:bCs/>
              </w:rPr>
            </w:pPr>
            <w:r w:rsidRPr="001A140C">
              <w:rPr>
                <w:b/>
                <w:bCs/>
              </w:rPr>
              <w:t>27</w:t>
            </w:r>
          </w:p>
        </w:tc>
        <w:tc>
          <w:tcPr>
            <w:tcW w:w="9094" w:type="dxa"/>
          </w:tcPr>
          <w:p w14:paraId="4F5563EA" w14:textId="77777777" w:rsidR="001A140C" w:rsidRDefault="001A140C" w:rsidP="001A140C">
            <w:pPr>
              <w:pStyle w:val="NoSpacing"/>
              <w:tabs>
                <w:tab w:val="left" w:pos="924"/>
              </w:tabs>
              <w:spacing w:after="240"/>
              <w:rPr>
                <w:b/>
                <w:bCs/>
              </w:rPr>
            </w:pPr>
            <w:r w:rsidRPr="001A140C">
              <w:rPr>
                <w:b/>
                <w:bCs/>
              </w:rPr>
              <w:t>Will NJDOE retain ownership of all developed materials, and can the contractor reference or adapt these materials for future projects?</w:t>
            </w:r>
          </w:p>
          <w:p w14:paraId="4EA72EC3" w14:textId="7AC09070" w:rsidR="008D65A5" w:rsidRPr="007C631A" w:rsidRDefault="008D65A5" w:rsidP="001A140C">
            <w:pPr>
              <w:pStyle w:val="NoSpacing"/>
              <w:tabs>
                <w:tab w:val="left" w:pos="924"/>
              </w:tabs>
              <w:spacing w:after="240"/>
            </w:pPr>
            <w:r w:rsidRPr="007C631A">
              <w:t xml:space="preserve">See section </w:t>
            </w:r>
            <w:r w:rsidR="007C631A" w:rsidRPr="007C631A">
              <w:t>7.4, Ownership of Materials and Data Security, specifically, 7.4.1, Ownership of Materials</w:t>
            </w:r>
            <w:r w:rsidR="0006570C">
              <w:t>.</w:t>
            </w:r>
          </w:p>
        </w:tc>
      </w:tr>
      <w:tr w:rsidR="001A140C" w14:paraId="070CE31A" w14:textId="77777777" w:rsidTr="001A140C">
        <w:trPr>
          <w:jc w:val="center"/>
        </w:trPr>
        <w:tc>
          <w:tcPr>
            <w:tcW w:w="535" w:type="dxa"/>
          </w:tcPr>
          <w:p w14:paraId="638351FC" w14:textId="505A23F5" w:rsidR="001A140C" w:rsidRPr="001A140C" w:rsidRDefault="001A140C" w:rsidP="002655C0">
            <w:pPr>
              <w:pStyle w:val="NoSpacing"/>
              <w:spacing w:after="240"/>
              <w:rPr>
                <w:b/>
                <w:bCs/>
              </w:rPr>
            </w:pPr>
            <w:r w:rsidRPr="001A140C">
              <w:rPr>
                <w:b/>
                <w:bCs/>
              </w:rPr>
              <w:t>28</w:t>
            </w:r>
          </w:p>
        </w:tc>
        <w:tc>
          <w:tcPr>
            <w:tcW w:w="9094" w:type="dxa"/>
          </w:tcPr>
          <w:p w14:paraId="2C5E511F" w14:textId="77777777" w:rsidR="001A140C" w:rsidRDefault="001A140C" w:rsidP="001A140C">
            <w:pPr>
              <w:pStyle w:val="NoSpacing"/>
              <w:tabs>
                <w:tab w:val="left" w:pos="924"/>
              </w:tabs>
              <w:spacing w:after="240"/>
              <w:rPr>
                <w:b/>
                <w:bCs/>
              </w:rPr>
            </w:pPr>
            <w:r w:rsidRPr="001A140C">
              <w:rPr>
                <w:b/>
                <w:bCs/>
              </w:rPr>
              <w:t>Is there a defined budget range or maximum funding allocation for this contract?</w:t>
            </w:r>
          </w:p>
          <w:p w14:paraId="3FED20B7" w14:textId="2A2C3451" w:rsidR="00D21F26" w:rsidRPr="001A140C" w:rsidRDefault="00D21F26" w:rsidP="001A140C">
            <w:pPr>
              <w:pStyle w:val="NoSpacing"/>
              <w:tabs>
                <w:tab w:val="left" w:pos="924"/>
              </w:tabs>
              <w:spacing w:after="240"/>
              <w:rPr>
                <w:b/>
                <w:bCs/>
              </w:rPr>
            </w:pPr>
            <w:r w:rsidRPr="008B1940">
              <w:t>The NJDOE has allocated $100,000 per fiscal year for this project for a three</w:t>
            </w:r>
            <w:r w:rsidRPr="008B1940">
              <w:rPr>
                <w:rFonts w:ascii="Cambria Math" w:hAnsi="Cambria Math" w:cs="Cambria Math"/>
              </w:rPr>
              <w:t>‑</w:t>
            </w:r>
            <w:r w:rsidRPr="008B1940">
              <w:t>year period, contingent upon the availability of funds.</w:t>
            </w:r>
            <w:r w:rsidR="00B011D1">
              <w:t xml:space="preserve"> Applicants should </w:t>
            </w:r>
            <w:r w:rsidR="003A45A2">
              <w:t>submit their most competitive bid for the project.</w:t>
            </w:r>
          </w:p>
        </w:tc>
      </w:tr>
      <w:tr w:rsidR="001A140C" w14:paraId="1A321CB6" w14:textId="77777777" w:rsidTr="001A140C">
        <w:trPr>
          <w:jc w:val="center"/>
        </w:trPr>
        <w:tc>
          <w:tcPr>
            <w:tcW w:w="535" w:type="dxa"/>
          </w:tcPr>
          <w:p w14:paraId="6E001BFC" w14:textId="5F65FE91" w:rsidR="001A140C" w:rsidRPr="001A140C" w:rsidRDefault="001A140C" w:rsidP="002655C0">
            <w:pPr>
              <w:pStyle w:val="NoSpacing"/>
              <w:spacing w:after="240"/>
              <w:rPr>
                <w:b/>
                <w:bCs/>
              </w:rPr>
            </w:pPr>
            <w:r w:rsidRPr="001A140C">
              <w:rPr>
                <w:b/>
                <w:bCs/>
              </w:rPr>
              <w:t>29</w:t>
            </w:r>
          </w:p>
        </w:tc>
        <w:tc>
          <w:tcPr>
            <w:tcW w:w="9094" w:type="dxa"/>
          </w:tcPr>
          <w:p w14:paraId="19C1511D" w14:textId="77777777" w:rsidR="001A140C" w:rsidRDefault="001A140C" w:rsidP="001A140C">
            <w:pPr>
              <w:pStyle w:val="NoSpacing"/>
              <w:tabs>
                <w:tab w:val="left" w:pos="924"/>
              </w:tabs>
              <w:spacing w:after="240"/>
              <w:rPr>
                <w:b/>
                <w:bCs/>
              </w:rPr>
            </w:pPr>
            <w:r w:rsidRPr="001A140C">
              <w:rPr>
                <w:b/>
                <w:bCs/>
              </w:rPr>
              <w:t>Will payments be tied to milestones, deliverables, or provided on a fixed periodic schedule?</w:t>
            </w:r>
          </w:p>
          <w:p w14:paraId="153E82F1" w14:textId="2A58E120" w:rsidR="00D21F26" w:rsidRPr="0058743D" w:rsidRDefault="0065226D" w:rsidP="001A140C">
            <w:pPr>
              <w:pStyle w:val="NoSpacing"/>
              <w:tabs>
                <w:tab w:val="left" w:pos="924"/>
              </w:tabs>
              <w:spacing w:after="240"/>
            </w:pPr>
            <w:r w:rsidRPr="0065226D">
              <w:t>Please refer to Attachment C, the NJDOE Supplied Price Sheet, to align costs with the program criteria and funding periods.</w:t>
            </w:r>
          </w:p>
        </w:tc>
      </w:tr>
      <w:tr w:rsidR="001A140C" w14:paraId="546E5E1D" w14:textId="77777777" w:rsidTr="001A140C">
        <w:trPr>
          <w:jc w:val="center"/>
        </w:trPr>
        <w:tc>
          <w:tcPr>
            <w:tcW w:w="535" w:type="dxa"/>
          </w:tcPr>
          <w:p w14:paraId="3102C27A" w14:textId="65139536" w:rsidR="001A140C" w:rsidRPr="001A140C" w:rsidRDefault="001A140C" w:rsidP="002655C0">
            <w:pPr>
              <w:pStyle w:val="NoSpacing"/>
              <w:spacing w:after="240"/>
              <w:rPr>
                <w:b/>
                <w:bCs/>
              </w:rPr>
            </w:pPr>
            <w:r w:rsidRPr="001A140C">
              <w:rPr>
                <w:b/>
                <w:bCs/>
              </w:rPr>
              <w:t>30</w:t>
            </w:r>
          </w:p>
        </w:tc>
        <w:tc>
          <w:tcPr>
            <w:tcW w:w="9094" w:type="dxa"/>
          </w:tcPr>
          <w:p w14:paraId="4C60C59C" w14:textId="77777777" w:rsidR="001A140C" w:rsidRPr="001A140C" w:rsidRDefault="001A140C" w:rsidP="001A140C">
            <w:pPr>
              <w:pStyle w:val="NoSpacing"/>
              <w:tabs>
                <w:tab w:val="left" w:pos="924"/>
              </w:tabs>
              <w:spacing w:after="240"/>
              <w:rPr>
                <w:b/>
                <w:bCs/>
              </w:rPr>
            </w:pPr>
            <w:r w:rsidRPr="001A140C">
              <w:rPr>
                <w:b/>
                <w:bCs/>
              </w:rPr>
              <w:t>Will NJDOE assign a dedicated project manager for coordination, review, and approvals?</w:t>
            </w:r>
          </w:p>
          <w:p w14:paraId="51EB8C33" w14:textId="26C88B9F" w:rsidR="001A140C" w:rsidRPr="0065226D" w:rsidRDefault="0065226D" w:rsidP="001A140C">
            <w:pPr>
              <w:pStyle w:val="NoSpacing"/>
              <w:tabs>
                <w:tab w:val="left" w:pos="924"/>
              </w:tabs>
              <w:spacing w:after="240"/>
            </w:pPr>
            <w:r w:rsidRPr="0065226D">
              <w:t>Yes</w:t>
            </w:r>
          </w:p>
        </w:tc>
      </w:tr>
      <w:tr w:rsidR="001A140C" w14:paraId="672B001A" w14:textId="77777777" w:rsidTr="001A140C">
        <w:trPr>
          <w:jc w:val="center"/>
        </w:trPr>
        <w:tc>
          <w:tcPr>
            <w:tcW w:w="535" w:type="dxa"/>
          </w:tcPr>
          <w:p w14:paraId="6E083E51" w14:textId="51D15BDC" w:rsidR="001A140C" w:rsidRPr="001A140C" w:rsidRDefault="001A140C" w:rsidP="002655C0">
            <w:pPr>
              <w:pStyle w:val="NoSpacing"/>
              <w:spacing w:after="240"/>
              <w:rPr>
                <w:b/>
                <w:bCs/>
              </w:rPr>
            </w:pPr>
            <w:r w:rsidRPr="001A140C">
              <w:rPr>
                <w:b/>
                <w:bCs/>
              </w:rPr>
              <w:t>31</w:t>
            </w:r>
          </w:p>
        </w:tc>
        <w:tc>
          <w:tcPr>
            <w:tcW w:w="9094" w:type="dxa"/>
          </w:tcPr>
          <w:p w14:paraId="51F7352B" w14:textId="77777777" w:rsidR="001A140C" w:rsidRDefault="001A140C" w:rsidP="001A140C">
            <w:pPr>
              <w:pStyle w:val="NoSpacing"/>
              <w:tabs>
                <w:tab w:val="left" w:pos="924"/>
              </w:tabs>
              <w:spacing w:after="240"/>
              <w:rPr>
                <w:b/>
                <w:bCs/>
              </w:rPr>
            </w:pPr>
            <w:r w:rsidRPr="001A140C">
              <w:rPr>
                <w:b/>
                <w:bCs/>
              </w:rPr>
              <w:t>What is the expected timeline for key milestones and deliverables during each contract year?</w:t>
            </w:r>
          </w:p>
          <w:p w14:paraId="4D4B91F3" w14:textId="13BF9980" w:rsidR="00B7505A" w:rsidRPr="001A140C" w:rsidRDefault="00B7505A" w:rsidP="001A140C">
            <w:pPr>
              <w:pStyle w:val="NoSpacing"/>
              <w:tabs>
                <w:tab w:val="left" w:pos="924"/>
              </w:tabs>
              <w:spacing w:after="240"/>
              <w:rPr>
                <w:b/>
                <w:bCs/>
              </w:rPr>
            </w:pPr>
            <w:r w:rsidRPr="0065226D">
              <w:t>Please refer to Attachment C, the NJDOE Supplied Price Sheet, to align costs with the program criteria and funding periods.</w:t>
            </w:r>
          </w:p>
        </w:tc>
      </w:tr>
    </w:tbl>
    <w:p w14:paraId="09C77A4C" w14:textId="77777777" w:rsidR="00970FA4" w:rsidRPr="00EB4A80" w:rsidRDefault="00970FA4" w:rsidP="00970FA4">
      <w:pPr>
        <w:pStyle w:val="NoSpacing"/>
        <w:jc w:val="both"/>
        <w:rPr>
          <w:sz w:val="12"/>
          <w:szCs w:val="12"/>
        </w:rPr>
      </w:pPr>
    </w:p>
    <w:sectPr w:rsidR="00970FA4" w:rsidRPr="00EB4A80" w:rsidSect="00562B91">
      <w:headerReference w:type="default" r:id="rId9"/>
      <w:foot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D7DA0" w14:textId="77777777" w:rsidR="00214687" w:rsidRDefault="00214687" w:rsidP="00BC10B7">
      <w:pPr>
        <w:spacing w:after="0" w:line="240" w:lineRule="auto"/>
      </w:pPr>
      <w:r>
        <w:separator/>
      </w:r>
    </w:p>
  </w:endnote>
  <w:endnote w:type="continuationSeparator" w:id="0">
    <w:p w14:paraId="00A6D33D" w14:textId="77777777" w:rsidR="00214687" w:rsidRDefault="00214687" w:rsidP="00BC1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iddenHorzOCR">
    <w:altName w:val="Yu Gothic"/>
    <w:charset w:val="80"/>
    <w:family w:val="auto"/>
    <w:pitch w:val="default"/>
    <w:sig w:usb0="00000000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07897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D10903" w14:textId="5C6EA888" w:rsidR="00CA3799" w:rsidRDefault="00CA37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B98610" w14:textId="77777777" w:rsidR="00CA3799" w:rsidRDefault="00CA37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A8A60" w14:textId="77777777" w:rsidR="00214687" w:rsidRDefault="00214687" w:rsidP="00BC10B7">
      <w:pPr>
        <w:spacing w:after="0" w:line="240" w:lineRule="auto"/>
      </w:pPr>
      <w:r>
        <w:separator/>
      </w:r>
    </w:p>
  </w:footnote>
  <w:footnote w:type="continuationSeparator" w:id="0">
    <w:p w14:paraId="2255B739" w14:textId="77777777" w:rsidR="00214687" w:rsidRDefault="00214687" w:rsidP="00BC10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47CB7" w14:textId="12560E5C" w:rsidR="00116298" w:rsidRDefault="001162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77EE8"/>
    <w:multiLevelType w:val="multilevel"/>
    <w:tmpl w:val="B5E236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1F2BA1"/>
    <w:multiLevelType w:val="hybridMultilevel"/>
    <w:tmpl w:val="D2102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37E37"/>
    <w:multiLevelType w:val="hybridMultilevel"/>
    <w:tmpl w:val="37866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34AF7"/>
    <w:multiLevelType w:val="hybridMultilevel"/>
    <w:tmpl w:val="5E2C4550"/>
    <w:lvl w:ilvl="0" w:tplc="6BC0435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A69A4"/>
    <w:multiLevelType w:val="multilevel"/>
    <w:tmpl w:val="EA4AAE8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1F5555"/>
    <w:multiLevelType w:val="multilevel"/>
    <w:tmpl w:val="6B981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840701"/>
    <w:multiLevelType w:val="multilevel"/>
    <w:tmpl w:val="DB3ADB0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134D41"/>
    <w:multiLevelType w:val="hybridMultilevel"/>
    <w:tmpl w:val="1096A8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2E9CA654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336D1B"/>
    <w:multiLevelType w:val="multilevel"/>
    <w:tmpl w:val="0094A98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0F0EED"/>
    <w:multiLevelType w:val="hybridMultilevel"/>
    <w:tmpl w:val="18EEB4C8"/>
    <w:lvl w:ilvl="0" w:tplc="6BC0435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CC528B"/>
    <w:multiLevelType w:val="hybridMultilevel"/>
    <w:tmpl w:val="B38230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9C62BA"/>
    <w:multiLevelType w:val="multilevel"/>
    <w:tmpl w:val="AE4870C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49072D"/>
    <w:multiLevelType w:val="multilevel"/>
    <w:tmpl w:val="15D85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878256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6732071">
    <w:abstractNumId w:val="10"/>
  </w:num>
  <w:num w:numId="3" w16cid:durableId="767316287">
    <w:abstractNumId w:val="9"/>
  </w:num>
  <w:num w:numId="4" w16cid:durableId="163475383">
    <w:abstractNumId w:val="3"/>
  </w:num>
  <w:num w:numId="5" w16cid:durableId="383137882">
    <w:abstractNumId w:val="1"/>
  </w:num>
  <w:num w:numId="6" w16cid:durableId="7443822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1918727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6172267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3944749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85289852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72696090">
    <w:abstractNumId w:val="1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41080560">
    <w:abstractNumId w:val="8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275675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c0tDQ2MjYyMzA1NjRQ0lEKTi0uzszPAykwqQUArHnESCwAAAA="/>
  </w:docVars>
  <w:rsids>
    <w:rsidRoot w:val="00B02CF0"/>
    <w:rsid w:val="00025788"/>
    <w:rsid w:val="00033F01"/>
    <w:rsid w:val="00050D28"/>
    <w:rsid w:val="0006570C"/>
    <w:rsid w:val="00081FF2"/>
    <w:rsid w:val="000A5CAC"/>
    <w:rsid w:val="000B6B38"/>
    <w:rsid w:val="000D6FCD"/>
    <w:rsid w:val="000F01B2"/>
    <w:rsid w:val="000F4F78"/>
    <w:rsid w:val="00106FD5"/>
    <w:rsid w:val="00116298"/>
    <w:rsid w:val="00125DDA"/>
    <w:rsid w:val="00126B14"/>
    <w:rsid w:val="0013477E"/>
    <w:rsid w:val="00147D6B"/>
    <w:rsid w:val="00180252"/>
    <w:rsid w:val="00185430"/>
    <w:rsid w:val="00193B59"/>
    <w:rsid w:val="0019617D"/>
    <w:rsid w:val="001A140C"/>
    <w:rsid w:val="001A70A9"/>
    <w:rsid w:val="001C3BDB"/>
    <w:rsid w:val="001C511A"/>
    <w:rsid w:val="001E479B"/>
    <w:rsid w:val="001F7AEF"/>
    <w:rsid w:val="00200593"/>
    <w:rsid w:val="00214687"/>
    <w:rsid w:val="00217C34"/>
    <w:rsid w:val="00223A71"/>
    <w:rsid w:val="00225741"/>
    <w:rsid w:val="002272C1"/>
    <w:rsid w:val="00252024"/>
    <w:rsid w:val="002655C0"/>
    <w:rsid w:val="0027500A"/>
    <w:rsid w:val="0028109D"/>
    <w:rsid w:val="002D239C"/>
    <w:rsid w:val="002D5B51"/>
    <w:rsid w:val="00320EE8"/>
    <w:rsid w:val="00325B26"/>
    <w:rsid w:val="00341575"/>
    <w:rsid w:val="003927F2"/>
    <w:rsid w:val="0039339D"/>
    <w:rsid w:val="00394C41"/>
    <w:rsid w:val="003A45A2"/>
    <w:rsid w:val="003D7E1A"/>
    <w:rsid w:val="003E42AA"/>
    <w:rsid w:val="003F6628"/>
    <w:rsid w:val="00412FED"/>
    <w:rsid w:val="00450E20"/>
    <w:rsid w:val="00455862"/>
    <w:rsid w:val="00464A4F"/>
    <w:rsid w:val="00470C66"/>
    <w:rsid w:val="004A52FE"/>
    <w:rsid w:val="004B018D"/>
    <w:rsid w:val="004B3D29"/>
    <w:rsid w:val="004C3736"/>
    <w:rsid w:val="004D24B0"/>
    <w:rsid w:val="004D4EC7"/>
    <w:rsid w:val="004D5D28"/>
    <w:rsid w:val="00527A63"/>
    <w:rsid w:val="0054212D"/>
    <w:rsid w:val="00551492"/>
    <w:rsid w:val="0055203D"/>
    <w:rsid w:val="00555AA0"/>
    <w:rsid w:val="00562B91"/>
    <w:rsid w:val="00576A99"/>
    <w:rsid w:val="00577738"/>
    <w:rsid w:val="0058743D"/>
    <w:rsid w:val="005901D1"/>
    <w:rsid w:val="00591246"/>
    <w:rsid w:val="005B1A3B"/>
    <w:rsid w:val="005B481B"/>
    <w:rsid w:val="005C527F"/>
    <w:rsid w:val="005D3EFA"/>
    <w:rsid w:val="005D4C53"/>
    <w:rsid w:val="005D7550"/>
    <w:rsid w:val="005E0C9E"/>
    <w:rsid w:val="005E694D"/>
    <w:rsid w:val="005F34CC"/>
    <w:rsid w:val="006004F9"/>
    <w:rsid w:val="00604BFF"/>
    <w:rsid w:val="00610BE9"/>
    <w:rsid w:val="006268A4"/>
    <w:rsid w:val="00640C49"/>
    <w:rsid w:val="0065226D"/>
    <w:rsid w:val="00654383"/>
    <w:rsid w:val="00663269"/>
    <w:rsid w:val="00676B8E"/>
    <w:rsid w:val="00687D8B"/>
    <w:rsid w:val="00690F58"/>
    <w:rsid w:val="006D498D"/>
    <w:rsid w:val="00713FAC"/>
    <w:rsid w:val="00774689"/>
    <w:rsid w:val="00785EB8"/>
    <w:rsid w:val="007A2C16"/>
    <w:rsid w:val="007B6DDD"/>
    <w:rsid w:val="007B78A1"/>
    <w:rsid w:val="007C631A"/>
    <w:rsid w:val="007F1E34"/>
    <w:rsid w:val="007F5BCB"/>
    <w:rsid w:val="00811BCE"/>
    <w:rsid w:val="008215CD"/>
    <w:rsid w:val="00824A94"/>
    <w:rsid w:val="00846228"/>
    <w:rsid w:val="00863DC6"/>
    <w:rsid w:val="00876FE0"/>
    <w:rsid w:val="0089409A"/>
    <w:rsid w:val="008A6FED"/>
    <w:rsid w:val="008B1940"/>
    <w:rsid w:val="008C4631"/>
    <w:rsid w:val="008D4BD5"/>
    <w:rsid w:val="008D65A5"/>
    <w:rsid w:val="008E62BB"/>
    <w:rsid w:val="008E6E84"/>
    <w:rsid w:val="008F37C0"/>
    <w:rsid w:val="00941BBA"/>
    <w:rsid w:val="0094652A"/>
    <w:rsid w:val="00964816"/>
    <w:rsid w:val="0096759E"/>
    <w:rsid w:val="00970FA4"/>
    <w:rsid w:val="0099040B"/>
    <w:rsid w:val="00997BEC"/>
    <w:rsid w:val="009B1F62"/>
    <w:rsid w:val="009D3D3B"/>
    <w:rsid w:val="00A0748D"/>
    <w:rsid w:val="00A26E8F"/>
    <w:rsid w:val="00AB275C"/>
    <w:rsid w:val="00AB7F72"/>
    <w:rsid w:val="00AD6B9B"/>
    <w:rsid w:val="00B011D1"/>
    <w:rsid w:val="00B02CF0"/>
    <w:rsid w:val="00B073AF"/>
    <w:rsid w:val="00B44044"/>
    <w:rsid w:val="00B5342D"/>
    <w:rsid w:val="00B7505A"/>
    <w:rsid w:val="00B90C37"/>
    <w:rsid w:val="00B943F4"/>
    <w:rsid w:val="00B9552D"/>
    <w:rsid w:val="00B96596"/>
    <w:rsid w:val="00BC10B7"/>
    <w:rsid w:val="00C10FF2"/>
    <w:rsid w:val="00C317AF"/>
    <w:rsid w:val="00C31993"/>
    <w:rsid w:val="00C33C7E"/>
    <w:rsid w:val="00C56CCA"/>
    <w:rsid w:val="00C57D52"/>
    <w:rsid w:val="00C719C2"/>
    <w:rsid w:val="00C71F9D"/>
    <w:rsid w:val="00C759DF"/>
    <w:rsid w:val="00C76CC7"/>
    <w:rsid w:val="00C86CCC"/>
    <w:rsid w:val="00CA3747"/>
    <w:rsid w:val="00CA3799"/>
    <w:rsid w:val="00CB0EEA"/>
    <w:rsid w:val="00CB32A5"/>
    <w:rsid w:val="00CC5C0A"/>
    <w:rsid w:val="00CD6043"/>
    <w:rsid w:val="00CD743B"/>
    <w:rsid w:val="00CE2A21"/>
    <w:rsid w:val="00CF40F2"/>
    <w:rsid w:val="00CF7710"/>
    <w:rsid w:val="00D1350D"/>
    <w:rsid w:val="00D21F26"/>
    <w:rsid w:val="00D232DA"/>
    <w:rsid w:val="00D5615F"/>
    <w:rsid w:val="00D73BDD"/>
    <w:rsid w:val="00D83135"/>
    <w:rsid w:val="00DB4363"/>
    <w:rsid w:val="00DB7976"/>
    <w:rsid w:val="00DE007D"/>
    <w:rsid w:val="00DE0C4F"/>
    <w:rsid w:val="00DE59EC"/>
    <w:rsid w:val="00DF20F1"/>
    <w:rsid w:val="00DF5577"/>
    <w:rsid w:val="00E04DC2"/>
    <w:rsid w:val="00E466CE"/>
    <w:rsid w:val="00E47676"/>
    <w:rsid w:val="00E7316B"/>
    <w:rsid w:val="00EA7395"/>
    <w:rsid w:val="00EB4A80"/>
    <w:rsid w:val="00EB5557"/>
    <w:rsid w:val="00EC6C89"/>
    <w:rsid w:val="00EF3B49"/>
    <w:rsid w:val="00F13C5B"/>
    <w:rsid w:val="00F25C75"/>
    <w:rsid w:val="00F51A0F"/>
    <w:rsid w:val="00F658FC"/>
    <w:rsid w:val="00F65AEE"/>
    <w:rsid w:val="00FC7C3D"/>
    <w:rsid w:val="00FF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65723D"/>
  <w15:chartTrackingRefBased/>
  <w15:docId w15:val="{181B0E33-CE00-41AD-84FB-E42D8F57A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Spacing"/>
    <w:next w:val="Normal"/>
    <w:link w:val="Heading1Char"/>
    <w:uiPriority w:val="9"/>
    <w:qFormat/>
    <w:rsid w:val="002655C0"/>
    <w:pPr>
      <w:spacing w:after="480"/>
      <w:jc w:val="center"/>
      <w:outlineLvl w:val="0"/>
    </w:pPr>
    <w:rPr>
      <w:b/>
      <w:bCs/>
    </w:rPr>
  </w:style>
  <w:style w:type="paragraph" w:styleId="Heading2">
    <w:name w:val="heading 2"/>
    <w:basedOn w:val="NoSpacing"/>
    <w:next w:val="Normal"/>
    <w:link w:val="Heading2Char"/>
    <w:uiPriority w:val="9"/>
    <w:unhideWhenUsed/>
    <w:qFormat/>
    <w:rsid w:val="002655C0"/>
    <w:pPr>
      <w:spacing w:before="360"/>
      <w:jc w:val="center"/>
      <w:outlineLvl w:val="1"/>
    </w:pPr>
    <w:rPr>
      <w:b/>
      <w:bCs/>
    </w:rPr>
  </w:style>
  <w:style w:type="paragraph" w:styleId="Heading3">
    <w:name w:val="heading 3"/>
    <w:basedOn w:val="NoSpacing"/>
    <w:next w:val="Normal"/>
    <w:link w:val="Heading3Char"/>
    <w:uiPriority w:val="9"/>
    <w:unhideWhenUsed/>
    <w:qFormat/>
    <w:rsid w:val="002655C0"/>
    <w:pPr>
      <w:spacing w:after="240"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02C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2C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2C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2C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2C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2C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55C0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2655C0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2655C0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B02C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2C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2C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2C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2C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2C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2C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2C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2C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2C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2C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2CF0"/>
    <w:rPr>
      <w:i/>
      <w:iCs/>
      <w:color w:val="404040" w:themeColor="text1" w:themeTint="BF"/>
    </w:rPr>
  </w:style>
  <w:style w:type="paragraph" w:styleId="ListParagraph">
    <w:name w:val="List Paragraph"/>
    <w:aliases w:val="Bullet List,numbered,FooterText,List Bulletized,B1 paragraph"/>
    <w:basedOn w:val="Normal"/>
    <w:link w:val="ListParagraphChar"/>
    <w:uiPriority w:val="34"/>
    <w:qFormat/>
    <w:rsid w:val="00B02C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2C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2C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2C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2CF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02CF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B797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797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76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C10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0B7"/>
  </w:style>
  <w:style w:type="paragraph" w:styleId="Footer">
    <w:name w:val="footer"/>
    <w:basedOn w:val="Normal"/>
    <w:link w:val="FooterChar"/>
    <w:uiPriority w:val="99"/>
    <w:unhideWhenUsed/>
    <w:rsid w:val="00BC10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0B7"/>
  </w:style>
  <w:style w:type="character" w:styleId="CommentReference">
    <w:name w:val="annotation reference"/>
    <w:basedOn w:val="DefaultParagraphFont"/>
    <w:uiPriority w:val="99"/>
    <w:semiHidden/>
    <w:unhideWhenUsed/>
    <w:rsid w:val="00AD6B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6B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6B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6B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6B9B"/>
    <w:rPr>
      <w:b/>
      <w:bCs/>
      <w:sz w:val="20"/>
      <w:szCs w:val="20"/>
    </w:rPr>
  </w:style>
  <w:style w:type="character" w:customStyle="1" w:styleId="ListParagraphChar">
    <w:name w:val="List Paragraph Char"/>
    <w:aliases w:val="Bullet List Char,numbered Char,FooterText Char,List Bulletized Char,B1 paragraph Char"/>
    <w:link w:val="ListParagraph"/>
    <w:uiPriority w:val="34"/>
    <w:locked/>
    <w:rsid w:val="00EF3B49"/>
  </w:style>
  <w:style w:type="character" w:styleId="Mention">
    <w:name w:val="Mention"/>
    <w:basedOn w:val="DefaultParagraphFont"/>
    <w:uiPriority w:val="99"/>
    <w:unhideWhenUsed/>
    <w:rsid w:val="0002578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2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98F02-DB81-43D6-98B1-131C73C2E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1625</Words>
  <Characters>9070</Characters>
  <Application>Microsoft Office Word</Application>
  <DocSecurity>0</DocSecurity>
  <Lines>206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26006: Reponses to Bidder Questions</vt:lpstr>
    </vt:vector>
  </TitlesOfParts>
  <Company>NJ Department of Education</Company>
  <LinksUpToDate>false</LinksUpToDate>
  <CharactersWithSpaces>10565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26006: Reponses to Bidder Questions</dc:title>
  <dc:subject/>
  <dc:creator>Amon, Robert</dc:creator>
  <cp:keywords/>
  <dc:description/>
  <cp:lastModifiedBy>Amon, Robert</cp:lastModifiedBy>
  <cp:revision>6</cp:revision>
  <dcterms:created xsi:type="dcterms:W3CDTF">2026-03-17T12:49:00Z</dcterms:created>
  <dcterms:modified xsi:type="dcterms:W3CDTF">2026-03-18T13:43:00Z</dcterms:modified>
</cp:coreProperties>
</file>