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F1DF" w14:textId="64A56FFF" w:rsidR="00970FA4" w:rsidRPr="002655C0" w:rsidRDefault="00C76CC7" w:rsidP="00562B91">
      <w:pPr>
        <w:pStyle w:val="NoSpacing"/>
        <w:spacing w:after="1480"/>
      </w:pPr>
      <w:r>
        <w:rPr>
          <w:noProof/>
        </w:rPr>
        <w:drawing>
          <wp:anchor distT="0" distB="0" distL="114300" distR="114300" simplePos="0" relativeHeight="251658240" behindDoc="1" locked="0" layoutInCell="1" allowOverlap="1" wp14:anchorId="39C66BDE" wp14:editId="474B6A4F">
            <wp:simplePos x="0" y="0"/>
            <wp:positionH relativeFrom="margin">
              <wp:posOffset>-312420</wp:posOffset>
            </wp:positionH>
            <wp:positionV relativeFrom="paragraph">
              <wp:posOffset>-708660</wp:posOffset>
            </wp:positionV>
            <wp:extent cx="7018020" cy="1731010"/>
            <wp:effectExtent l="0" t="0" r="0" b="2540"/>
            <wp:wrapNone/>
            <wp:docPr id="1" name="Picture 1" descr="Letterhead: State of New Jersey, Department of Education. PO Box 500, Trenton, NJ 08625-0500. Mikie Sherrill, Governor; Dr. Dale G. Caldwell, Lt. Governor; Dr. Lily Laux,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 State of New Jersey, Department of Education. PO Box 500, Trenton, NJ 08625-0500. Mikie Sherrill, Governor; Dr. Dale G. Caldwell, Lt. Governor; Dr. Lily Laux, Commission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8020" cy="1731010"/>
                    </a:xfrm>
                    <a:prstGeom prst="rect">
                      <a:avLst/>
                    </a:prstGeom>
                  </pic:spPr>
                </pic:pic>
              </a:graphicData>
            </a:graphic>
            <wp14:sizeRelH relativeFrom="page">
              <wp14:pctWidth>0</wp14:pctWidth>
            </wp14:sizeRelH>
            <wp14:sizeRelV relativeFrom="page">
              <wp14:pctHeight>0</wp14:pctHeight>
            </wp14:sizeRelV>
          </wp:anchor>
        </w:drawing>
      </w:r>
    </w:p>
    <w:p w14:paraId="5B164547" w14:textId="77777777" w:rsidR="00C76CC7" w:rsidRDefault="00C76CC7" w:rsidP="002655C0">
      <w:pPr>
        <w:pStyle w:val="NoSpacing"/>
        <w:tabs>
          <w:tab w:val="left" w:pos="1800"/>
        </w:tabs>
        <w:spacing w:line="480" w:lineRule="auto"/>
        <w:rPr>
          <w:b/>
          <w:bCs/>
        </w:rPr>
      </w:pPr>
    </w:p>
    <w:p w14:paraId="0CE60888" w14:textId="333A3529" w:rsidR="00B02CF0" w:rsidRDefault="00B02CF0" w:rsidP="002655C0">
      <w:pPr>
        <w:pStyle w:val="NoSpacing"/>
        <w:tabs>
          <w:tab w:val="left" w:pos="1800"/>
        </w:tabs>
        <w:spacing w:line="480" w:lineRule="auto"/>
      </w:pPr>
      <w:r w:rsidRPr="00DB7976">
        <w:rPr>
          <w:b/>
          <w:bCs/>
        </w:rPr>
        <w:t>To:</w:t>
      </w:r>
      <w:r>
        <w:tab/>
        <w:t>All Interested Bidders</w:t>
      </w:r>
    </w:p>
    <w:p w14:paraId="0722D445" w14:textId="31C7BD73" w:rsidR="00B02CF0" w:rsidRDefault="00B02CF0" w:rsidP="002655C0">
      <w:pPr>
        <w:pStyle w:val="NoSpacing"/>
        <w:tabs>
          <w:tab w:val="left" w:pos="1800"/>
        </w:tabs>
        <w:spacing w:line="480" w:lineRule="auto"/>
      </w:pPr>
      <w:r w:rsidRPr="00DB7976">
        <w:rPr>
          <w:b/>
          <w:bCs/>
        </w:rPr>
        <w:t>From:</w:t>
      </w:r>
      <w:r>
        <w:tab/>
        <w:t>Office of Budget and Accounting</w:t>
      </w:r>
    </w:p>
    <w:p w14:paraId="002104EB" w14:textId="47048EF2" w:rsidR="00B02CF0" w:rsidRDefault="00B02CF0" w:rsidP="002655C0">
      <w:pPr>
        <w:pStyle w:val="NoSpacing"/>
        <w:tabs>
          <w:tab w:val="left" w:pos="1800"/>
        </w:tabs>
        <w:spacing w:line="480" w:lineRule="auto"/>
      </w:pPr>
      <w:r w:rsidRPr="00DB7976">
        <w:rPr>
          <w:b/>
          <w:bCs/>
        </w:rPr>
        <w:t>Date:</w:t>
      </w:r>
      <w:r>
        <w:tab/>
      </w:r>
      <w:r w:rsidR="00C31993" w:rsidRPr="00D126C6">
        <w:t xml:space="preserve">March </w:t>
      </w:r>
      <w:r w:rsidR="00D126C6" w:rsidRPr="00D126C6">
        <w:t>2</w:t>
      </w:r>
      <w:r w:rsidR="00294302">
        <w:t>3</w:t>
      </w:r>
      <w:r w:rsidR="00C31993" w:rsidRPr="00D126C6">
        <w:t>, 2026</w:t>
      </w:r>
    </w:p>
    <w:p w14:paraId="4F1F380B" w14:textId="55701A5D" w:rsidR="00970FA4" w:rsidRPr="002655C0" w:rsidRDefault="00970FA4" w:rsidP="002655C0">
      <w:pPr>
        <w:pStyle w:val="NoSpacing"/>
        <w:tabs>
          <w:tab w:val="left" w:pos="1800"/>
        </w:tabs>
        <w:spacing w:after="360"/>
        <w:ind w:left="1800" w:hanging="1800"/>
        <w:rPr>
          <w:b/>
          <w:bCs/>
        </w:rPr>
      </w:pPr>
      <w:r>
        <w:rPr>
          <w:b/>
          <w:bCs/>
        </w:rPr>
        <w:t>Re:</w:t>
      </w:r>
      <w:r>
        <w:rPr>
          <w:b/>
          <w:bCs/>
        </w:rPr>
        <w:tab/>
        <w:t>Bid Solicitation (RFQ) # 26-00</w:t>
      </w:r>
      <w:r w:rsidR="004F40E0">
        <w:rPr>
          <w:b/>
          <w:bCs/>
        </w:rPr>
        <w:t>9</w:t>
      </w:r>
      <w:r w:rsidR="002655C0">
        <w:rPr>
          <w:b/>
          <w:bCs/>
        </w:rPr>
        <w:br/>
      </w:r>
      <w:r w:rsidR="004F40E0" w:rsidRPr="004F40E0">
        <w:t>Amistad Commission Comic Book – Development, Illustration, &amp; Production</w:t>
      </w:r>
    </w:p>
    <w:p w14:paraId="32D32B4D" w14:textId="30E332D0" w:rsidR="00970FA4" w:rsidRDefault="00970FA4" w:rsidP="00C31993">
      <w:pPr>
        <w:pStyle w:val="NoSpacing"/>
        <w:spacing w:after="120"/>
        <w:rPr>
          <w:b/>
          <w:bCs/>
        </w:rPr>
      </w:pPr>
      <w:r w:rsidRPr="00970FA4">
        <w:rPr>
          <w:b/>
          <w:bCs/>
        </w:rPr>
        <w:t xml:space="preserve">Quote {Proposal} Submission Due Date: </w:t>
      </w:r>
      <w:r w:rsidR="004F40E0">
        <w:rPr>
          <w:b/>
          <w:bCs/>
        </w:rPr>
        <w:t>March 25</w:t>
      </w:r>
      <w:r w:rsidRPr="00970FA4">
        <w:rPr>
          <w:b/>
          <w:bCs/>
        </w:rPr>
        <w:t>, 20</w:t>
      </w:r>
      <w:r>
        <w:rPr>
          <w:b/>
          <w:bCs/>
        </w:rPr>
        <w:t>26</w:t>
      </w:r>
      <w:r w:rsidRPr="00970FA4">
        <w:rPr>
          <w:b/>
          <w:bCs/>
        </w:rPr>
        <w:t xml:space="preserve"> (</w:t>
      </w:r>
      <w:r w:rsidR="00AD6B9B">
        <w:rPr>
          <w:b/>
          <w:bCs/>
        </w:rPr>
        <w:t>1</w:t>
      </w:r>
      <w:r w:rsidRPr="00970FA4">
        <w:rPr>
          <w:b/>
          <w:bCs/>
        </w:rPr>
        <w:t>2:00 p.m. ET)</w:t>
      </w:r>
    </w:p>
    <w:p w14:paraId="5B40C5A8" w14:textId="63FD00DD" w:rsidR="00294302" w:rsidRPr="00576A99" w:rsidRDefault="00294302" w:rsidP="00294302">
      <w:pPr>
        <w:pStyle w:val="NoSpacing"/>
        <w:spacing w:after="240"/>
        <w:rPr>
          <w:b/>
          <w:bCs/>
          <w:color w:val="C00000"/>
        </w:rPr>
      </w:pPr>
      <w:r w:rsidRPr="00576A99">
        <w:rPr>
          <w:b/>
          <w:bCs/>
          <w:color w:val="C00000"/>
        </w:rPr>
        <w:t>R</w:t>
      </w:r>
      <w:r>
        <w:rPr>
          <w:b/>
          <w:bCs/>
          <w:color w:val="C00000"/>
        </w:rPr>
        <w:t xml:space="preserve">evised </w:t>
      </w:r>
      <w:r w:rsidRPr="00576A99">
        <w:rPr>
          <w:b/>
          <w:bCs/>
          <w:color w:val="C00000"/>
        </w:rPr>
        <w:t xml:space="preserve">Quote {Proposal} Submission Due Date: </w:t>
      </w:r>
      <w:r>
        <w:rPr>
          <w:b/>
          <w:bCs/>
          <w:color w:val="C00000"/>
        </w:rPr>
        <w:t>April</w:t>
      </w:r>
      <w:r w:rsidRPr="00576A99">
        <w:rPr>
          <w:b/>
          <w:bCs/>
          <w:color w:val="C00000"/>
        </w:rPr>
        <w:t xml:space="preserve"> </w:t>
      </w:r>
      <w:r>
        <w:rPr>
          <w:b/>
          <w:bCs/>
          <w:color w:val="C00000"/>
        </w:rPr>
        <w:t>1</w:t>
      </w:r>
      <w:r w:rsidRPr="00576A99">
        <w:rPr>
          <w:b/>
          <w:bCs/>
          <w:color w:val="C00000"/>
        </w:rPr>
        <w:t>, 2026 (</w:t>
      </w:r>
      <w:r>
        <w:rPr>
          <w:b/>
          <w:bCs/>
          <w:color w:val="C00000"/>
        </w:rPr>
        <w:t>1</w:t>
      </w:r>
      <w:r w:rsidRPr="00576A99">
        <w:rPr>
          <w:b/>
          <w:bCs/>
          <w:color w:val="C00000"/>
        </w:rPr>
        <w:t>2:00 p.m. ET)</w:t>
      </w:r>
    </w:p>
    <w:p w14:paraId="73B90914" w14:textId="7982B755" w:rsidR="00970FA4" w:rsidRPr="002655C0" w:rsidRDefault="00970FA4" w:rsidP="002655C0">
      <w:pPr>
        <w:pStyle w:val="Heading1"/>
      </w:pPr>
      <w:r w:rsidRPr="002655C0">
        <w:t>Bid Amendment {Addendum} #0</w:t>
      </w:r>
      <w:r w:rsidR="004F40E0">
        <w:t>1</w:t>
      </w:r>
    </w:p>
    <w:p w14:paraId="7CD33AF3" w14:textId="71D94E6A" w:rsidR="00970FA4" w:rsidRDefault="00970FA4" w:rsidP="002655C0">
      <w:pPr>
        <w:pStyle w:val="NoSpacing"/>
        <w:spacing w:after="120"/>
      </w:pPr>
      <w:r>
        <w:t xml:space="preserve">The following constitutes Bid </w:t>
      </w:r>
      <w:proofErr w:type="gramStart"/>
      <w:r>
        <w:t>Amendment {Addendum} #</w:t>
      </w:r>
      <w:proofErr w:type="gramEnd"/>
      <w:r>
        <w:t>0</w:t>
      </w:r>
      <w:r w:rsidR="004F40E0">
        <w:t>1</w:t>
      </w:r>
      <w:r>
        <w:t xml:space="preserve"> to the above </w:t>
      </w:r>
      <w:proofErr w:type="gramStart"/>
      <w:r>
        <w:t>referenced</w:t>
      </w:r>
      <w:proofErr w:type="gramEnd"/>
      <w:r>
        <w:t xml:space="preserve"> Bid Solicitation {RFP}:</w:t>
      </w:r>
    </w:p>
    <w:p w14:paraId="18C9F742" w14:textId="49993922" w:rsidR="00970FA4" w:rsidRDefault="00970FA4" w:rsidP="002655C0">
      <w:pPr>
        <w:pStyle w:val="NoSpacing"/>
        <w:numPr>
          <w:ilvl w:val="0"/>
          <w:numId w:val="5"/>
        </w:numPr>
        <w:spacing w:after="240"/>
      </w:pPr>
      <w:r w:rsidRPr="00970FA4">
        <w:t xml:space="preserve">This Bid Amendment {Addendum} includes answers to </w:t>
      </w:r>
      <w:r w:rsidR="00C31993">
        <w:t xml:space="preserve">potential bidder </w:t>
      </w:r>
      <w:r w:rsidRPr="00970FA4">
        <w:t xml:space="preserve">questions. </w:t>
      </w:r>
    </w:p>
    <w:p w14:paraId="178E212E" w14:textId="7A5C3439" w:rsidR="00970FA4" w:rsidRDefault="00970FA4" w:rsidP="00C76CC7">
      <w:pPr>
        <w:pStyle w:val="NoSpacing"/>
        <w:spacing w:after="240"/>
      </w:pPr>
      <w:r>
        <w:t xml:space="preserve">It is the sole responsibility of the Vendor {Bidder} to be knowledgeable of </w:t>
      </w:r>
      <w:proofErr w:type="gramStart"/>
      <w:r>
        <w:t>all of</w:t>
      </w:r>
      <w:proofErr w:type="gramEnd"/>
      <w:r>
        <w:t xml:space="preserve"> the additions, deletions, clarifications, and modifications to the Bid Solicitation {RFQ} and/or the New Jersey Standard Terms and Conditions relative to this Bid Solicitation {RFQ} as set forth in all Bid Amendments {Addenda}. </w:t>
      </w:r>
    </w:p>
    <w:p w14:paraId="4914D653" w14:textId="3F6F1075" w:rsidR="002655C0" w:rsidRDefault="00970FA4" w:rsidP="00C76CC7">
      <w:pPr>
        <w:pStyle w:val="NoSpacing"/>
      </w:pPr>
      <w:r>
        <w:t>All other instructions, terms, and conditions of the Bid Solicitation {RFQ} shall remain the same.</w:t>
      </w:r>
      <w:r w:rsidR="002655C0">
        <w:br w:type="page"/>
      </w:r>
    </w:p>
    <w:p w14:paraId="1CD94002" w14:textId="4C272819" w:rsidR="00970FA4" w:rsidRPr="002655C0" w:rsidRDefault="004F40E0" w:rsidP="002655C0">
      <w:pPr>
        <w:pStyle w:val="Heading2"/>
        <w:spacing w:after="240"/>
      </w:pPr>
      <w:r w:rsidRPr="004F40E0">
        <w:lastRenderedPageBreak/>
        <w:t>Amistad Commission Comic Book – Development, Illustration, &amp; Production</w:t>
      </w:r>
      <w:r w:rsidR="002655C0">
        <w:br/>
      </w:r>
      <w:r w:rsidR="00970FA4" w:rsidRPr="002655C0">
        <w:t>Bid Solicitation {RFQ} Number: 26-00</w:t>
      </w:r>
      <w:r>
        <w:t>9</w:t>
      </w:r>
    </w:p>
    <w:p w14:paraId="49889E04" w14:textId="594D1819" w:rsidR="00676B8E" w:rsidRDefault="00970FA4" w:rsidP="0006570C">
      <w:pPr>
        <w:pStyle w:val="Heading3"/>
      </w:pPr>
      <w:r w:rsidRPr="002655C0">
        <w:t>Answers to Questions</w:t>
      </w:r>
    </w:p>
    <w:tbl>
      <w:tblPr>
        <w:tblStyle w:val="TableGrid"/>
        <w:tblW w:w="9629" w:type="dxa"/>
        <w:jc w:val="center"/>
        <w:tblLook w:val="04A0" w:firstRow="1" w:lastRow="0" w:firstColumn="1" w:lastColumn="0" w:noHBand="0" w:noVBand="1"/>
      </w:tblPr>
      <w:tblGrid>
        <w:gridCol w:w="535"/>
        <w:gridCol w:w="9094"/>
      </w:tblGrid>
      <w:tr w:rsidR="001A140C" w14:paraId="2BCD8326" w14:textId="77777777" w:rsidTr="001A140C">
        <w:trPr>
          <w:tblHeader/>
          <w:jc w:val="center"/>
        </w:trPr>
        <w:tc>
          <w:tcPr>
            <w:tcW w:w="535" w:type="dxa"/>
            <w:shd w:val="clear" w:color="auto" w:fill="D9D9D9" w:themeFill="background1" w:themeFillShade="D9"/>
          </w:tcPr>
          <w:p w14:paraId="715C51D6" w14:textId="4B18FB9C" w:rsidR="001A140C" w:rsidRPr="00676B8E" w:rsidRDefault="001A140C" w:rsidP="002655C0">
            <w:pPr>
              <w:pStyle w:val="NoSpacing"/>
              <w:rPr>
                <w:b/>
                <w:bCs/>
              </w:rPr>
            </w:pPr>
            <w:r w:rsidRPr="00676B8E">
              <w:rPr>
                <w:b/>
                <w:bCs/>
              </w:rPr>
              <w:t>#</w:t>
            </w:r>
          </w:p>
        </w:tc>
        <w:tc>
          <w:tcPr>
            <w:tcW w:w="9094" w:type="dxa"/>
            <w:shd w:val="clear" w:color="auto" w:fill="D9D9D9" w:themeFill="background1" w:themeFillShade="D9"/>
          </w:tcPr>
          <w:p w14:paraId="26F8A48D" w14:textId="3C2698E1" w:rsidR="001A140C" w:rsidRPr="00676B8E" w:rsidRDefault="001A140C" w:rsidP="002655C0">
            <w:pPr>
              <w:pStyle w:val="NoSpacing"/>
              <w:rPr>
                <w:b/>
                <w:bCs/>
              </w:rPr>
            </w:pPr>
            <w:r>
              <w:rPr>
                <w:b/>
                <w:bCs/>
              </w:rPr>
              <w:t>Question (Bolded) and Answer</w:t>
            </w:r>
          </w:p>
        </w:tc>
      </w:tr>
      <w:tr w:rsidR="001A140C" w14:paraId="351598B2" w14:textId="77777777" w:rsidTr="001A140C">
        <w:trPr>
          <w:jc w:val="center"/>
        </w:trPr>
        <w:tc>
          <w:tcPr>
            <w:tcW w:w="535" w:type="dxa"/>
          </w:tcPr>
          <w:p w14:paraId="062D1F0D" w14:textId="5E535D8B" w:rsidR="001A140C" w:rsidRPr="001A140C" w:rsidRDefault="001A140C" w:rsidP="00970FA4">
            <w:pPr>
              <w:pStyle w:val="NoSpacing"/>
              <w:rPr>
                <w:b/>
                <w:bCs/>
              </w:rPr>
            </w:pPr>
            <w:r w:rsidRPr="001A140C">
              <w:rPr>
                <w:b/>
                <w:bCs/>
              </w:rPr>
              <w:t>1</w:t>
            </w:r>
          </w:p>
        </w:tc>
        <w:tc>
          <w:tcPr>
            <w:tcW w:w="9094" w:type="dxa"/>
          </w:tcPr>
          <w:p w14:paraId="2A3F64C7" w14:textId="26BEC5BA" w:rsidR="004F40E0" w:rsidRDefault="004F40E0" w:rsidP="002655C0">
            <w:pPr>
              <w:spacing w:after="240"/>
              <w:rPr>
                <w:b/>
                <w:bCs/>
              </w:rPr>
            </w:pPr>
            <w:r w:rsidRPr="004F40E0">
              <w:rPr>
                <w:b/>
                <w:bCs/>
              </w:rPr>
              <w:t>What is the target or expected page count for the comic book?</w:t>
            </w:r>
          </w:p>
          <w:p w14:paraId="63CFC717" w14:textId="67A35555" w:rsidR="001A140C" w:rsidRPr="001A140C" w:rsidRDefault="00150A5A" w:rsidP="00150A5A">
            <w:pPr>
              <w:spacing w:after="240"/>
            </w:pPr>
            <w:r>
              <w:t>The target or expected length of the comic book is 20 to 24 pages.</w:t>
            </w:r>
          </w:p>
        </w:tc>
      </w:tr>
      <w:tr w:rsidR="001A140C" w14:paraId="388857A8" w14:textId="77777777" w:rsidTr="001A140C">
        <w:trPr>
          <w:jc w:val="center"/>
        </w:trPr>
        <w:tc>
          <w:tcPr>
            <w:tcW w:w="535" w:type="dxa"/>
          </w:tcPr>
          <w:p w14:paraId="77417D4B" w14:textId="1C15A8E0" w:rsidR="001A140C" w:rsidRPr="001A140C" w:rsidRDefault="001A140C" w:rsidP="002655C0">
            <w:pPr>
              <w:pStyle w:val="NoSpacing"/>
              <w:spacing w:after="240"/>
              <w:rPr>
                <w:b/>
                <w:bCs/>
              </w:rPr>
            </w:pPr>
            <w:r w:rsidRPr="001A140C">
              <w:rPr>
                <w:b/>
                <w:bCs/>
              </w:rPr>
              <w:t>2</w:t>
            </w:r>
          </w:p>
        </w:tc>
        <w:tc>
          <w:tcPr>
            <w:tcW w:w="9094" w:type="dxa"/>
          </w:tcPr>
          <w:p w14:paraId="21C2ADD4" w14:textId="000D861C" w:rsidR="004F40E0" w:rsidRDefault="004F40E0" w:rsidP="00EF3B49">
            <w:pPr>
              <w:spacing w:after="240"/>
              <w:jc w:val="both"/>
              <w:rPr>
                <w:b/>
                <w:bCs/>
              </w:rPr>
            </w:pPr>
            <w:r w:rsidRPr="004F40E0">
              <w:rPr>
                <w:b/>
                <w:bCs/>
              </w:rPr>
              <w:t>Is there a preferred artistic style for the illustrations — for example, a more realistic, rendered approach versus a looser, expressive style more typical of children's books? We would welcome any visual references or examples that reflect the Commission's vision.</w:t>
            </w:r>
            <w:r w:rsidR="00011142">
              <w:rPr>
                <w:b/>
                <w:bCs/>
              </w:rPr>
              <w:t xml:space="preserve"> </w:t>
            </w:r>
          </w:p>
          <w:p w14:paraId="31B99B52" w14:textId="0B3FFF9A" w:rsidR="001A140C" w:rsidRPr="00EF3B49" w:rsidRDefault="00150A5A" w:rsidP="00150A5A">
            <w:pPr>
              <w:spacing w:after="240"/>
              <w:jc w:val="both"/>
              <w:rPr>
                <w:b/>
                <w:bCs/>
              </w:rPr>
            </w:pPr>
            <w:r>
              <w:t>Yes. The preferred artistic style is an expressive illustration style typical of children’s books, emphasis engaging visuals, clear storytelling, and age-appropriate, imaginative design. There are no specific examples provided that reflect the Commission’s envisioned artistic style. Vendors are expected to interpret the guidance and propose illustrations accordingly.</w:t>
            </w:r>
          </w:p>
        </w:tc>
      </w:tr>
      <w:tr w:rsidR="001A140C" w14:paraId="25023183" w14:textId="77777777" w:rsidTr="001A140C">
        <w:trPr>
          <w:jc w:val="center"/>
        </w:trPr>
        <w:tc>
          <w:tcPr>
            <w:tcW w:w="535" w:type="dxa"/>
          </w:tcPr>
          <w:p w14:paraId="627C39CF" w14:textId="48D99E20" w:rsidR="001A140C" w:rsidRPr="001A140C" w:rsidRDefault="001A140C" w:rsidP="002655C0">
            <w:pPr>
              <w:pStyle w:val="NoSpacing"/>
              <w:spacing w:after="240"/>
              <w:rPr>
                <w:b/>
                <w:bCs/>
              </w:rPr>
            </w:pPr>
            <w:r w:rsidRPr="001A140C">
              <w:rPr>
                <w:b/>
                <w:bCs/>
              </w:rPr>
              <w:t>3</w:t>
            </w:r>
          </w:p>
        </w:tc>
        <w:tc>
          <w:tcPr>
            <w:tcW w:w="9094" w:type="dxa"/>
          </w:tcPr>
          <w:p w14:paraId="54C97E02" w14:textId="77777777" w:rsidR="001A140C" w:rsidRDefault="004F40E0" w:rsidP="00150A5A">
            <w:pPr>
              <w:pStyle w:val="NoSpacing"/>
              <w:spacing w:after="240"/>
              <w:rPr>
                <w:b/>
                <w:bCs/>
              </w:rPr>
            </w:pPr>
            <w:r w:rsidRPr="004F40E0">
              <w:rPr>
                <w:b/>
                <w:bCs/>
              </w:rPr>
              <w:t>What is the intended trim size, or is the vendor expected to recommend one? If the latter, is there a preferred range (e.g., standard comic format at 6.625" x 10.25" vs. a larger children's book format)?</w:t>
            </w:r>
            <w:r w:rsidR="00011142">
              <w:rPr>
                <w:b/>
                <w:bCs/>
              </w:rPr>
              <w:t xml:space="preserve"> </w:t>
            </w:r>
          </w:p>
          <w:p w14:paraId="3634DCAA" w14:textId="70CDA22C" w:rsidR="00150A5A" w:rsidRPr="00150A5A" w:rsidRDefault="00150A5A" w:rsidP="00150A5A">
            <w:pPr>
              <w:pStyle w:val="NoSpacing"/>
              <w:spacing w:after="240"/>
            </w:pPr>
            <w:r>
              <w:t>The intended trim size for the comic book is 6.625 inches x 10.25 inches, with a soft cover.</w:t>
            </w:r>
          </w:p>
        </w:tc>
      </w:tr>
      <w:tr w:rsidR="001A140C" w14:paraId="3611A77E" w14:textId="77777777" w:rsidTr="001A140C">
        <w:trPr>
          <w:jc w:val="center"/>
        </w:trPr>
        <w:tc>
          <w:tcPr>
            <w:tcW w:w="535" w:type="dxa"/>
          </w:tcPr>
          <w:p w14:paraId="2F0A263E" w14:textId="0842C033" w:rsidR="001A140C" w:rsidRPr="001A140C" w:rsidRDefault="001A140C" w:rsidP="002655C0">
            <w:pPr>
              <w:pStyle w:val="NoSpacing"/>
              <w:spacing w:after="240"/>
              <w:rPr>
                <w:b/>
                <w:bCs/>
              </w:rPr>
            </w:pPr>
            <w:r w:rsidRPr="001A140C">
              <w:rPr>
                <w:b/>
                <w:bCs/>
              </w:rPr>
              <w:t>4</w:t>
            </w:r>
          </w:p>
        </w:tc>
        <w:tc>
          <w:tcPr>
            <w:tcW w:w="9094" w:type="dxa"/>
          </w:tcPr>
          <w:p w14:paraId="662A6928" w14:textId="6E4F9534" w:rsidR="004F40E0" w:rsidRDefault="004F40E0" w:rsidP="002655C0">
            <w:pPr>
              <w:pStyle w:val="NoSpacing"/>
              <w:spacing w:after="240"/>
              <w:rPr>
                <w:b/>
                <w:bCs/>
              </w:rPr>
            </w:pPr>
            <w:r w:rsidRPr="004F40E0">
              <w:rPr>
                <w:b/>
                <w:bCs/>
              </w:rPr>
              <w:t>Is the comic book intended to be full color throughout?</w:t>
            </w:r>
            <w:r w:rsidR="00011142">
              <w:rPr>
                <w:b/>
                <w:bCs/>
              </w:rPr>
              <w:t xml:space="preserve">  </w:t>
            </w:r>
          </w:p>
          <w:p w14:paraId="3BE0B1CC" w14:textId="31E5C952" w:rsidR="001A140C" w:rsidRDefault="0084316A" w:rsidP="002655C0">
            <w:pPr>
              <w:pStyle w:val="NoSpacing"/>
              <w:spacing w:after="240"/>
            </w:pPr>
            <w:r>
              <w:t>Yes, the comic book is intended to be full color throughout.</w:t>
            </w:r>
          </w:p>
        </w:tc>
      </w:tr>
      <w:tr w:rsidR="001A140C" w14:paraId="0EC271E1" w14:textId="77777777" w:rsidTr="001A140C">
        <w:trPr>
          <w:jc w:val="center"/>
        </w:trPr>
        <w:tc>
          <w:tcPr>
            <w:tcW w:w="535" w:type="dxa"/>
          </w:tcPr>
          <w:p w14:paraId="7BDA1E43" w14:textId="2F1A2750" w:rsidR="001A140C" w:rsidRPr="001A140C" w:rsidRDefault="001A140C" w:rsidP="002655C0">
            <w:pPr>
              <w:pStyle w:val="NoSpacing"/>
              <w:spacing w:after="240"/>
              <w:rPr>
                <w:b/>
                <w:bCs/>
              </w:rPr>
            </w:pPr>
            <w:r w:rsidRPr="001A140C">
              <w:rPr>
                <w:b/>
                <w:bCs/>
              </w:rPr>
              <w:t>5</w:t>
            </w:r>
          </w:p>
        </w:tc>
        <w:tc>
          <w:tcPr>
            <w:tcW w:w="9094" w:type="dxa"/>
          </w:tcPr>
          <w:p w14:paraId="48E148DC" w14:textId="77777777" w:rsidR="001A140C" w:rsidRDefault="004F40E0" w:rsidP="004F40E0">
            <w:pPr>
              <w:pStyle w:val="NoSpacing"/>
              <w:spacing w:after="240"/>
              <w:jc w:val="both"/>
              <w:rPr>
                <w:b/>
                <w:bCs/>
              </w:rPr>
            </w:pPr>
            <w:r w:rsidRPr="004F40E0">
              <w:rPr>
                <w:b/>
                <w:bCs/>
              </w:rPr>
              <w:t>When the RFP describes the comic book as "interactive," what specifically is envisioned? For example: QR codes linking to digital content, augmented reality elements, tactile features in the printed version, or is "interactive" referring to the engagement level of the storytelling and instructional design itself?</w:t>
            </w:r>
            <w:r w:rsidRPr="004F40E0">
              <w:rPr>
                <w:b/>
                <w:bCs/>
              </w:rPr>
              <w:br/>
            </w:r>
          </w:p>
          <w:p w14:paraId="0BDBEA91" w14:textId="1184FE0C" w:rsidR="0018211F" w:rsidRPr="0018211F" w:rsidRDefault="0018211F" w:rsidP="004F40E0">
            <w:pPr>
              <w:pStyle w:val="NoSpacing"/>
              <w:spacing w:after="240"/>
              <w:jc w:val="both"/>
            </w:pPr>
            <w:r>
              <w:t>The Commission envisions “interactive” to include both interactive storytelling elements and the integration of external digital resources. This may include narrative techniques that encourage reader engagement, as well as the use of live links or scannable features (e.g., QR codes) that connect to supplemental content. External resources may include images, artifacts, and other materials, including those from West Africa, to enhance the educational and contextual value of the comic book.</w:t>
            </w:r>
          </w:p>
        </w:tc>
      </w:tr>
      <w:tr w:rsidR="001A140C" w14:paraId="2C557E87" w14:textId="77777777" w:rsidTr="001A140C">
        <w:trPr>
          <w:jc w:val="center"/>
        </w:trPr>
        <w:tc>
          <w:tcPr>
            <w:tcW w:w="535" w:type="dxa"/>
          </w:tcPr>
          <w:p w14:paraId="746C6FF5" w14:textId="4B9BBDB5" w:rsidR="001A140C" w:rsidRPr="001A140C" w:rsidRDefault="001A140C" w:rsidP="002655C0">
            <w:pPr>
              <w:pStyle w:val="NoSpacing"/>
              <w:spacing w:after="240"/>
              <w:rPr>
                <w:b/>
                <w:bCs/>
              </w:rPr>
            </w:pPr>
            <w:r w:rsidRPr="001A140C">
              <w:rPr>
                <w:b/>
                <w:bCs/>
              </w:rPr>
              <w:lastRenderedPageBreak/>
              <w:t>6</w:t>
            </w:r>
          </w:p>
        </w:tc>
        <w:tc>
          <w:tcPr>
            <w:tcW w:w="9094" w:type="dxa"/>
          </w:tcPr>
          <w:p w14:paraId="0FA04561" w14:textId="305EB828" w:rsidR="001A140C" w:rsidRDefault="004F40E0" w:rsidP="001A140C">
            <w:pPr>
              <w:pStyle w:val="NoSpacing"/>
              <w:tabs>
                <w:tab w:val="left" w:pos="924"/>
              </w:tabs>
              <w:spacing w:after="240"/>
              <w:rPr>
                <w:b/>
                <w:bCs/>
              </w:rPr>
            </w:pPr>
            <w:r w:rsidRPr="004F40E0">
              <w:rPr>
                <w:b/>
                <w:bCs/>
              </w:rPr>
              <w:t>Is there a specific grade band within K–5 that should serve as the primary target audience? The reading level and visual complexity appropriate for a kindergartener differs significantly from that of a fifth grader.</w:t>
            </w:r>
            <w:r w:rsidR="00011142">
              <w:rPr>
                <w:b/>
                <w:bCs/>
              </w:rPr>
              <w:t xml:space="preserve"> </w:t>
            </w:r>
          </w:p>
          <w:p w14:paraId="2BDBDA61" w14:textId="7A9007BE" w:rsidR="001A140C" w:rsidRPr="001A140C" w:rsidRDefault="009217DA" w:rsidP="009217DA">
            <w:pPr>
              <w:pStyle w:val="NoSpacing"/>
              <w:tabs>
                <w:tab w:val="left" w:pos="924"/>
              </w:tabs>
              <w:spacing w:after="240"/>
            </w:pPr>
            <w:r>
              <w:t xml:space="preserve">The Commission does not require a specific grade band within K-5 to serve as the sole target audience. Vendors should design the comic book to be broadly accessible across the K-5 range, while balance reading level and visual complexity. Proposals should demonstrate an approach that ensures age-appropriate content, clear storytelling, and engaging visuals that can be understood by younger students while still maintaining interest for older elementary learners. </w:t>
            </w:r>
            <w:r w:rsidR="00C9315C">
              <w:t>New Jersey Student Learning Standards can be used to determine developmental learning targets appropriate for these grade levels.</w:t>
            </w:r>
          </w:p>
        </w:tc>
      </w:tr>
      <w:tr w:rsidR="001A140C" w14:paraId="57B5DDA3" w14:textId="77777777" w:rsidTr="001A140C">
        <w:trPr>
          <w:jc w:val="center"/>
        </w:trPr>
        <w:tc>
          <w:tcPr>
            <w:tcW w:w="535" w:type="dxa"/>
          </w:tcPr>
          <w:p w14:paraId="6CA312EF" w14:textId="7704A841" w:rsidR="001A140C" w:rsidRPr="001A140C" w:rsidRDefault="001A140C" w:rsidP="002655C0">
            <w:pPr>
              <w:pStyle w:val="NoSpacing"/>
              <w:spacing w:after="240"/>
              <w:rPr>
                <w:b/>
                <w:bCs/>
              </w:rPr>
            </w:pPr>
            <w:r w:rsidRPr="001A140C">
              <w:rPr>
                <w:b/>
                <w:bCs/>
              </w:rPr>
              <w:t>7</w:t>
            </w:r>
          </w:p>
        </w:tc>
        <w:tc>
          <w:tcPr>
            <w:tcW w:w="9094" w:type="dxa"/>
          </w:tcPr>
          <w:p w14:paraId="522E4F7D" w14:textId="3D45518A" w:rsidR="001A140C" w:rsidRDefault="004F40E0" w:rsidP="001A140C">
            <w:pPr>
              <w:pStyle w:val="NoSpacing"/>
              <w:tabs>
                <w:tab w:val="left" w:pos="924"/>
              </w:tabs>
              <w:spacing w:after="240"/>
              <w:rPr>
                <w:b/>
                <w:bCs/>
              </w:rPr>
            </w:pPr>
            <w:r w:rsidRPr="004F40E0">
              <w:rPr>
                <w:b/>
                <w:bCs/>
              </w:rPr>
              <w:t>Is the comic book intended to be English-only, or should the vendor plan for bilingual or translated versions to support the multilingual learner requirements referenced in the Scope of Work?</w:t>
            </w:r>
            <w:r w:rsidR="006B187F">
              <w:rPr>
                <w:b/>
                <w:bCs/>
              </w:rPr>
              <w:t xml:space="preserve">   </w:t>
            </w:r>
          </w:p>
          <w:p w14:paraId="471A5183" w14:textId="4AE3AFBF" w:rsidR="005F34CC" w:rsidRPr="004F40E0" w:rsidRDefault="008766D1" w:rsidP="008766D1">
            <w:pPr>
              <w:pStyle w:val="NoSpacing"/>
              <w:tabs>
                <w:tab w:val="left" w:pos="924"/>
              </w:tabs>
              <w:spacing w:after="240"/>
            </w:pPr>
            <w:r>
              <w:t xml:space="preserve">The comic book is intended to be produced in English. However, vendors are encouraged to propose options or approaches for translated or bilingual versions that would support multilingual learners, including Spanish or other commonly spoken languages, as an enhancement or optional component. </w:t>
            </w:r>
          </w:p>
        </w:tc>
      </w:tr>
      <w:tr w:rsidR="001A140C" w14:paraId="53A975A0" w14:textId="77777777" w:rsidTr="001A140C">
        <w:trPr>
          <w:jc w:val="center"/>
        </w:trPr>
        <w:tc>
          <w:tcPr>
            <w:tcW w:w="535" w:type="dxa"/>
          </w:tcPr>
          <w:p w14:paraId="4F40E67A" w14:textId="271251BE" w:rsidR="001A140C" w:rsidRPr="001A140C" w:rsidRDefault="001A140C" w:rsidP="002655C0">
            <w:pPr>
              <w:pStyle w:val="NoSpacing"/>
              <w:spacing w:after="240"/>
              <w:rPr>
                <w:b/>
                <w:bCs/>
              </w:rPr>
            </w:pPr>
            <w:r w:rsidRPr="001A140C">
              <w:rPr>
                <w:b/>
                <w:bCs/>
              </w:rPr>
              <w:t>8</w:t>
            </w:r>
          </w:p>
        </w:tc>
        <w:tc>
          <w:tcPr>
            <w:tcW w:w="9094" w:type="dxa"/>
          </w:tcPr>
          <w:p w14:paraId="55461A39" w14:textId="1BDA0E7A" w:rsidR="004F40E0" w:rsidRDefault="004F40E0" w:rsidP="001A140C">
            <w:pPr>
              <w:pStyle w:val="NoSpacing"/>
              <w:tabs>
                <w:tab w:val="left" w:pos="924"/>
              </w:tabs>
              <w:spacing w:after="240"/>
              <w:rPr>
                <w:b/>
                <w:bCs/>
              </w:rPr>
            </w:pPr>
            <w:r w:rsidRPr="004F40E0">
              <w:rPr>
                <w:b/>
                <w:bCs/>
              </w:rPr>
              <w:t xml:space="preserve">How much creative latitude does the vendor have with the narrative and characters? Should the chapter framework </w:t>
            </w:r>
            <w:proofErr w:type="gramStart"/>
            <w:r w:rsidRPr="004F40E0">
              <w:rPr>
                <w:b/>
                <w:bCs/>
              </w:rPr>
              <w:t>provided</w:t>
            </w:r>
            <w:proofErr w:type="gramEnd"/>
            <w:r w:rsidRPr="004F40E0">
              <w:rPr>
                <w:b/>
                <w:bCs/>
              </w:rPr>
              <w:t xml:space="preserve"> in the Scope of Work be treated as a rigid outline or as a guide that allows for original storytelling choices (e.g., a fictional student narrator, composite characters)?</w:t>
            </w:r>
            <w:r w:rsidR="006B187F">
              <w:rPr>
                <w:b/>
                <w:bCs/>
              </w:rPr>
              <w:t xml:space="preserve">  </w:t>
            </w:r>
          </w:p>
          <w:p w14:paraId="07D6B9FB" w14:textId="7602A5DF" w:rsidR="001A140C" w:rsidRPr="00CB0EEA" w:rsidRDefault="008766D1" w:rsidP="008766D1">
            <w:pPr>
              <w:pStyle w:val="NoSpacing"/>
              <w:tabs>
                <w:tab w:val="left" w:pos="924"/>
              </w:tabs>
              <w:spacing w:after="240"/>
            </w:pPr>
            <w:r>
              <w:t>Vendors are afforded significant creative latitude in developing the narrative, characters and overall storytelling approach. However, all content must maintain the historical integrity and educational intent of the Amistad story. Proposals should demonstrate a thoughtful balance between creative expression and factual accuracy, ensuring the narrative remains respectful, appropriate for the intended audience, and aligned with the Commission’s objectives.</w:t>
            </w:r>
            <w:r w:rsidR="00455862">
              <w:t xml:space="preserve"> </w:t>
            </w:r>
          </w:p>
        </w:tc>
      </w:tr>
      <w:tr w:rsidR="001A140C" w14:paraId="103A3E31" w14:textId="77777777" w:rsidTr="001A140C">
        <w:trPr>
          <w:jc w:val="center"/>
        </w:trPr>
        <w:tc>
          <w:tcPr>
            <w:tcW w:w="535" w:type="dxa"/>
          </w:tcPr>
          <w:p w14:paraId="43A62152" w14:textId="25709074" w:rsidR="001A140C" w:rsidRPr="001A140C" w:rsidRDefault="001A140C" w:rsidP="002655C0">
            <w:pPr>
              <w:pStyle w:val="NoSpacing"/>
              <w:spacing w:after="240"/>
              <w:rPr>
                <w:b/>
                <w:bCs/>
              </w:rPr>
            </w:pPr>
            <w:r w:rsidRPr="001A140C">
              <w:rPr>
                <w:b/>
                <w:bCs/>
              </w:rPr>
              <w:t>9</w:t>
            </w:r>
          </w:p>
        </w:tc>
        <w:tc>
          <w:tcPr>
            <w:tcW w:w="9094" w:type="dxa"/>
          </w:tcPr>
          <w:p w14:paraId="3CF4FF17" w14:textId="01B7EBD2" w:rsidR="004F40E0" w:rsidRDefault="004F40E0" w:rsidP="001A140C">
            <w:pPr>
              <w:pStyle w:val="NoSpacing"/>
              <w:tabs>
                <w:tab w:val="left" w:pos="924"/>
              </w:tabs>
              <w:spacing w:after="240"/>
              <w:rPr>
                <w:b/>
                <w:bCs/>
              </w:rPr>
            </w:pPr>
            <w:r w:rsidRPr="004F40E0">
              <w:rPr>
                <w:b/>
                <w:bCs/>
              </w:rPr>
              <w:t>For the historical figures named in Chapter 4 (Craig Stanley and Bill Payne), will the Commission provide reference materials, approved likenesses, or access to those individuals to ensure accuracy?</w:t>
            </w:r>
            <w:r w:rsidR="006B187F">
              <w:rPr>
                <w:b/>
                <w:bCs/>
              </w:rPr>
              <w:t xml:space="preserve">  </w:t>
            </w:r>
          </w:p>
          <w:p w14:paraId="575919A9" w14:textId="7BC3CC1C" w:rsidR="001A140C" w:rsidRPr="00824A94" w:rsidRDefault="00BE0348" w:rsidP="00BE0348">
            <w:pPr>
              <w:pStyle w:val="NoSpacing"/>
              <w:tabs>
                <w:tab w:val="left" w:pos="924"/>
              </w:tabs>
              <w:spacing w:after="240"/>
            </w:pPr>
            <w:r>
              <w:t xml:space="preserve">The Commission can assist by providing publicly available reference images of historical figures, if needed. These materials may be used by the vendor as a basis for developing illustrated or stylized comic characters, while ensuring respectful and appropriate representation. </w:t>
            </w:r>
          </w:p>
        </w:tc>
      </w:tr>
      <w:tr w:rsidR="001A140C" w14:paraId="75325E1D" w14:textId="77777777" w:rsidTr="001A140C">
        <w:trPr>
          <w:jc w:val="center"/>
        </w:trPr>
        <w:tc>
          <w:tcPr>
            <w:tcW w:w="535" w:type="dxa"/>
          </w:tcPr>
          <w:p w14:paraId="5BC1A142" w14:textId="1B453FEE" w:rsidR="001A140C" w:rsidRPr="001A140C" w:rsidRDefault="001A140C" w:rsidP="002655C0">
            <w:pPr>
              <w:pStyle w:val="NoSpacing"/>
              <w:spacing w:after="240"/>
              <w:rPr>
                <w:b/>
                <w:bCs/>
              </w:rPr>
            </w:pPr>
            <w:r w:rsidRPr="001A140C">
              <w:rPr>
                <w:b/>
                <w:bCs/>
              </w:rPr>
              <w:lastRenderedPageBreak/>
              <w:t>10</w:t>
            </w:r>
          </w:p>
        </w:tc>
        <w:tc>
          <w:tcPr>
            <w:tcW w:w="9094" w:type="dxa"/>
          </w:tcPr>
          <w:p w14:paraId="13013E32" w14:textId="1A7FDA25" w:rsidR="004F40E0" w:rsidRDefault="004F40E0" w:rsidP="001A140C">
            <w:pPr>
              <w:pStyle w:val="NoSpacing"/>
              <w:tabs>
                <w:tab w:val="left" w:pos="924"/>
              </w:tabs>
              <w:spacing w:after="240"/>
              <w:rPr>
                <w:b/>
                <w:bCs/>
              </w:rPr>
            </w:pPr>
            <w:r w:rsidRPr="004F40E0">
              <w:rPr>
                <w:b/>
                <w:bCs/>
              </w:rPr>
              <w:t>What turnaround time should the vendor expect from NJDOE at each review milestone? Given the July 1 final delivery date, understanding the Department's review windows is critical for developing a realistic project schedule.</w:t>
            </w:r>
            <w:r w:rsidR="006B187F">
              <w:rPr>
                <w:b/>
                <w:bCs/>
              </w:rPr>
              <w:t xml:space="preserve"> </w:t>
            </w:r>
          </w:p>
          <w:p w14:paraId="2E545AF6" w14:textId="762FF28B" w:rsidR="0096759E" w:rsidRPr="00C56CCA" w:rsidRDefault="009843C2" w:rsidP="009843C2">
            <w:pPr>
              <w:pStyle w:val="NoSpacing"/>
              <w:tabs>
                <w:tab w:val="left" w:pos="924"/>
              </w:tabs>
              <w:spacing w:after="240"/>
            </w:pPr>
            <w:r>
              <w:t xml:space="preserve">The final </w:t>
            </w:r>
            <w:proofErr w:type="gramStart"/>
            <w:r>
              <w:t>deliverable</w:t>
            </w:r>
            <w:proofErr w:type="gramEnd"/>
            <w:r>
              <w:t xml:space="preserve"> is expected July 1, 2026. Vendors should anticipate that all submitted materials will be reviewed by the Commission within approximately two weeks at each phase of the project. Proposals should account for this review cycle when developing project timelines and milestones to ensure timely completion. </w:t>
            </w:r>
          </w:p>
        </w:tc>
      </w:tr>
      <w:tr w:rsidR="001A140C" w14:paraId="597BC2B9" w14:textId="77777777" w:rsidTr="001A140C">
        <w:trPr>
          <w:jc w:val="center"/>
        </w:trPr>
        <w:tc>
          <w:tcPr>
            <w:tcW w:w="535" w:type="dxa"/>
          </w:tcPr>
          <w:p w14:paraId="329998B1" w14:textId="5D007729" w:rsidR="001A140C" w:rsidRPr="001A140C" w:rsidRDefault="001A140C" w:rsidP="002655C0">
            <w:pPr>
              <w:pStyle w:val="NoSpacing"/>
              <w:spacing w:after="240"/>
              <w:rPr>
                <w:b/>
                <w:bCs/>
              </w:rPr>
            </w:pPr>
            <w:r w:rsidRPr="001A140C">
              <w:rPr>
                <w:b/>
                <w:bCs/>
              </w:rPr>
              <w:t>11</w:t>
            </w:r>
          </w:p>
        </w:tc>
        <w:tc>
          <w:tcPr>
            <w:tcW w:w="9094" w:type="dxa"/>
          </w:tcPr>
          <w:p w14:paraId="5D4F0721" w14:textId="77777777" w:rsidR="0033612F" w:rsidRDefault="004F40E0" w:rsidP="001A140C">
            <w:pPr>
              <w:pStyle w:val="NoSpacing"/>
              <w:tabs>
                <w:tab w:val="left" w:pos="924"/>
              </w:tabs>
              <w:spacing w:after="240"/>
              <w:rPr>
                <w:b/>
                <w:bCs/>
              </w:rPr>
            </w:pPr>
            <w:r w:rsidRPr="004F40E0">
              <w:rPr>
                <w:b/>
                <w:bCs/>
              </w:rPr>
              <w:t>How many revision rounds are expected at each approval milestone (content outline, script, concept art, draft layout, final proof)? The price sheet references "two rounds of revisions minimum" for editing — does that standard apply to each approval gate?</w:t>
            </w:r>
            <w:r w:rsidR="006B187F">
              <w:rPr>
                <w:b/>
                <w:bCs/>
              </w:rPr>
              <w:t xml:space="preserve"> </w:t>
            </w:r>
          </w:p>
          <w:p w14:paraId="49839F1C" w14:textId="70068A01" w:rsidR="00180252" w:rsidRPr="00811BCE" w:rsidRDefault="0033612F" w:rsidP="001A140C">
            <w:pPr>
              <w:pStyle w:val="NoSpacing"/>
              <w:tabs>
                <w:tab w:val="left" w:pos="924"/>
              </w:tabs>
              <w:spacing w:after="240"/>
            </w:pPr>
            <w:r>
              <w:t>Vendors should anticipate up to two rounds of review and revisions at each project milestone. Proposals should account for these revision cycles within the overall project timeline to ensure timely completion.</w:t>
            </w:r>
          </w:p>
        </w:tc>
      </w:tr>
      <w:tr w:rsidR="001A140C" w14:paraId="531025A2" w14:textId="77777777" w:rsidTr="001A140C">
        <w:trPr>
          <w:jc w:val="center"/>
        </w:trPr>
        <w:tc>
          <w:tcPr>
            <w:tcW w:w="535" w:type="dxa"/>
          </w:tcPr>
          <w:p w14:paraId="24CE5C05" w14:textId="3722F354" w:rsidR="001A140C" w:rsidRPr="001A140C" w:rsidRDefault="001A140C" w:rsidP="002655C0">
            <w:pPr>
              <w:pStyle w:val="NoSpacing"/>
              <w:spacing w:after="240"/>
              <w:rPr>
                <w:b/>
                <w:bCs/>
              </w:rPr>
            </w:pPr>
            <w:r w:rsidRPr="001A140C">
              <w:rPr>
                <w:b/>
                <w:bCs/>
              </w:rPr>
              <w:t>12</w:t>
            </w:r>
          </w:p>
        </w:tc>
        <w:tc>
          <w:tcPr>
            <w:tcW w:w="9094" w:type="dxa"/>
          </w:tcPr>
          <w:p w14:paraId="0B5883BF" w14:textId="77777777" w:rsidR="0033612F" w:rsidRDefault="004F40E0" w:rsidP="004F40E0">
            <w:pPr>
              <w:pStyle w:val="NoSpacing"/>
              <w:tabs>
                <w:tab w:val="left" w:pos="924"/>
              </w:tabs>
              <w:spacing w:after="240"/>
              <w:rPr>
                <w:b/>
                <w:bCs/>
              </w:rPr>
            </w:pPr>
            <w:r w:rsidRPr="004F40E0">
              <w:rPr>
                <w:b/>
                <w:bCs/>
              </w:rPr>
              <w:t xml:space="preserve">Is the July 1, </w:t>
            </w:r>
            <w:proofErr w:type="gramStart"/>
            <w:r w:rsidRPr="004F40E0">
              <w:rPr>
                <w:b/>
                <w:bCs/>
              </w:rPr>
              <w:t>2026</w:t>
            </w:r>
            <w:proofErr w:type="gramEnd"/>
            <w:r w:rsidRPr="004F40E0">
              <w:rPr>
                <w:b/>
                <w:bCs/>
              </w:rPr>
              <w:t xml:space="preserve"> deadline for delivery of all deliverables including printed copies, or is that the date for final approved digital files with printing and delivery to follow?</w:t>
            </w:r>
            <w:r w:rsidR="006B187F">
              <w:rPr>
                <w:b/>
                <w:bCs/>
              </w:rPr>
              <w:t xml:space="preserve">  </w:t>
            </w:r>
          </w:p>
          <w:p w14:paraId="1BACE66A" w14:textId="7CD27E18" w:rsidR="001A140C" w:rsidRPr="004F40E0" w:rsidRDefault="0033612F" w:rsidP="004F40E0">
            <w:pPr>
              <w:pStyle w:val="NoSpacing"/>
              <w:tabs>
                <w:tab w:val="left" w:pos="924"/>
              </w:tabs>
              <w:spacing w:after="240"/>
              <w:rPr>
                <w:b/>
                <w:bCs/>
              </w:rPr>
            </w:pPr>
            <w:r>
              <w:t xml:space="preserve">The July 1, </w:t>
            </w:r>
            <w:proofErr w:type="gramStart"/>
            <w:r>
              <w:t>2026</w:t>
            </w:r>
            <w:proofErr w:type="gramEnd"/>
            <w:r>
              <w:t xml:space="preserve"> deadline applies to all final deliverables, including both digital and printed copies. Vendors should ensure that all components are completed, reviewed and finalized by this date.</w:t>
            </w:r>
          </w:p>
        </w:tc>
      </w:tr>
      <w:tr w:rsidR="001A140C" w14:paraId="72B6C162" w14:textId="77777777" w:rsidTr="001A140C">
        <w:trPr>
          <w:jc w:val="center"/>
        </w:trPr>
        <w:tc>
          <w:tcPr>
            <w:tcW w:w="535" w:type="dxa"/>
          </w:tcPr>
          <w:p w14:paraId="47CC153E" w14:textId="0C1AD900" w:rsidR="001A140C" w:rsidRPr="001A140C" w:rsidRDefault="001A140C" w:rsidP="002655C0">
            <w:pPr>
              <w:pStyle w:val="NoSpacing"/>
              <w:spacing w:after="240"/>
              <w:rPr>
                <w:b/>
                <w:bCs/>
              </w:rPr>
            </w:pPr>
            <w:r w:rsidRPr="001A140C">
              <w:rPr>
                <w:b/>
                <w:bCs/>
              </w:rPr>
              <w:t>13</w:t>
            </w:r>
          </w:p>
        </w:tc>
        <w:tc>
          <w:tcPr>
            <w:tcW w:w="9094" w:type="dxa"/>
          </w:tcPr>
          <w:p w14:paraId="3B6A7DC6" w14:textId="77777777" w:rsidR="001A140C" w:rsidRDefault="004F40E0" w:rsidP="001A140C">
            <w:pPr>
              <w:pStyle w:val="NoSpacing"/>
              <w:tabs>
                <w:tab w:val="left" w:pos="924"/>
              </w:tabs>
              <w:spacing w:after="240"/>
              <w:rPr>
                <w:b/>
                <w:bCs/>
              </w:rPr>
            </w:pPr>
            <w:r w:rsidRPr="004F40E0">
              <w:rPr>
                <w:b/>
                <w:bCs/>
              </w:rPr>
              <w:t>What is the expected scope of the Educator Guide / instructional companion document? Is there a target length, format, or level of detail envisioned (e.g., a brief tip sheet vs. a comprehensive curriculum-aligned lesson plan)?</w:t>
            </w:r>
            <w:r w:rsidR="006B187F">
              <w:rPr>
                <w:b/>
                <w:bCs/>
              </w:rPr>
              <w:t xml:space="preserve"> </w:t>
            </w:r>
          </w:p>
          <w:p w14:paraId="7B57CF40" w14:textId="3C9101C8" w:rsidR="00EC513E" w:rsidRPr="00EC513E" w:rsidRDefault="00EC513E" w:rsidP="001A140C">
            <w:pPr>
              <w:pStyle w:val="NoSpacing"/>
              <w:tabs>
                <w:tab w:val="left" w:pos="924"/>
              </w:tabs>
              <w:spacing w:after="240"/>
            </w:pPr>
            <w:r>
              <w:t xml:space="preserve">The expected scope of the educator guide should include comprehensive, standards-aligned lesson plans designed for K-5 learners that support implementation of the curriculum content. The guide should provide clear instructional direction, including learning objectives, step-by-step activities, differentiation strategies, and assessment components. Lessons must align with the </w:t>
            </w:r>
            <w:r w:rsidR="00C9315C">
              <w:t>New Jersey Student</w:t>
            </w:r>
            <w:r>
              <w:t xml:space="preserve"> </w:t>
            </w:r>
            <w:r w:rsidR="00C9315C">
              <w:t>L</w:t>
            </w:r>
            <w:r>
              <w:t xml:space="preserve">earning </w:t>
            </w:r>
            <w:r w:rsidR="00C9315C">
              <w:t>S</w:t>
            </w:r>
            <w:r>
              <w:t>tandards</w:t>
            </w:r>
            <w:r w:rsidR="00C9315C">
              <w:t xml:space="preserve"> (NJSLS)</w:t>
            </w:r>
            <w:r>
              <w:t xml:space="preserve"> to ensure consistency with statewide expectations. Vendors are encouraged to review the </w:t>
            </w:r>
            <w:r w:rsidR="00C9315C">
              <w:t xml:space="preserve">NJSLS - Social Studies and </w:t>
            </w:r>
            <w:r>
              <w:t xml:space="preserve">sample lesson plans available on website </w:t>
            </w:r>
            <w:hyperlink r:id="rId9" w:history="1">
              <w:r w:rsidRPr="00EE7628">
                <w:rPr>
                  <w:rStyle w:val="Hyperlink"/>
                </w:rPr>
                <w:t>www.njamistad.com</w:t>
              </w:r>
            </w:hyperlink>
            <w:r>
              <w:t xml:space="preserve">, which serve as a model for the level of detail, structure, and instructional scope anticipated for this project. </w:t>
            </w:r>
          </w:p>
        </w:tc>
      </w:tr>
      <w:tr w:rsidR="004F40E0" w14:paraId="3B817C2F" w14:textId="77777777" w:rsidTr="001A140C">
        <w:trPr>
          <w:jc w:val="center"/>
        </w:trPr>
        <w:tc>
          <w:tcPr>
            <w:tcW w:w="535" w:type="dxa"/>
          </w:tcPr>
          <w:p w14:paraId="0C8B13E8" w14:textId="2F456081" w:rsidR="004F40E0" w:rsidRPr="001A140C" w:rsidRDefault="004F40E0" w:rsidP="002655C0">
            <w:pPr>
              <w:pStyle w:val="NoSpacing"/>
              <w:spacing w:after="240"/>
              <w:rPr>
                <w:b/>
                <w:bCs/>
              </w:rPr>
            </w:pPr>
            <w:r>
              <w:rPr>
                <w:b/>
                <w:bCs/>
              </w:rPr>
              <w:t>14</w:t>
            </w:r>
          </w:p>
        </w:tc>
        <w:tc>
          <w:tcPr>
            <w:tcW w:w="9094" w:type="dxa"/>
          </w:tcPr>
          <w:p w14:paraId="4C554113" w14:textId="77777777" w:rsidR="004F40E0" w:rsidRDefault="004F40E0" w:rsidP="001A140C">
            <w:pPr>
              <w:pStyle w:val="NoSpacing"/>
              <w:tabs>
                <w:tab w:val="left" w:pos="924"/>
              </w:tabs>
              <w:spacing w:after="240"/>
              <w:rPr>
                <w:b/>
                <w:bCs/>
              </w:rPr>
            </w:pPr>
            <w:r w:rsidRPr="004F40E0">
              <w:rPr>
                <w:b/>
                <w:bCs/>
              </w:rPr>
              <w:t>Should discussion questions and glossary terms be embedded within the comic book pages, or delivered as a separate, standalone document?</w:t>
            </w:r>
            <w:r w:rsidR="006B187F">
              <w:rPr>
                <w:b/>
                <w:bCs/>
              </w:rPr>
              <w:t xml:space="preserve">  </w:t>
            </w:r>
          </w:p>
          <w:p w14:paraId="4E8766D9" w14:textId="0A8FA0D8" w:rsidR="00EE1B83" w:rsidRPr="00EE1B83" w:rsidRDefault="00EE1B83" w:rsidP="00EE1B83">
            <w:pPr>
              <w:pStyle w:val="NoSpacing"/>
              <w:tabs>
                <w:tab w:val="left" w:pos="924"/>
              </w:tabs>
              <w:spacing w:after="240"/>
            </w:pPr>
            <w:r w:rsidRPr="00EE1B83">
              <w:lastRenderedPageBreak/>
              <w:t>Discussion questions and glossary terms should be developed as companion resources rather than embedded directly within the comic book pages. These materials should be delivered as a separate document that can be made available online or printed for classroom use. This approach allows for greater flexibility in instruction, enables educators to adapt usage based on student needs, and preserves the visual and narrative flow of the comic book.</w:t>
            </w:r>
            <w:r w:rsidR="00C9315C">
              <w:t xml:space="preserve"> New Jersey Student Learning Standards can be used to determine concepts and vocabulary appropriate for these grade levels.</w:t>
            </w:r>
          </w:p>
        </w:tc>
      </w:tr>
      <w:tr w:rsidR="004F40E0" w14:paraId="434A40D5" w14:textId="77777777" w:rsidTr="001A140C">
        <w:trPr>
          <w:jc w:val="center"/>
        </w:trPr>
        <w:tc>
          <w:tcPr>
            <w:tcW w:w="535" w:type="dxa"/>
          </w:tcPr>
          <w:p w14:paraId="1177E310" w14:textId="0559D013" w:rsidR="004F40E0" w:rsidRDefault="004F40E0" w:rsidP="002655C0">
            <w:pPr>
              <w:pStyle w:val="NoSpacing"/>
              <w:spacing w:after="240"/>
              <w:rPr>
                <w:b/>
                <w:bCs/>
              </w:rPr>
            </w:pPr>
            <w:r>
              <w:rPr>
                <w:b/>
                <w:bCs/>
              </w:rPr>
              <w:lastRenderedPageBreak/>
              <w:t>15</w:t>
            </w:r>
          </w:p>
        </w:tc>
        <w:tc>
          <w:tcPr>
            <w:tcW w:w="9094" w:type="dxa"/>
          </w:tcPr>
          <w:p w14:paraId="2816D8C7" w14:textId="77777777" w:rsidR="004F40E0" w:rsidRDefault="004F40E0" w:rsidP="001A140C">
            <w:pPr>
              <w:pStyle w:val="NoSpacing"/>
              <w:tabs>
                <w:tab w:val="left" w:pos="924"/>
              </w:tabs>
              <w:spacing w:after="240"/>
              <w:rPr>
                <w:b/>
                <w:bCs/>
              </w:rPr>
            </w:pPr>
            <w:r w:rsidRPr="004F40E0">
              <w:rPr>
                <w:b/>
                <w:bCs/>
              </w:rPr>
              <w:t>Is there an estimated budget range or ceiling for this project?</w:t>
            </w:r>
            <w:r w:rsidR="006B187F">
              <w:rPr>
                <w:b/>
                <w:bCs/>
              </w:rPr>
              <w:t xml:space="preserve"> </w:t>
            </w:r>
          </w:p>
          <w:p w14:paraId="3F4E8B7E" w14:textId="699AF609" w:rsidR="00EE1B83" w:rsidRPr="00EE1B83" w:rsidRDefault="00EE1B83" w:rsidP="00EE1B83">
            <w:pPr>
              <w:pStyle w:val="NoSpacing"/>
              <w:tabs>
                <w:tab w:val="left" w:pos="924"/>
              </w:tabs>
              <w:spacing w:after="240"/>
            </w:pPr>
            <w:r w:rsidRPr="00EE1B83">
              <w:t>There is no estimated budget range or ceiling for this procurement. Vendors are expected to propose pricing that is reasonable, competitive, and reflective of the full scope of work outlined in the solicitation.</w:t>
            </w:r>
          </w:p>
        </w:tc>
      </w:tr>
      <w:tr w:rsidR="004F40E0" w14:paraId="6A2E490B" w14:textId="77777777" w:rsidTr="001A140C">
        <w:trPr>
          <w:jc w:val="center"/>
        </w:trPr>
        <w:tc>
          <w:tcPr>
            <w:tcW w:w="535" w:type="dxa"/>
          </w:tcPr>
          <w:p w14:paraId="4D052257" w14:textId="1BAC07B2" w:rsidR="004F40E0" w:rsidRDefault="004F40E0" w:rsidP="002655C0">
            <w:pPr>
              <w:pStyle w:val="NoSpacing"/>
              <w:spacing w:after="240"/>
              <w:rPr>
                <w:b/>
                <w:bCs/>
              </w:rPr>
            </w:pPr>
            <w:r>
              <w:rPr>
                <w:b/>
                <w:bCs/>
              </w:rPr>
              <w:t>16</w:t>
            </w:r>
          </w:p>
        </w:tc>
        <w:tc>
          <w:tcPr>
            <w:tcW w:w="9094" w:type="dxa"/>
          </w:tcPr>
          <w:p w14:paraId="2B599D6D" w14:textId="77777777" w:rsidR="004F40E0" w:rsidRDefault="004F40E0" w:rsidP="001A140C">
            <w:pPr>
              <w:pStyle w:val="NoSpacing"/>
              <w:tabs>
                <w:tab w:val="left" w:pos="924"/>
              </w:tabs>
              <w:spacing w:after="240"/>
              <w:rPr>
                <w:b/>
                <w:bCs/>
              </w:rPr>
            </w:pPr>
            <w:r w:rsidRPr="004F40E0">
              <w:rPr>
                <w:b/>
                <w:bCs/>
              </w:rPr>
              <w:t>For the 500 printed copies, does NJDOE have a preferred paper weight, coating (matte vs. gloss), or binding method (saddle-stitch, perfect bound), or is the vendor expected to recommend all specifications?</w:t>
            </w:r>
            <w:r w:rsidR="006B187F">
              <w:rPr>
                <w:b/>
                <w:bCs/>
              </w:rPr>
              <w:t xml:space="preserve"> </w:t>
            </w:r>
          </w:p>
          <w:p w14:paraId="59032EFB" w14:textId="510B98AD" w:rsidR="00EE1B83" w:rsidRPr="00EE1B83" w:rsidRDefault="00EE1B83" w:rsidP="001A140C">
            <w:pPr>
              <w:pStyle w:val="NoSpacing"/>
              <w:tabs>
                <w:tab w:val="left" w:pos="924"/>
              </w:tabs>
              <w:spacing w:after="240"/>
            </w:pPr>
            <w:r w:rsidRPr="00EE1B83">
              <w:t xml:space="preserve">The </w:t>
            </w:r>
            <w:r>
              <w:t>Commission</w:t>
            </w:r>
            <w:r w:rsidRPr="00EE1B83">
              <w:t xml:space="preserve"> does not have a specified preference for paper weight or coating. Vendors are encouraged to recommend appropriate specifications that ensure the durability and longevity of the printed books, particularly for repeated classroom use.</w:t>
            </w:r>
          </w:p>
        </w:tc>
      </w:tr>
      <w:tr w:rsidR="004F40E0" w14:paraId="305D8A5B" w14:textId="77777777" w:rsidTr="001A140C">
        <w:trPr>
          <w:jc w:val="center"/>
        </w:trPr>
        <w:tc>
          <w:tcPr>
            <w:tcW w:w="535" w:type="dxa"/>
          </w:tcPr>
          <w:p w14:paraId="7C07AC84" w14:textId="5EAF6490" w:rsidR="004F40E0" w:rsidRDefault="004F40E0" w:rsidP="002655C0">
            <w:pPr>
              <w:pStyle w:val="NoSpacing"/>
              <w:spacing w:after="240"/>
              <w:rPr>
                <w:b/>
                <w:bCs/>
              </w:rPr>
            </w:pPr>
            <w:r>
              <w:rPr>
                <w:b/>
                <w:bCs/>
              </w:rPr>
              <w:t>17</w:t>
            </w:r>
          </w:p>
        </w:tc>
        <w:tc>
          <w:tcPr>
            <w:tcW w:w="9094" w:type="dxa"/>
          </w:tcPr>
          <w:p w14:paraId="0C10F753" w14:textId="77777777" w:rsidR="004F40E0" w:rsidRDefault="004F40E0" w:rsidP="001A140C">
            <w:pPr>
              <w:pStyle w:val="NoSpacing"/>
              <w:tabs>
                <w:tab w:val="left" w:pos="924"/>
              </w:tabs>
              <w:spacing w:after="240"/>
              <w:rPr>
                <w:b/>
                <w:bCs/>
              </w:rPr>
            </w:pPr>
            <w:r w:rsidRPr="004F40E0">
              <w:rPr>
                <w:b/>
                <w:bCs/>
              </w:rPr>
              <w:t>Will the Commission provide or fund cultural consultants and subject matter expert reviewers, or should the vendor include those costs in the proposal? The Scope of Work states the vendor "may be required" to engage them, which creates ambiguity for pricing purposes.</w:t>
            </w:r>
            <w:r w:rsidR="006B187F">
              <w:rPr>
                <w:b/>
                <w:bCs/>
              </w:rPr>
              <w:t xml:space="preserve"> </w:t>
            </w:r>
          </w:p>
          <w:p w14:paraId="4D722E0D" w14:textId="5277CB0F" w:rsidR="00EE1B83" w:rsidRPr="00EE1B83" w:rsidRDefault="00EE1B83" w:rsidP="001A140C">
            <w:pPr>
              <w:pStyle w:val="NoSpacing"/>
              <w:tabs>
                <w:tab w:val="left" w:pos="924"/>
              </w:tabs>
              <w:spacing w:after="240"/>
            </w:pPr>
            <w:r w:rsidRPr="00EE1B83">
              <w:t>The Commission will not separately provide or fund cultural consultants or subject matter experts. Vendors are expected to include any associated costs for these resources within their proposal to ensure successful completion of the project.</w:t>
            </w:r>
          </w:p>
        </w:tc>
      </w:tr>
      <w:tr w:rsidR="004F40E0" w14:paraId="69CB337A" w14:textId="77777777" w:rsidTr="001A140C">
        <w:trPr>
          <w:jc w:val="center"/>
        </w:trPr>
        <w:tc>
          <w:tcPr>
            <w:tcW w:w="535" w:type="dxa"/>
          </w:tcPr>
          <w:p w14:paraId="08F7EDA4" w14:textId="3A60705F" w:rsidR="004F40E0" w:rsidRDefault="004F40E0" w:rsidP="002655C0">
            <w:pPr>
              <w:pStyle w:val="NoSpacing"/>
              <w:spacing w:after="240"/>
              <w:rPr>
                <w:b/>
                <w:bCs/>
              </w:rPr>
            </w:pPr>
            <w:r>
              <w:rPr>
                <w:b/>
                <w:bCs/>
              </w:rPr>
              <w:t>18</w:t>
            </w:r>
          </w:p>
        </w:tc>
        <w:tc>
          <w:tcPr>
            <w:tcW w:w="9094" w:type="dxa"/>
          </w:tcPr>
          <w:p w14:paraId="7A822F7A" w14:textId="77777777" w:rsidR="004F40E0" w:rsidRDefault="004F40E0" w:rsidP="001A140C">
            <w:pPr>
              <w:pStyle w:val="NoSpacing"/>
              <w:tabs>
                <w:tab w:val="left" w:pos="924"/>
              </w:tabs>
              <w:spacing w:after="240"/>
              <w:rPr>
                <w:b/>
                <w:bCs/>
              </w:rPr>
            </w:pPr>
            <w:r w:rsidRPr="004F40E0">
              <w:rPr>
                <w:b/>
                <w:bCs/>
              </w:rPr>
              <w:t>What platform or environment will host the web-optimized digital version? Does the vendor need to format files for a specific CMS, LMS, or website, or simply provide standalone web-ready files?</w:t>
            </w:r>
            <w:r w:rsidR="006B187F">
              <w:rPr>
                <w:b/>
                <w:bCs/>
              </w:rPr>
              <w:t xml:space="preserve">  </w:t>
            </w:r>
          </w:p>
          <w:p w14:paraId="2A646D8B" w14:textId="2419D03E" w:rsidR="00EE1B83" w:rsidRPr="00EE1B83" w:rsidRDefault="00EE1B83" w:rsidP="001A140C">
            <w:pPr>
              <w:pStyle w:val="NoSpacing"/>
              <w:tabs>
                <w:tab w:val="left" w:pos="924"/>
              </w:tabs>
              <w:spacing w:after="240"/>
            </w:pPr>
            <w:r w:rsidRPr="00EE1B83">
              <w:t>The web-optimized digital files will be hosted on the Commission’s website. Vendors should ensure that all deliverables are compatible with standard web publishing requirements and optimized for online access and usability.</w:t>
            </w:r>
          </w:p>
        </w:tc>
      </w:tr>
      <w:tr w:rsidR="004F40E0" w14:paraId="2E9C5813" w14:textId="77777777" w:rsidTr="001A140C">
        <w:trPr>
          <w:jc w:val="center"/>
        </w:trPr>
        <w:tc>
          <w:tcPr>
            <w:tcW w:w="535" w:type="dxa"/>
          </w:tcPr>
          <w:p w14:paraId="37455231" w14:textId="708C5D81" w:rsidR="004F40E0" w:rsidRDefault="004F40E0" w:rsidP="002655C0">
            <w:pPr>
              <w:pStyle w:val="NoSpacing"/>
              <w:spacing w:after="240"/>
              <w:rPr>
                <w:b/>
                <w:bCs/>
              </w:rPr>
            </w:pPr>
            <w:r>
              <w:rPr>
                <w:b/>
                <w:bCs/>
              </w:rPr>
              <w:t>19</w:t>
            </w:r>
          </w:p>
        </w:tc>
        <w:tc>
          <w:tcPr>
            <w:tcW w:w="9094" w:type="dxa"/>
          </w:tcPr>
          <w:p w14:paraId="03CF8757" w14:textId="77777777" w:rsidR="004F40E0" w:rsidRDefault="004F40E0" w:rsidP="001A140C">
            <w:pPr>
              <w:pStyle w:val="NoSpacing"/>
              <w:tabs>
                <w:tab w:val="left" w:pos="924"/>
              </w:tabs>
              <w:spacing w:after="240"/>
              <w:rPr>
                <w:b/>
                <w:bCs/>
              </w:rPr>
            </w:pPr>
            <w:r w:rsidRPr="004F40E0">
              <w:rPr>
                <w:b/>
                <w:bCs/>
              </w:rPr>
              <w:t xml:space="preserve">Does the accessible digital version need to be a fully tagged accessible PDF, an </w:t>
            </w:r>
            <w:proofErr w:type="spellStart"/>
            <w:r w:rsidRPr="004F40E0">
              <w:rPr>
                <w:b/>
                <w:bCs/>
              </w:rPr>
              <w:t>ePub</w:t>
            </w:r>
            <w:proofErr w:type="spellEnd"/>
            <w:r w:rsidRPr="004F40E0">
              <w:rPr>
                <w:b/>
                <w:bCs/>
              </w:rPr>
              <w:t>, an HTML-based reader, or some combination of these formats?</w:t>
            </w:r>
            <w:r w:rsidR="006B187F">
              <w:rPr>
                <w:b/>
                <w:bCs/>
              </w:rPr>
              <w:t xml:space="preserve"> </w:t>
            </w:r>
          </w:p>
          <w:p w14:paraId="796EE6E2" w14:textId="654E84B9" w:rsidR="00EE1B83" w:rsidRPr="00EE1B83" w:rsidRDefault="00EE1B83" w:rsidP="001A140C">
            <w:pPr>
              <w:pStyle w:val="NoSpacing"/>
              <w:tabs>
                <w:tab w:val="left" w:pos="924"/>
              </w:tabs>
              <w:spacing w:after="240"/>
            </w:pPr>
            <w:r w:rsidRPr="00EE1B83">
              <w:lastRenderedPageBreak/>
              <w:t>Yes. The accessible digital version should be delivered in a combination of formats, including a fully tagged PDF, EPUB, and/or an HTML-based reader. Vendors should ensure all formats meet accessibility standards and support usability across a range of devices and assistive technologies.</w:t>
            </w:r>
          </w:p>
        </w:tc>
      </w:tr>
      <w:tr w:rsidR="007A5E3F" w14:paraId="68A6700F" w14:textId="77777777" w:rsidTr="001A140C">
        <w:trPr>
          <w:jc w:val="center"/>
        </w:trPr>
        <w:tc>
          <w:tcPr>
            <w:tcW w:w="535" w:type="dxa"/>
          </w:tcPr>
          <w:p w14:paraId="283D126E" w14:textId="4E5C2BDB" w:rsidR="007A5E3F" w:rsidRDefault="007A5E3F" w:rsidP="002655C0">
            <w:pPr>
              <w:pStyle w:val="NoSpacing"/>
              <w:spacing w:after="240"/>
              <w:rPr>
                <w:b/>
                <w:bCs/>
              </w:rPr>
            </w:pPr>
            <w:r>
              <w:rPr>
                <w:b/>
                <w:bCs/>
              </w:rPr>
              <w:lastRenderedPageBreak/>
              <w:t>20</w:t>
            </w:r>
          </w:p>
        </w:tc>
        <w:tc>
          <w:tcPr>
            <w:tcW w:w="9094" w:type="dxa"/>
          </w:tcPr>
          <w:p w14:paraId="2222D9E9" w14:textId="77777777" w:rsidR="007A5E3F" w:rsidRDefault="007A5E3F" w:rsidP="001A140C">
            <w:pPr>
              <w:pStyle w:val="NoSpacing"/>
              <w:tabs>
                <w:tab w:val="left" w:pos="924"/>
              </w:tabs>
              <w:spacing w:after="240"/>
              <w:rPr>
                <w:b/>
                <w:bCs/>
              </w:rPr>
            </w:pPr>
            <w:r w:rsidRPr="007A5E3F">
              <w:rPr>
                <w:b/>
                <w:bCs/>
              </w:rPr>
              <w:t>Will the Amistad Commission provide vendors with access to any existing curriculum materials, historical research, or prior instructional resources to inform the comic book's content development, or is all research expected to be conducted independently by the vendor?</w:t>
            </w:r>
            <w:r w:rsidR="00192BB1">
              <w:rPr>
                <w:b/>
                <w:bCs/>
              </w:rPr>
              <w:t xml:space="preserve"> </w:t>
            </w:r>
          </w:p>
          <w:p w14:paraId="49F8CB92" w14:textId="4416322F" w:rsidR="00EE1B83" w:rsidRPr="00EE1B83" w:rsidRDefault="00EE1B83" w:rsidP="001A140C">
            <w:pPr>
              <w:pStyle w:val="NoSpacing"/>
              <w:tabs>
                <w:tab w:val="left" w:pos="924"/>
              </w:tabs>
              <w:spacing w:after="240"/>
            </w:pPr>
            <w:r w:rsidRPr="00EE1B83">
              <w:t>The Commission will not provide comprehensive existing curriculum materials. Vendors are expected to conduct the necessary research to support content development. The Commission can, however, provide basic information and guidance related to the Amistad legislation, as needed.</w:t>
            </w:r>
            <w:r w:rsidR="00C9315C">
              <w:t xml:space="preserve"> New Jersey Student Learning Standards should be used to determine instructional learning targets appropriate for these grade levels.</w:t>
            </w:r>
          </w:p>
        </w:tc>
      </w:tr>
      <w:tr w:rsidR="007A5E3F" w14:paraId="048FBA27" w14:textId="77777777" w:rsidTr="001A140C">
        <w:trPr>
          <w:jc w:val="center"/>
        </w:trPr>
        <w:tc>
          <w:tcPr>
            <w:tcW w:w="535" w:type="dxa"/>
          </w:tcPr>
          <w:p w14:paraId="11EC4136" w14:textId="2B2D37E8" w:rsidR="007A5E3F" w:rsidRDefault="007A5E3F" w:rsidP="002655C0">
            <w:pPr>
              <w:pStyle w:val="NoSpacing"/>
              <w:spacing w:after="240"/>
              <w:rPr>
                <w:b/>
                <w:bCs/>
              </w:rPr>
            </w:pPr>
            <w:r>
              <w:rPr>
                <w:b/>
                <w:bCs/>
              </w:rPr>
              <w:t>21</w:t>
            </w:r>
          </w:p>
        </w:tc>
        <w:tc>
          <w:tcPr>
            <w:tcW w:w="9094" w:type="dxa"/>
          </w:tcPr>
          <w:p w14:paraId="796CEEE4" w14:textId="77777777" w:rsidR="007A5E3F" w:rsidRDefault="007A5E3F" w:rsidP="001A140C">
            <w:pPr>
              <w:pStyle w:val="NoSpacing"/>
              <w:tabs>
                <w:tab w:val="left" w:pos="924"/>
              </w:tabs>
              <w:spacing w:after="240"/>
              <w:rPr>
                <w:b/>
                <w:bCs/>
              </w:rPr>
            </w:pPr>
            <w:r w:rsidRPr="007A5E3F">
              <w:rPr>
                <w:b/>
                <w:bCs/>
              </w:rPr>
              <w:t xml:space="preserve">Will the Department identify specific subject matter experts, historians, or Amistad Commission members who will serve as primary contacts for content accuracy review during development?  </w:t>
            </w:r>
          </w:p>
          <w:p w14:paraId="2F8E6399" w14:textId="5297247E" w:rsidR="00EE1B83" w:rsidRPr="00EE1B83" w:rsidRDefault="00EE1B83" w:rsidP="001A140C">
            <w:pPr>
              <w:pStyle w:val="NoSpacing"/>
              <w:tabs>
                <w:tab w:val="left" w:pos="924"/>
              </w:tabs>
              <w:spacing w:after="240"/>
            </w:pPr>
            <w:r w:rsidRPr="00EE1B83">
              <w:t xml:space="preserve">The </w:t>
            </w:r>
            <w:r>
              <w:t>Commission</w:t>
            </w:r>
            <w:r w:rsidRPr="00EE1B83">
              <w:t xml:space="preserve"> will not identify or provide subject matter experts or historians. Vendors are expected to conduct all necessary research independently and secure any required expertise to support the development of the deliverables.</w:t>
            </w:r>
          </w:p>
        </w:tc>
      </w:tr>
      <w:tr w:rsidR="007A5E3F" w14:paraId="7513A4E5" w14:textId="77777777" w:rsidTr="001A140C">
        <w:trPr>
          <w:jc w:val="center"/>
        </w:trPr>
        <w:tc>
          <w:tcPr>
            <w:tcW w:w="535" w:type="dxa"/>
          </w:tcPr>
          <w:p w14:paraId="6C21B8E0" w14:textId="498A48BF" w:rsidR="007A5E3F" w:rsidRDefault="007A5E3F" w:rsidP="002655C0">
            <w:pPr>
              <w:pStyle w:val="NoSpacing"/>
              <w:spacing w:after="240"/>
              <w:rPr>
                <w:b/>
                <w:bCs/>
              </w:rPr>
            </w:pPr>
            <w:r>
              <w:rPr>
                <w:b/>
                <w:bCs/>
              </w:rPr>
              <w:t>22</w:t>
            </w:r>
          </w:p>
        </w:tc>
        <w:tc>
          <w:tcPr>
            <w:tcW w:w="9094" w:type="dxa"/>
          </w:tcPr>
          <w:p w14:paraId="46310B88" w14:textId="77777777" w:rsidR="007A5E3F" w:rsidRDefault="007A5E3F" w:rsidP="001A140C">
            <w:pPr>
              <w:pStyle w:val="NoSpacing"/>
              <w:tabs>
                <w:tab w:val="left" w:pos="924"/>
              </w:tabs>
              <w:spacing w:after="240"/>
              <w:rPr>
                <w:b/>
                <w:bCs/>
              </w:rPr>
            </w:pPr>
            <w:r w:rsidRPr="007A5E3F">
              <w:rPr>
                <w:b/>
                <w:bCs/>
              </w:rPr>
              <w:t xml:space="preserve">Will the Department consider a vendor's pre-existing proprietary illustration style if it supports the goal of the RFP, or does the Department require a wholly new artistic style to be developed exclusively for this </w:t>
            </w:r>
            <w:proofErr w:type="gramStart"/>
            <w:r w:rsidRPr="007A5E3F">
              <w:rPr>
                <w:b/>
                <w:bCs/>
              </w:rPr>
              <w:t>deliverable</w:t>
            </w:r>
            <w:proofErr w:type="gramEnd"/>
            <w:r w:rsidRPr="007A5E3F">
              <w:rPr>
                <w:b/>
                <w:bCs/>
              </w:rPr>
              <w:t>?</w:t>
            </w:r>
            <w:r w:rsidR="00192BB1">
              <w:rPr>
                <w:b/>
                <w:bCs/>
              </w:rPr>
              <w:t xml:space="preserve"> </w:t>
            </w:r>
          </w:p>
          <w:p w14:paraId="64BE56C5" w14:textId="0425E188" w:rsidR="00EE1B83" w:rsidRPr="00EE1B83" w:rsidRDefault="00EE1B83" w:rsidP="001A140C">
            <w:pPr>
              <w:pStyle w:val="NoSpacing"/>
              <w:tabs>
                <w:tab w:val="left" w:pos="924"/>
              </w:tabs>
              <w:spacing w:after="240"/>
            </w:pPr>
            <w:r w:rsidRPr="00EE1B83">
              <w:t xml:space="preserve">The </w:t>
            </w:r>
            <w:r>
              <w:t>Commission</w:t>
            </w:r>
            <w:r w:rsidRPr="00EE1B83">
              <w:t xml:space="preserve"> expects a new artistic style to be developed specifically for this solicitation. While vendors may draw upon their experience and general capabilities, the illustrations produced under this contract should be original and created exclusively for this project.</w:t>
            </w:r>
          </w:p>
        </w:tc>
      </w:tr>
      <w:tr w:rsidR="007A5E3F" w14:paraId="01616C5E" w14:textId="77777777" w:rsidTr="001A140C">
        <w:trPr>
          <w:jc w:val="center"/>
        </w:trPr>
        <w:tc>
          <w:tcPr>
            <w:tcW w:w="535" w:type="dxa"/>
          </w:tcPr>
          <w:p w14:paraId="544DBEAA" w14:textId="06709FF6" w:rsidR="007A5E3F" w:rsidRDefault="007A5E3F" w:rsidP="002655C0">
            <w:pPr>
              <w:pStyle w:val="NoSpacing"/>
              <w:spacing w:after="240"/>
              <w:rPr>
                <w:b/>
                <w:bCs/>
              </w:rPr>
            </w:pPr>
            <w:r>
              <w:rPr>
                <w:b/>
                <w:bCs/>
              </w:rPr>
              <w:t>23</w:t>
            </w:r>
          </w:p>
        </w:tc>
        <w:tc>
          <w:tcPr>
            <w:tcW w:w="9094" w:type="dxa"/>
          </w:tcPr>
          <w:p w14:paraId="450076AF" w14:textId="77777777" w:rsidR="007A5E3F" w:rsidRDefault="007A5E3F" w:rsidP="001A140C">
            <w:pPr>
              <w:pStyle w:val="NoSpacing"/>
              <w:tabs>
                <w:tab w:val="left" w:pos="924"/>
              </w:tabs>
              <w:spacing w:after="240"/>
              <w:rPr>
                <w:b/>
                <w:bCs/>
              </w:rPr>
            </w:pPr>
            <w:r w:rsidRPr="007A5E3F">
              <w:rPr>
                <w:b/>
                <w:bCs/>
              </w:rPr>
              <w:t xml:space="preserve">The Scope states the vendor 'may be required' to engage cultural consultants. Is this a mandatory requirement? If so, will the Department provide a list of approved consultants, or are vendor-selected consultants acceptable?  </w:t>
            </w:r>
            <w:r w:rsidR="00A653F0">
              <w:rPr>
                <w:b/>
                <w:bCs/>
              </w:rPr>
              <w:t xml:space="preserve"> </w:t>
            </w:r>
          </w:p>
          <w:p w14:paraId="45985E2B" w14:textId="58572D2C" w:rsidR="00EE1B83" w:rsidRPr="00EE1B83" w:rsidRDefault="00EE1B83" w:rsidP="001A140C">
            <w:pPr>
              <w:pStyle w:val="NoSpacing"/>
              <w:tabs>
                <w:tab w:val="left" w:pos="924"/>
              </w:tabs>
              <w:spacing w:after="240"/>
            </w:pPr>
            <w:r w:rsidRPr="00EE1B83">
              <w:t>The scope indicates that engagement with cultural consultants may be required; however, this is at the vendor’s discretion. Vendors should determine whether such expertise is necessary to support the quality and accuracy of the deliverables and include any associated considerations within their proposal.</w:t>
            </w:r>
          </w:p>
        </w:tc>
      </w:tr>
      <w:tr w:rsidR="007A5E3F" w14:paraId="6C101196" w14:textId="77777777" w:rsidTr="001A140C">
        <w:trPr>
          <w:jc w:val="center"/>
        </w:trPr>
        <w:tc>
          <w:tcPr>
            <w:tcW w:w="535" w:type="dxa"/>
          </w:tcPr>
          <w:p w14:paraId="54100101" w14:textId="1F318AC3" w:rsidR="007A5E3F" w:rsidRDefault="007A5E3F" w:rsidP="002655C0">
            <w:pPr>
              <w:pStyle w:val="NoSpacing"/>
              <w:spacing w:after="240"/>
              <w:rPr>
                <w:b/>
                <w:bCs/>
              </w:rPr>
            </w:pPr>
            <w:r>
              <w:rPr>
                <w:b/>
                <w:bCs/>
              </w:rPr>
              <w:lastRenderedPageBreak/>
              <w:t>24</w:t>
            </w:r>
          </w:p>
        </w:tc>
        <w:tc>
          <w:tcPr>
            <w:tcW w:w="9094" w:type="dxa"/>
          </w:tcPr>
          <w:p w14:paraId="13734ED9" w14:textId="77777777" w:rsidR="007A5E3F" w:rsidRDefault="007A5E3F" w:rsidP="001A140C">
            <w:pPr>
              <w:pStyle w:val="NoSpacing"/>
              <w:tabs>
                <w:tab w:val="left" w:pos="924"/>
              </w:tabs>
              <w:spacing w:after="240"/>
              <w:rPr>
                <w:b/>
                <w:bCs/>
              </w:rPr>
            </w:pPr>
            <w:proofErr w:type="gramStart"/>
            <w:r w:rsidRPr="007A5E3F">
              <w:rPr>
                <w:b/>
                <w:bCs/>
              </w:rPr>
              <w:t>Does</w:t>
            </w:r>
            <w:proofErr w:type="gramEnd"/>
            <w:r w:rsidRPr="007A5E3F">
              <w:rPr>
                <w:b/>
                <w:bCs/>
              </w:rPr>
              <w:t xml:space="preserve"> the minimum two rounds of revisions apply to each deliverable stage individually — script, concept art, draft layout, final proof — or does it refer to two rounds total across the entire project?  </w:t>
            </w:r>
          </w:p>
          <w:p w14:paraId="0503563D" w14:textId="7C6A77B2" w:rsidR="00EE1B83" w:rsidRPr="00EE1B83" w:rsidRDefault="00EE1B83" w:rsidP="00EE1B83">
            <w:pPr>
              <w:pStyle w:val="NoSpacing"/>
              <w:tabs>
                <w:tab w:val="left" w:pos="924"/>
              </w:tabs>
              <w:spacing w:after="240"/>
            </w:pPr>
            <w:r w:rsidRPr="00EE1B83">
              <w:t>Yes. The minimum of two rounds of revisions will apply to each deliverable stage. It is anticipated that revisions will generally not exceed two rounds per stage.</w:t>
            </w:r>
          </w:p>
        </w:tc>
      </w:tr>
      <w:tr w:rsidR="007A5E3F" w14:paraId="55302989" w14:textId="77777777" w:rsidTr="001A140C">
        <w:trPr>
          <w:jc w:val="center"/>
        </w:trPr>
        <w:tc>
          <w:tcPr>
            <w:tcW w:w="535" w:type="dxa"/>
          </w:tcPr>
          <w:p w14:paraId="32D44912" w14:textId="7246E5C6" w:rsidR="007A5E3F" w:rsidRPr="00AA48DA" w:rsidRDefault="007A5E3F" w:rsidP="002655C0">
            <w:pPr>
              <w:pStyle w:val="NoSpacing"/>
              <w:spacing w:after="240"/>
              <w:rPr>
                <w:b/>
                <w:bCs/>
              </w:rPr>
            </w:pPr>
            <w:r w:rsidRPr="00AA48DA">
              <w:rPr>
                <w:b/>
                <w:bCs/>
              </w:rPr>
              <w:t>25</w:t>
            </w:r>
          </w:p>
        </w:tc>
        <w:tc>
          <w:tcPr>
            <w:tcW w:w="9094" w:type="dxa"/>
          </w:tcPr>
          <w:p w14:paraId="440412B6" w14:textId="77777777" w:rsidR="007A5E3F" w:rsidRDefault="007A5E3F" w:rsidP="0044688C">
            <w:pPr>
              <w:rPr>
                <w:b/>
                <w:bCs/>
              </w:rPr>
            </w:pPr>
            <w:r w:rsidRPr="00AA48DA">
              <w:rPr>
                <w:b/>
                <w:bCs/>
              </w:rPr>
              <w:t xml:space="preserve">The Scope requires an educator guide and glossary as supplemental materials. Are these expected to be print-ready documents formatted to match the comic book, or is a simpler digital document format acceptable? Also, can these materials be integrated directly into the final comic book?  </w:t>
            </w:r>
          </w:p>
          <w:p w14:paraId="42BB7A9C" w14:textId="77777777" w:rsidR="005C69B2" w:rsidRDefault="005C69B2" w:rsidP="0044688C">
            <w:pPr>
              <w:rPr>
                <w:b/>
                <w:bCs/>
              </w:rPr>
            </w:pPr>
          </w:p>
          <w:p w14:paraId="41B55897" w14:textId="4B833E0F" w:rsidR="005C69B2" w:rsidRDefault="005C69B2" w:rsidP="005C69B2">
            <w:r w:rsidRPr="005C69B2">
              <w:t>The educator guide and glossary should be developed as comprehensive, professional-quality supplemental materials; however, they are not required to be formatted identically to the comic book. A clear, well-organized, and accessible digital format (e.g., fully tagged PDF, EPUB, and/or web-based version) is acceptable and preferred, provided the materials align in tone and overall design with the project. These resources should be delivered as standalone companion documents to support instructional use, though vendors may incorporate limited elements, such as abbreviated glossary terms or brief educator notes, within the comic book where appropriate.</w:t>
            </w:r>
            <w:r w:rsidR="00C9315C">
              <w:t xml:space="preserve"> The</w:t>
            </w:r>
            <w:r w:rsidR="000D0196">
              <w:t xml:space="preserve"> resources </w:t>
            </w:r>
            <w:r w:rsidR="00C9315C">
              <w:t>should clearly reference the aligned New Jersey Student Learning Standards.</w:t>
            </w:r>
          </w:p>
          <w:p w14:paraId="1503FDE6" w14:textId="6724C7A3" w:rsidR="00C9315C" w:rsidRPr="00AA48DA" w:rsidRDefault="00C9315C" w:rsidP="005C69B2">
            <w:pPr>
              <w:rPr>
                <w:b/>
                <w:bCs/>
              </w:rPr>
            </w:pPr>
          </w:p>
        </w:tc>
      </w:tr>
      <w:tr w:rsidR="007A5E3F" w14:paraId="43E054BF" w14:textId="77777777" w:rsidTr="001A140C">
        <w:trPr>
          <w:jc w:val="center"/>
        </w:trPr>
        <w:tc>
          <w:tcPr>
            <w:tcW w:w="535" w:type="dxa"/>
          </w:tcPr>
          <w:p w14:paraId="36EA921F" w14:textId="357C14AB" w:rsidR="007A5E3F" w:rsidRPr="00AA48DA" w:rsidRDefault="007A5E3F" w:rsidP="002655C0">
            <w:pPr>
              <w:pStyle w:val="NoSpacing"/>
              <w:spacing w:after="240"/>
              <w:rPr>
                <w:b/>
                <w:bCs/>
              </w:rPr>
            </w:pPr>
            <w:r w:rsidRPr="00AA48DA">
              <w:rPr>
                <w:b/>
                <w:bCs/>
              </w:rPr>
              <w:t>26</w:t>
            </w:r>
          </w:p>
        </w:tc>
        <w:tc>
          <w:tcPr>
            <w:tcW w:w="9094" w:type="dxa"/>
          </w:tcPr>
          <w:p w14:paraId="4B7406D3" w14:textId="77777777" w:rsidR="007A5E3F" w:rsidRDefault="007A5E3F" w:rsidP="007A5E3F">
            <w:pPr>
              <w:rPr>
                <w:b/>
                <w:bCs/>
              </w:rPr>
            </w:pPr>
            <w:r w:rsidRPr="00AA48DA">
              <w:rPr>
                <w:b/>
                <w:bCs/>
              </w:rPr>
              <w:t>Based on professional experience delivering comparable illustrated educational publishing projects of similar scope — including multi-chapter comic books with digital and print formats, accessibility compliance, and supplemental curriculum materials — a production timeline of ten to eleven weeks does not provide sufficient time to deliver a high-quality, historically accurate, ADA-compliant final product consistent with the standards described in the Scope of Work. Will the Department consider a base contract term of eight months with a corresponding adjustment to the delivery deadline, or alternatively permit vendors to propose a professionally justified delivery timeline in their Section 4.8 contract schedule without being deemed non-responsive?</w:t>
            </w:r>
            <w:r w:rsidR="00A653F0" w:rsidRPr="00AA48DA">
              <w:rPr>
                <w:b/>
                <w:bCs/>
              </w:rPr>
              <w:t xml:space="preserve"> </w:t>
            </w:r>
          </w:p>
          <w:p w14:paraId="7669ECC0" w14:textId="77777777" w:rsidR="005C69B2" w:rsidRDefault="005C69B2" w:rsidP="007A5E3F">
            <w:pPr>
              <w:rPr>
                <w:b/>
                <w:bCs/>
              </w:rPr>
            </w:pPr>
          </w:p>
          <w:p w14:paraId="5FF48D5F" w14:textId="036F6379" w:rsidR="005C69B2" w:rsidRPr="00AA48DA" w:rsidRDefault="005C69B2" w:rsidP="005C69B2">
            <w:pPr>
              <w:rPr>
                <w:b/>
                <w:bCs/>
              </w:rPr>
            </w:pPr>
            <w:r w:rsidRPr="005C69B2">
              <w:t xml:space="preserve">The </w:t>
            </w:r>
            <w:r>
              <w:t>Commission</w:t>
            </w:r>
            <w:r w:rsidRPr="005C69B2">
              <w:t xml:space="preserve"> has established an accelerated project timeline to support timely delivery of the final product and does not anticipate extending the base contract term to eight months. While the timeline is aggressive, it is expected that vendors will structure their approach and allocate appropriate resources to meet the required deadlines. Vendors may propose a detailed project schedule in Section 4.8; however, proposed timelines should align as closely as possible with the established timeframe, as the </w:t>
            </w:r>
            <w:r w:rsidR="00A16205">
              <w:t>Commission</w:t>
            </w:r>
            <w:r w:rsidRPr="005C69B2">
              <w:t xml:space="preserve"> intends to strongly adhere to the stated schedule.</w:t>
            </w:r>
          </w:p>
        </w:tc>
      </w:tr>
      <w:tr w:rsidR="007A5E3F" w14:paraId="511D8BF1" w14:textId="77777777" w:rsidTr="001A140C">
        <w:trPr>
          <w:jc w:val="center"/>
        </w:trPr>
        <w:tc>
          <w:tcPr>
            <w:tcW w:w="535" w:type="dxa"/>
          </w:tcPr>
          <w:p w14:paraId="75D13D58" w14:textId="747AB658" w:rsidR="007A5E3F" w:rsidRPr="00AA48DA" w:rsidRDefault="007A5E3F" w:rsidP="002655C0">
            <w:pPr>
              <w:pStyle w:val="NoSpacing"/>
              <w:spacing w:after="240"/>
              <w:rPr>
                <w:b/>
                <w:bCs/>
              </w:rPr>
            </w:pPr>
            <w:r w:rsidRPr="00AA48DA">
              <w:rPr>
                <w:b/>
                <w:bCs/>
              </w:rPr>
              <w:t>27</w:t>
            </w:r>
          </w:p>
        </w:tc>
        <w:tc>
          <w:tcPr>
            <w:tcW w:w="9094" w:type="dxa"/>
          </w:tcPr>
          <w:p w14:paraId="635939B1" w14:textId="77777777" w:rsidR="007A5E3F" w:rsidRDefault="007A5E3F" w:rsidP="007A5E3F">
            <w:pPr>
              <w:rPr>
                <w:b/>
                <w:bCs/>
              </w:rPr>
            </w:pPr>
            <w:r w:rsidRPr="00AA48DA">
              <w:rPr>
                <w:b/>
                <w:bCs/>
              </w:rPr>
              <w:t xml:space="preserve">Section 1.1 establishes a final deliverable deadline of July 1, 2026, while Section 7.2 establishes a contract term of six months. With an anticipated award and </w:t>
            </w:r>
            <w:r w:rsidRPr="00AA48DA">
              <w:rPr>
                <w:b/>
                <w:bCs/>
              </w:rPr>
              <w:lastRenderedPageBreak/>
              <w:t xml:space="preserve">contract start in early April 2026, the July 1 deadline falls approximately ten to eleven weeks into the contract — substantially less than the full six-month term. Can the Department clarify whether July 1, </w:t>
            </w:r>
            <w:proofErr w:type="gramStart"/>
            <w:r w:rsidRPr="00AA48DA">
              <w:rPr>
                <w:b/>
                <w:bCs/>
              </w:rPr>
              <w:t>2026</w:t>
            </w:r>
            <w:proofErr w:type="gramEnd"/>
            <w:r w:rsidRPr="00AA48DA">
              <w:rPr>
                <w:b/>
                <w:bCs/>
              </w:rPr>
              <w:t xml:space="preserve"> is a firm hard deadline, and how it is intended to be reconciled with the six-month contract term outlined in Section 7.2?</w:t>
            </w:r>
            <w:r w:rsidR="00A653F0" w:rsidRPr="00AA48DA">
              <w:rPr>
                <w:b/>
                <w:bCs/>
              </w:rPr>
              <w:t xml:space="preserve"> </w:t>
            </w:r>
          </w:p>
          <w:p w14:paraId="3A63797D" w14:textId="77777777" w:rsidR="005C69B2" w:rsidRDefault="005C69B2" w:rsidP="007A5E3F">
            <w:pPr>
              <w:rPr>
                <w:b/>
                <w:bCs/>
              </w:rPr>
            </w:pPr>
          </w:p>
          <w:p w14:paraId="772B3F05" w14:textId="1B590E20" w:rsidR="005C69B2" w:rsidRPr="005C69B2" w:rsidRDefault="005C69B2" w:rsidP="007A5E3F">
            <w:r w:rsidRPr="005C69B2">
              <w:t xml:space="preserve">July 1, </w:t>
            </w:r>
            <w:proofErr w:type="gramStart"/>
            <w:r w:rsidRPr="005C69B2">
              <w:t>2026</w:t>
            </w:r>
            <w:proofErr w:type="gramEnd"/>
            <w:r w:rsidRPr="005C69B2">
              <w:t xml:space="preserve"> is a firm deadline for the delivery of a near-final product suitable for a soft launch. The reference to a six-month contract term in Section 7.2 was included in error and does not apply to this solicitation. Vendors should structure their proposals and project schedules to ensure that all core deliverables are substantially completed by the July 1, </w:t>
            </w:r>
            <w:proofErr w:type="gramStart"/>
            <w:r w:rsidRPr="005C69B2">
              <w:t>2026</w:t>
            </w:r>
            <w:proofErr w:type="gramEnd"/>
            <w:r w:rsidRPr="005C69B2">
              <w:t xml:space="preserve"> deadline.</w:t>
            </w:r>
          </w:p>
        </w:tc>
      </w:tr>
      <w:tr w:rsidR="007A5E3F" w14:paraId="48936470" w14:textId="77777777" w:rsidTr="001A140C">
        <w:trPr>
          <w:jc w:val="center"/>
        </w:trPr>
        <w:tc>
          <w:tcPr>
            <w:tcW w:w="535" w:type="dxa"/>
          </w:tcPr>
          <w:p w14:paraId="5C36D71C" w14:textId="43814A96" w:rsidR="007A5E3F" w:rsidRDefault="007A5E3F" w:rsidP="002655C0">
            <w:pPr>
              <w:pStyle w:val="NoSpacing"/>
              <w:spacing w:after="240"/>
              <w:rPr>
                <w:b/>
                <w:bCs/>
              </w:rPr>
            </w:pPr>
            <w:r>
              <w:rPr>
                <w:b/>
                <w:bCs/>
              </w:rPr>
              <w:lastRenderedPageBreak/>
              <w:t>28</w:t>
            </w:r>
          </w:p>
        </w:tc>
        <w:tc>
          <w:tcPr>
            <w:tcW w:w="9094" w:type="dxa"/>
          </w:tcPr>
          <w:p w14:paraId="0803A53D" w14:textId="77777777" w:rsidR="005C69B2" w:rsidRDefault="007A5E3F" w:rsidP="007A5E3F">
            <w:pPr>
              <w:rPr>
                <w:b/>
                <w:bCs/>
              </w:rPr>
            </w:pPr>
            <w:r w:rsidRPr="007A5E3F">
              <w:rPr>
                <w:b/>
                <w:bCs/>
              </w:rPr>
              <w:t>Section 7.5.1 states that the vendor shall not reproduce, distribute, or otherwise use the materials without prior written authorization from the Department. Can the Department confirm that a selected vendor may formally request such written authorization post-award?</w:t>
            </w:r>
            <w:r w:rsidR="00A653F0">
              <w:rPr>
                <w:b/>
                <w:bCs/>
              </w:rPr>
              <w:t xml:space="preserve"> </w:t>
            </w:r>
          </w:p>
          <w:p w14:paraId="47979C48" w14:textId="77777777" w:rsidR="005C69B2" w:rsidRDefault="005C69B2" w:rsidP="007A5E3F">
            <w:pPr>
              <w:rPr>
                <w:b/>
                <w:bCs/>
                <w:color w:val="C00000"/>
              </w:rPr>
            </w:pPr>
          </w:p>
          <w:p w14:paraId="3EE7401D" w14:textId="2882DFE3" w:rsidR="007A5E3F" w:rsidRPr="007A5E3F" w:rsidRDefault="005C69B2" w:rsidP="005C69B2">
            <w:pPr>
              <w:rPr>
                <w:b/>
                <w:bCs/>
              </w:rPr>
            </w:pPr>
            <w:r w:rsidRPr="005C69B2">
              <w:t xml:space="preserve">Yes, the selected vendor may formally request written authorization from the </w:t>
            </w:r>
            <w:r>
              <w:t>Commission</w:t>
            </w:r>
            <w:r w:rsidRPr="005C69B2">
              <w:t xml:space="preserve"> following award. Any reproduction, distribution, or use of materials must be approved in advance through a formal written request, and such use will be subject to the </w:t>
            </w:r>
            <w:r>
              <w:t xml:space="preserve">Commission’s </w:t>
            </w:r>
            <w:r w:rsidRPr="005C69B2">
              <w:t>review and approval.</w:t>
            </w:r>
          </w:p>
        </w:tc>
      </w:tr>
      <w:tr w:rsidR="007A5E3F" w14:paraId="71E914F7" w14:textId="77777777" w:rsidTr="001A140C">
        <w:trPr>
          <w:jc w:val="center"/>
        </w:trPr>
        <w:tc>
          <w:tcPr>
            <w:tcW w:w="535" w:type="dxa"/>
          </w:tcPr>
          <w:p w14:paraId="10284963" w14:textId="584D70AC" w:rsidR="007A5E3F" w:rsidRDefault="007A5E3F" w:rsidP="002655C0">
            <w:pPr>
              <w:pStyle w:val="NoSpacing"/>
              <w:spacing w:after="240"/>
              <w:rPr>
                <w:b/>
                <w:bCs/>
              </w:rPr>
            </w:pPr>
            <w:r>
              <w:rPr>
                <w:b/>
                <w:bCs/>
              </w:rPr>
              <w:t>29</w:t>
            </w:r>
          </w:p>
        </w:tc>
        <w:tc>
          <w:tcPr>
            <w:tcW w:w="9094" w:type="dxa"/>
          </w:tcPr>
          <w:p w14:paraId="16E6D650" w14:textId="77777777" w:rsidR="007A5E3F" w:rsidRDefault="007A5E3F" w:rsidP="007A5E3F">
            <w:pPr>
              <w:rPr>
                <w:b/>
                <w:bCs/>
              </w:rPr>
            </w:pPr>
            <w:r w:rsidRPr="007A5E3F">
              <w:rPr>
                <w:b/>
                <w:bCs/>
              </w:rPr>
              <w:t xml:space="preserve">If written authorization is available as contemplated by Section 7.5.1, will the Department consider authorizing the selected vendor to: (a) display specific interior pages and illustrations in the vendor's professional portfolio and promotional materials; and (b) license specific visual assets to educational clients outside New Jersey for non-competing educational purposes?  </w:t>
            </w:r>
          </w:p>
          <w:p w14:paraId="535BFAF3" w14:textId="77777777" w:rsidR="005C69B2" w:rsidRDefault="005C69B2" w:rsidP="007A5E3F">
            <w:pPr>
              <w:rPr>
                <w:b/>
                <w:bCs/>
              </w:rPr>
            </w:pPr>
          </w:p>
          <w:p w14:paraId="749421FE" w14:textId="3D54EC12" w:rsidR="005C69B2" w:rsidRPr="005C69B2" w:rsidRDefault="005C69B2" w:rsidP="005C69B2">
            <w:r w:rsidRPr="005C69B2">
              <w:t xml:space="preserve">The </w:t>
            </w:r>
            <w:r>
              <w:t>Commission</w:t>
            </w:r>
            <w:r w:rsidRPr="005C69B2">
              <w:t xml:space="preserve"> may consider granting written authorization, upon request, for the selected vendor to display limited interior pages and illustrations in the vendor’s professional portfolio and promotional materials, subject to review and approval. However, the licensing of any visual assets to educational clients outside of New Jersey, including for non-competing educational purposes, will not be permitted under this solicitation.</w:t>
            </w:r>
          </w:p>
        </w:tc>
      </w:tr>
      <w:tr w:rsidR="007A5E3F" w14:paraId="390FD61C" w14:textId="77777777" w:rsidTr="001A140C">
        <w:trPr>
          <w:jc w:val="center"/>
        </w:trPr>
        <w:tc>
          <w:tcPr>
            <w:tcW w:w="535" w:type="dxa"/>
          </w:tcPr>
          <w:p w14:paraId="24A02DC0" w14:textId="6B2B87B4" w:rsidR="007A5E3F" w:rsidRDefault="007A5E3F" w:rsidP="002655C0">
            <w:pPr>
              <w:pStyle w:val="NoSpacing"/>
              <w:spacing w:after="240"/>
              <w:rPr>
                <w:b/>
                <w:bCs/>
              </w:rPr>
            </w:pPr>
            <w:r>
              <w:rPr>
                <w:b/>
                <w:bCs/>
              </w:rPr>
              <w:t>30</w:t>
            </w:r>
          </w:p>
        </w:tc>
        <w:tc>
          <w:tcPr>
            <w:tcW w:w="9094" w:type="dxa"/>
          </w:tcPr>
          <w:p w14:paraId="5EC984A0" w14:textId="77777777" w:rsidR="005C69B2" w:rsidRDefault="007A5E3F" w:rsidP="007A5E3F">
            <w:pPr>
              <w:rPr>
                <w:b/>
                <w:bCs/>
              </w:rPr>
            </w:pPr>
            <w:r w:rsidRPr="007A5E3F">
              <w:rPr>
                <w:b/>
                <w:bCs/>
              </w:rPr>
              <w:t xml:space="preserve">Because the availability of written authorization under Section 7.5.1 directly affects how vendors price their proposals — specifically the valuation placed on full and exclusive transfer of all creative assets — will the Department clarify its position on the authorization questions in question [28] prior to the March 25 proposal deadline? Vendors who retain limited licensing rights would reasonably price differently than those transferring all rights exclusively. </w:t>
            </w:r>
          </w:p>
          <w:p w14:paraId="2145B5BA" w14:textId="77777777" w:rsidR="005C69B2" w:rsidRDefault="005C69B2" w:rsidP="007A5E3F">
            <w:pPr>
              <w:rPr>
                <w:b/>
                <w:bCs/>
                <w:color w:val="C00000"/>
              </w:rPr>
            </w:pPr>
          </w:p>
          <w:p w14:paraId="3007DF57" w14:textId="5D6BA5AF" w:rsidR="007A5E3F" w:rsidRPr="005C69B2" w:rsidRDefault="005C69B2" w:rsidP="005C69B2">
            <w:r w:rsidRPr="005C69B2">
              <w:t xml:space="preserve">Vendors are expected to structure and price their </w:t>
            </w:r>
            <w:r w:rsidR="00A16205" w:rsidRPr="005C69B2">
              <w:t>proposals,</w:t>
            </w:r>
            <w:r w:rsidRPr="005C69B2">
              <w:t xml:space="preserve"> accordingly, taking into consideration the </w:t>
            </w:r>
            <w:r>
              <w:t xml:space="preserve">Commission’s </w:t>
            </w:r>
            <w:r w:rsidRPr="005C69B2">
              <w:t>position on written authorization and the associated limitations on the use of materials, including the prohibition on licensing visual assets.</w:t>
            </w:r>
          </w:p>
        </w:tc>
      </w:tr>
      <w:tr w:rsidR="007A5E3F" w14:paraId="50011B20" w14:textId="77777777" w:rsidTr="001A140C">
        <w:trPr>
          <w:jc w:val="center"/>
        </w:trPr>
        <w:tc>
          <w:tcPr>
            <w:tcW w:w="535" w:type="dxa"/>
          </w:tcPr>
          <w:p w14:paraId="605CD01A" w14:textId="546B7B11" w:rsidR="007A5E3F" w:rsidRDefault="007A5E3F" w:rsidP="002655C0">
            <w:pPr>
              <w:pStyle w:val="NoSpacing"/>
              <w:spacing w:after="240"/>
              <w:rPr>
                <w:b/>
                <w:bCs/>
              </w:rPr>
            </w:pPr>
            <w:r>
              <w:rPr>
                <w:b/>
                <w:bCs/>
              </w:rPr>
              <w:lastRenderedPageBreak/>
              <w:t>31</w:t>
            </w:r>
          </w:p>
        </w:tc>
        <w:tc>
          <w:tcPr>
            <w:tcW w:w="9094" w:type="dxa"/>
          </w:tcPr>
          <w:p w14:paraId="679738F2" w14:textId="3D29FC54" w:rsidR="007A5E3F" w:rsidRDefault="007A5E3F" w:rsidP="007A5E3F">
            <w:pPr>
              <w:rPr>
                <w:b/>
                <w:bCs/>
              </w:rPr>
            </w:pPr>
            <w:r w:rsidRPr="007A5E3F">
              <w:rPr>
                <w:b/>
                <w:bCs/>
              </w:rPr>
              <w:t>Section 7.5.1 states that all materials 'used or obtained in the performance of this RFP' shall become Department property. Professional comic book production relies on vendor-internal processes, proprietary digital tools, illustration pipeline systems, color and lettering workflows, panel layout templates, and production documentation that constitute the vendor's core proprietary methodology developed independently of any specific client project. Can the Department confirm that Section 7.5.1's ownership provision applies to the specific Amistad project deliverables — scripts, character designs, finished illustrations, and final files created for this contract — and does not extend to the vendor's underlying proprietary production processes, internal tools, workflow systems, and methodologies that exist independently of and are not created for this deliverable?</w:t>
            </w:r>
            <w:r w:rsidR="00461A48">
              <w:rPr>
                <w:b/>
                <w:bCs/>
              </w:rPr>
              <w:t xml:space="preserve"> </w:t>
            </w:r>
          </w:p>
          <w:p w14:paraId="3F5D6A60" w14:textId="77777777" w:rsidR="005C69B2" w:rsidRDefault="005C69B2" w:rsidP="007A5E3F">
            <w:pPr>
              <w:rPr>
                <w:b/>
                <w:bCs/>
              </w:rPr>
            </w:pPr>
          </w:p>
          <w:p w14:paraId="63A870ED" w14:textId="34C64D8A" w:rsidR="007A5E3F" w:rsidRPr="005C69B2" w:rsidRDefault="005C69B2" w:rsidP="005C69B2">
            <w:r w:rsidRPr="005C69B2">
              <w:t xml:space="preserve">Section 7.5.1 is intended to apply to materials developed or created specifically for the performance of this contract and the resulting Amistad project deliverables, including but not limited to scripts, character designs, illustrations, and final production files. Ownership extends to any materials produced by the vendor </w:t>
            </w:r>
            <w:r w:rsidR="00A16205" w:rsidRPr="005C69B2">
              <w:t>to</w:t>
            </w:r>
            <w:r w:rsidRPr="005C69B2">
              <w:t xml:space="preserve"> complete the contract as part of this project. However, this provision does not extend to the vendor’s pre-existing proprietary production processes, internal tools, workflow systems, or methodologies that exist independently of and are not uniquely created for the Amistad deliverables.</w:t>
            </w:r>
          </w:p>
        </w:tc>
      </w:tr>
      <w:tr w:rsidR="007A5E3F" w14:paraId="09BE4562" w14:textId="77777777" w:rsidTr="001A140C">
        <w:trPr>
          <w:jc w:val="center"/>
        </w:trPr>
        <w:tc>
          <w:tcPr>
            <w:tcW w:w="535" w:type="dxa"/>
          </w:tcPr>
          <w:p w14:paraId="653756D1" w14:textId="1D57E878" w:rsidR="007A5E3F" w:rsidRDefault="007A5E3F" w:rsidP="002655C0">
            <w:pPr>
              <w:pStyle w:val="NoSpacing"/>
              <w:spacing w:after="240"/>
              <w:rPr>
                <w:b/>
                <w:bCs/>
              </w:rPr>
            </w:pPr>
            <w:r>
              <w:rPr>
                <w:b/>
                <w:bCs/>
              </w:rPr>
              <w:t>32</w:t>
            </w:r>
          </w:p>
        </w:tc>
        <w:tc>
          <w:tcPr>
            <w:tcW w:w="9094" w:type="dxa"/>
          </w:tcPr>
          <w:p w14:paraId="3C5B9754" w14:textId="5D600723" w:rsidR="007A5E3F" w:rsidRDefault="007A5E3F" w:rsidP="007A5E3F">
            <w:pPr>
              <w:rPr>
                <w:b/>
                <w:bCs/>
              </w:rPr>
            </w:pPr>
            <w:r w:rsidRPr="007A5E3F">
              <w:rPr>
                <w:b/>
                <w:bCs/>
              </w:rPr>
              <w:t>Section 7.5.1 establishes broad Department ownership of all materials used or developed in performance of this contract. Professional creative vendors bring to each engagement proprietary production processes, illustration methodologies, workflow systems, character design frameworks, lettering systems, color grading processes, and other internal tools developed independently over years of prior client work. Will the Department permit the selected vendor to submit, prior to contract execution, a written schedule of pre-existing proprietary assets and processes — with all project-specific deliverables and Amistad-specific content remaining fully and exclusively owned by the Department — so that the scope of the ownership transfer is clearly defined for both parties before the contract is signed?</w:t>
            </w:r>
            <w:r w:rsidR="00255E2B">
              <w:rPr>
                <w:b/>
                <w:bCs/>
              </w:rPr>
              <w:t xml:space="preserve"> </w:t>
            </w:r>
          </w:p>
          <w:p w14:paraId="12EBA130" w14:textId="77777777" w:rsidR="005C69B2" w:rsidRDefault="005C69B2" w:rsidP="007A5E3F">
            <w:pPr>
              <w:rPr>
                <w:b/>
                <w:bCs/>
              </w:rPr>
            </w:pPr>
          </w:p>
          <w:p w14:paraId="170A85DE" w14:textId="14E206D4" w:rsidR="007A5E3F" w:rsidRPr="005C69B2" w:rsidRDefault="005C69B2" w:rsidP="005C69B2">
            <w:r w:rsidRPr="005C69B2">
              <w:t xml:space="preserve">The </w:t>
            </w:r>
            <w:r>
              <w:t>Commission</w:t>
            </w:r>
            <w:r w:rsidRPr="005C69B2">
              <w:t xml:space="preserve"> will permit the selected vendor to submit, prior to contract execution, a written schedule identifying pre-existing proprietary assets, tools, and processes. Such materials will remain the property of the vendor, provided they are clearly delineated and are not specific to the </w:t>
            </w:r>
            <w:r>
              <w:t>Comic Book</w:t>
            </w:r>
            <w:r w:rsidRPr="005C69B2">
              <w:t xml:space="preserve"> project. All project-specific deliverables and content developed for this contract shall remain fully and exclusively owned by the </w:t>
            </w:r>
            <w:r>
              <w:t>Commission</w:t>
            </w:r>
            <w:r w:rsidRPr="005C69B2">
              <w:t>.</w:t>
            </w:r>
          </w:p>
        </w:tc>
      </w:tr>
      <w:tr w:rsidR="007A5E3F" w14:paraId="57C94D49" w14:textId="77777777" w:rsidTr="001A140C">
        <w:trPr>
          <w:jc w:val="center"/>
        </w:trPr>
        <w:tc>
          <w:tcPr>
            <w:tcW w:w="535" w:type="dxa"/>
          </w:tcPr>
          <w:p w14:paraId="08F1E319" w14:textId="79B285CE" w:rsidR="007A5E3F" w:rsidRDefault="007A5E3F" w:rsidP="002655C0">
            <w:pPr>
              <w:pStyle w:val="NoSpacing"/>
              <w:spacing w:after="240"/>
              <w:rPr>
                <w:b/>
                <w:bCs/>
              </w:rPr>
            </w:pPr>
            <w:r>
              <w:rPr>
                <w:b/>
                <w:bCs/>
              </w:rPr>
              <w:t>33</w:t>
            </w:r>
          </w:p>
        </w:tc>
        <w:tc>
          <w:tcPr>
            <w:tcW w:w="9094" w:type="dxa"/>
          </w:tcPr>
          <w:p w14:paraId="5568F2A9" w14:textId="3A48937B" w:rsidR="007A5E3F" w:rsidRDefault="007A5E3F" w:rsidP="007A5E3F">
            <w:pPr>
              <w:rPr>
                <w:b/>
                <w:bCs/>
              </w:rPr>
            </w:pPr>
            <w:r w:rsidRPr="007A5E3F">
              <w:rPr>
                <w:b/>
                <w:bCs/>
              </w:rPr>
              <w:t>If the Department requests additional print runs beyond the 500 copies specified in Line K during or after the contract term, will additional printing be negotiated as a contract modification, or is the vendor expected to hold a per-unit price for additional quantities within the original contract?</w:t>
            </w:r>
            <w:r w:rsidR="00255E2B">
              <w:rPr>
                <w:b/>
                <w:bCs/>
              </w:rPr>
              <w:t xml:space="preserve">  </w:t>
            </w:r>
          </w:p>
          <w:p w14:paraId="1DBC2459" w14:textId="77777777" w:rsidR="005C69B2" w:rsidRDefault="005C69B2" w:rsidP="007A5E3F">
            <w:pPr>
              <w:rPr>
                <w:b/>
                <w:bCs/>
                <w:color w:val="C00000"/>
              </w:rPr>
            </w:pPr>
          </w:p>
          <w:p w14:paraId="42A1E48A" w14:textId="53642F5C" w:rsidR="007A5E3F" w:rsidRPr="007A5E3F" w:rsidRDefault="005C69B2" w:rsidP="005C69B2">
            <w:pPr>
              <w:rPr>
                <w:b/>
                <w:bCs/>
              </w:rPr>
            </w:pPr>
            <w:r w:rsidRPr="005C69B2">
              <w:t xml:space="preserve">The </w:t>
            </w:r>
            <w:r>
              <w:t>Commission</w:t>
            </w:r>
            <w:r w:rsidRPr="005C69B2">
              <w:t xml:space="preserve"> reserves the right to request printing proposals for any additional print runs beyond the initial 500 copies from any vendor, including the vendor awarded the contract. Additional quantities will not be automatically procured under the original contract, and vendors are not required to hold a per-unit price for future print</w:t>
            </w:r>
            <w:r>
              <w:t>s</w:t>
            </w:r>
            <w:r w:rsidRPr="005C69B2">
              <w:t>.</w:t>
            </w:r>
          </w:p>
        </w:tc>
      </w:tr>
    </w:tbl>
    <w:p w14:paraId="09C77A4C" w14:textId="77777777" w:rsidR="00970FA4" w:rsidRPr="00EB4A80" w:rsidRDefault="00970FA4" w:rsidP="005C69B2">
      <w:pPr>
        <w:pStyle w:val="NoSpacing"/>
        <w:jc w:val="both"/>
        <w:rPr>
          <w:sz w:val="12"/>
          <w:szCs w:val="12"/>
        </w:rPr>
      </w:pPr>
    </w:p>
    <w:sectPr w:rsidR="00970FA4" w:rsidRPr="00EB4A80" w:rsidSect="00562B91">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C0F79" w14:textId="77777777" w:rsidR="00330033" w:rsidRDefault="00330033" w:rsidP="00BC10B7">
      <w:pPr>
        <w:spacing w:after="0" w:line="240" w:lineRule="auto"/>
      </w:pPr>
      <w:r>
        <w:separator/>
      </w:r>
    </w:p>
  </w:endnote>
  <w:endnote w:type="continuationSeparator" w:id="0">
    <w:p w14:paraId="4B73C14C" w14:textId="77777777" w:rsidR="00330033" w:rsidRDefault="00330033" w:rsidP="00BC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789731"/>
      <w:docPartObj>
        <w:docPartGallery w:val="Page Numbers (Bottom of Page)"/>
        <w:docPartUnique/>
      </w:docPartObj>
    </w:sdtPr>
    <w:sdtEndPr>
      <w:rPr>
        <w:noProof/>
      </w:rPr>
    </w:sdtEndPr>
    <w:sdtContent>
      <w:p w14:paraId="6BD10903" w14:textId="5C6EA888" w:rsidR="00CA3799" w:rsidRDefault="00CA37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98610" w14:textId="77777777" w:rsidR="00CA3799" w:rsidRDefault="00CA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348A" w14:textId="77777777" w:rsidR="00330033" w:rsidRDefault="00330033" w:rsidP="00BC10B7">
      <w:pPr>
        <w:spacing w:after="0" w:line="240" w:lineRule="auto"/>
      </w:pPr>
      <w:r>
        <w:separator/>
      </w:r>
    </w:p>
  </w:footnote>
  <w:footnote w:type="continuationSeparator" w:id="0">
    <w:p w14:paraId="7881F6A0" w14:textId="77777777" w:rsidR="00330033" w:rsidRDefault="00330033" w:rsidP="00BC1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7CB7" w14:textId="12560E5C" w:rsidR="00116298" w:rsidRDefault="001162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EE8"/>
    <w:multiLevelType w:val="multilevel"/>
    <w:tmpl w:val="B5E236D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1F2BA1"/>
    <w:multiLevelType w:val="hybridMultilevel"/>
    <w:tmpl w:val="D21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37E37"/>
    <w:multiLevelType w:val="hybridMultilevel"/>
    <w:tmpl w:val="37866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C34AF7"/>
    <w:multiLevelType w:val="hybridMultilevel"/>
    <w:tmpl w:val="5E2C4550"/>
    <w:lvl w:ilvl="0" w:tplc="6BC0435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A69A4"/>
    <w:multiLevelType w:val="multilevel"/>
    <w:tmpl w:val="EA4AAE8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1F5555"/>
    <w:multiLevelType w:val="multilevel"/>
    <w:tmpl w:val="6B981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B840701"/>
    <w:multiLevelType w:val="multilevel"/>
    <w:tmpl w:val="DB3ADB0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134D41"/>
    <w:multiLevelType w:val="hybridMultilevel"/>
    <w:tmpl w:val="1096A85A"/>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2E9CA654">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36D1B"/>
    <w:multiLevelType w:val="multilevel"/>
    <w:tmpl w:val="0094A98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B0F0EED"/>
    <w:multiLevelType w:val="hybridMultilevel"/>
    <w:tmpl w:val="18EEB4C8"/>
    <w:lvl w:ilvl="0" w:tplc="6BC04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C528B"/>
    <w:multiLevelType w:val="hybridMultilevel"/>
    <w:tmpl w:val="B3823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C62BA"/>
    <w:multiLevelType w:val="multilevel"/>
    <w:tmpl w:val="AE4870CE"/>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F49072D"/>
    <w:multiLevelType w:val="multilevel"/>
    <w:tmpl w:val="15D85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87825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732071">
    <w:abstractNumId w:val="10"/>
  </w:num>
  <w:num w:numId="3" w16cid:durableId="767316287">
    <w:abstractNumId w:val="9"/>
  </w:num>
  <w:num w:numId="4" w16cid:durableId="163475383">
    <w:abstractNumId w:val="3"/>
  </w:num>
  <w:num w:numId="5" w16cid:durableId="383137882">
    <w:abstractNumId w:val="1"/>
  </w:num>
  <w:num w:numId="6" w16cid:durableId="7443822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91872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72267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944749">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5289852">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269609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1080560">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7567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0tDQ2MjYyMzA1NjRQ0lEKTi0uzszPAykwqQUArHnESCwAAAA="/>
  </w:docVars>
  <w:rsids>
    <w:rsidRoot w:val="00B02CF0"/>
    <w:rsid w:val="00011142"/>
    <w:rsid w:val="00025788"/>
    <w:rsid w:val="00033F01"/>
    <w:rsid w:val="00050D28"/>
    <w:rsid w:val="0006570C"/>
    <w:rsid w:val="00081FF2"/>
    <w:rsid w:val="000A5CAC"/>
    <w:rsid w:val="000B6B38"/>
    <w:rsid w:val="000D0196"/>
    <w:rsid w:val="000D2B5F"/>
    <w:rsid w:val="000D6FCD"/>
    <w:rsid w:val="000F01B2"/>
    <w:rsid w:val="000F4F78"/>
    <w:rsid w:val="00106FD5"/>
    <w:rsid w:val="00116298"/>
    <w:rsid w:val="00125DDA"/>
    <w:rsid w:val="00126B14"/>
    <w:rsid w:val="0013477E"/>
    <w:rsid w:val="00147D6B"/>
    <w:rsid w:val="00150A5A"/>
    <w:rsid w:val="001549F2"/>
    <w:rsid w:val="00180252"/>
    <w:rsid w:val="0018211F"/>
    <w:rsid w:val="00185430"/>
    <w:rsid w:val="00192BB1"/>
    <w:rsid w:val="00193B59"/>
    <w:rsid w:val="0019617D"/>
    <w:rsid w:val="001A140C"/>
    <w:rsid w:val="001A70A9"/>
    <w:rsid w:val="001C3BDB"/>
    <w:rsid w:val="001C511A"/>
    <w:rsid w:val="001E479B"/>
    <w:rsid w:val="001F7AEF"/>
    <w:rsid w:val="00200593"/>
    <w:rsid w:val="00203AAD"/>
    <w:rsid w:val="00214687"/>
    <w:rsid w:val="00217C34"/>
    <w:rsid w:val="00223A71"/>
    <w:rsid w:val="00225741"/>
    <w:rsid w:val="002272C1"/>
    <w:rsid w:val="00252024"/>
    <w:rsid w:val="00255E2B"/>
    <w:rsid w:val="002655C0"/>
    <w:rsid w:val="0027500A"/>
    <w:rsid w:val="0028109D"/>
    <w:rsid w:val="00294302"/>
    <w:rsid w:val="00297AC8"/>
    <w:rsid w:val="002D239C"/>
    <w:rsid w:val="002D5B51"/>
    <w:rsid w:val="00320EE8"/>
    <w:rsid w:val="00325B26"/>
    <w:rsid w:val="00330033"/>
    <w:rsid w:val="0033612F"/>
    <w:rsid w:val="00341575"/>
    <w:rsid w:val="00363722"/>
    <w:rsid w:val="003927F2"/>
    <w:rsid w:val="0039339D"/>
    <w:rsid w:val="00394C41"/>
    <w:rsid w:val="003A45A2"/>
    <w:rsid w:val="003A66D6"/>
    <w:rsid w:val="003C79EB"/>
    <w:rsid w:val="003D7E1A"/>
    <w:rsid w:val="003E42AA"/>
    <w:rsid w:val="003F6628"/>
    <w:rsid w:val="00412FED"/>
    <w:rsid w:val="0044688C"/>
    <w:rsid w:val="00450E20"/>
    <w:rsid w:val="00455862"/>
    <w:rsid w:val="00461A48"/>
    <w:rsid w:val="00464A4F"/>
    <w:rsid w:val="00470C66"/>
    <w:rsid w:val="004A52FE"/>
    <w:rsid w:val="004B018D"/>
    <w:rsid w:val="004B3D29"/>
    <w:rsid w:val="004C3736"/>
    <w:rsid w:val="004D24B0"/>
    <w:rsid w:val="004D4EC7"/>
    <w:rsid w:val="004D5D28"/>
    <w:rsid w:val="004F40E0"/>
    <w:rsid w:val="00524809"/>
    <w:rsid w:val="00527A63"/>
    <w:rsid w:val="0054212D"/>
    <w:rsid w:val="00551492"/>
    <w:rsid w:val="0055203D"/>
    <w:rsid w:val="00555AA0"/>
    <w:rsid w:val="00562B91"/>
    <w:rsid w:val="00576A99"/>
    <w:rsid w:val="00577738"/>
    <w:rsid w:val="00582D38"/>
    <w:rsid w:val="0058743D"/>
    <w:rsid w:val="005901D1"/>
    <w:rsid w:val="00591246"/>
    <w:rsid w:val="005B1A3B"/>
    <w:rsid w:val="005B481B"/>
    <w:rsid w:val="005C527F"/>
    <w:rsid w:val="005C69B2"/>
    <w:rsid w:val="005D3EFA"/>
    <w:rsid w:val="005D4C53"/>
    <w:rsid w:val="005D4D9E"/>
    <w:rsid w:val="005D7550"/>
    <w:rsid w:val="005E0C9E"/>
    <w:rsid w:val="005E694D"/>
    <w:rsid w:val="005F34CC"/>
    <w:rsid w:val="006004F9"/>
    <w:rsid w:val="00604BFF"/>
    <w:rsid w:val="00610BE9"/>
    <w:rsid w:val="006268A4"/>
    <w:rsid w:val="00640C49"/>
    <w:rsid w:val="006416EC"/>
    <w:rsid w:val="0065226D"/>
    <w:rsid w:val="00654383"/>
    <w:rsid w:val="00663269"/>
    <w:rsid w:val="00676B8E"/>
    <w:rsid w:val="00687D8B"/>
    <w:rsid w:val="00690F58"/>
    <w:rsid w:val="006B0CBF"/>
    <w:rsid w:val="006B187F"/>
    <w:rsid w:val="006D498D"/>
    <w:rsid w:val="00713FAC"/>
    <w:rsid w:val="0074793F"/>
    <w:rsid w:val="00774689"/>
    <w:rsid w:val="00785EB8"/>
    <w:rsid w:val="007A2C16"/>
    <w:rsid w:val="007A5E3F"/>
    <w:rsid w:val="007B6DDD"/>
    <w:rsid w:val="007B78A1"/>
    <w:rsid w:val="007C631A"/>
    <w:rsid w:val="007F1E34"/>
    <w:rsid w:val="007F5BCB"/>
    <w:rsid w:val="00811BCE"/>
    <w:rsid w:val="008215CD"/>
    <w:rsid w:val="00824A94"/>
    <w:rsid w:val="0084316A"/>
    <w:rsid w:val="00846228"/>
    <w:rsid w:val="00863DC6"/>
    <w:rsid w:val="008766D1"/>
    <w:rsid w:val="00876FE0"/>
    <w:rsid w:val="0089409A"/>
    <w:rsid w:val="008A6FED"/>
    <w:rsid w:val="008B1940"/>
    <w:rsid w:val="008C159A"/>
    <w:rsid w:val="008C4631"/>
    <w:rsid w:val="008D4BD5"/>
    <w:rsid w:val="008D65A5"/>
    <w:rsid w:val="008E62BB"/>
    <w:rsid w:val="008E6E84"/>
    <w:rsid w:val="008F37C0"/>
    <w:rsid w:val="0091392A"/>
    <w:rsid w:val="009217DA"/>
    <w:rsid w:val="00941BBA"/>
    <w:rsid w:val="0094652A"/>
    <w:rsid w:val="00964816"/>
    <w:rsid w:val="0096759E"/>
    <w:rsid w:val="00970FA4"/>
    <w:rsid w:val="009843C2"/>
    <w:rsid w:val="0099040B"/>
    <w:rsid w:val="00997BEC"/>
    <w:rsid w:val="009B1F62"/>
    <w:rsid w:val="009D3D3B"/>
    <w:rsid w:val="009F033C"/>
    <w:rsid w:val="00A0748D"/>
    <w:rsid w:val="00A1217C"/>
    <w:rsid w:val="00A16205"/>
    <w:rsid w:val="00A26E8F"/>
    <w:rsid w:val="00A653F0"/>
    <w:rsid w:val="00AA48DA"/>
    <w:rsid w:val="00AB275C"/>
    <w:rsid w:val="00AB7F72"/>
    <w:rsid w:val="00AD6B9B"/>
    <w:rsid w:val="00AE1CD2"/>
    <w:rsid w:val="00B011D1"/>
    <w:rsid w:val="00B02CF0"/>
    <w:rsid w:val="00B073AF"/>
    <w:rsid w:val="00B44044"/>
    <w:rsid w:val="00B5342D"/>
    <w:rsid w:val="00B7505A"/>
    <w:rsid w:val="00B90C37"/>
    <w:rsid w:val="00B943F4"/>
    <w:rsid w:val="00B9552D"/>
    <w:rsid w:val="00B96596"/>
    <w:rsid w:val="00BB43E2"/>
    <w:rsid w:val="00BC10B7"/>
    <w:rsid w:val="00BE0348"/>
    <w:rsid w:val="00C10FF2"/>
    <w:rsid w:val="00C3009E"/>
    <w:rsid w:val="00C317AF"/>
    <w:rsid w:val="00C31993"/>
    <w:rsid w:val="00C33C7E"/>
    <w:rsid w:val="00C44C65"/>
    <w:rsid w:val="00C56CCA"/>
    <w:rsid w:val="00C57D52"/>
    <w:rsid w:val="00C719C2"/>
    <w:rsid w:val="00C71F9D"/>
    <w:rsid w:val="00C759DF"/>
    <w:rsid w:val="00C76CC7"/>
    <w:rsid w:val="00C86CCC"/>
    <w:rsid w:val="00C9315C"/>
    <w:rsid w:val="00CA3747"/>
    <w:rsid w:val="00CA3799"/>
    <w:rsid w:val="00CB0EEA"/>
    <w:rsid w:val="00CB32A5"/>
    <w:rsid w:val="00CC5C0A"/>
    <w:rsid w:val="00CD6043"/>
    <w:rsid w:val="00CD743B"/>
    <w:rsid w:val="00CE2A21"/>
    <w:rsid w:val="00CF40F2"/>
    <w:rsid w:val="00CF7710"/>
    <w:rsid w:val="00D04550"/>
    <w:rsid w:val="00D126C6"/>
    <w:rsid w:val="00D1350D"/>
    <w:rsid w:val="00D21F26"/>
    <w:rsid w:val="00D232DA"/>
    <w:rsid w:val="00D5615F"/>
    <w:rsid w:val="00D73BDD"/>
    <w:rsid w:val="00D83135"/>
    <w:rsid w:val="00DB4363"/>
    <w:rsid w:val="00DB7976"/>
    <w:rsid w:val="00DC4ACC"/>
    <w:rsid w:val="00DE007D"/>
    <w:rsid w:val="00DE0C4F"/>
    <w:rsid w:val="00DE59EC"/>
    <w:rsid w:val="00DF20F1"/>
    <w:rsid w:val="00DF5577"/>
    <w:rsid w:val="00E04DC2"/>
    <w:rsid w:val="00E36601"/>
    <w:rsid w:val="00E466CE"/>
    <w:rsid w:val="00E47676"/>
    <w:rsid w:val="00E7316B"/>
    <w:rsid w:val="00EA7395"/>
    <w:rsid w:val="00EB4A80"/>
    <w:rsid w:val="00EB5557"/>
    <w:rsid w:val="00EB637F"/>
    <w:rsid w:val="00EC513E"/>
    <w:rsid w:val="00EC6C89"/>
    <w:rsid w:val="00EE1B83"/>
    <w:rsid w:val="00EF3B49"/>
    <w:rsid w:val="00F13C5B"/>
    <w:rsid w:val="00F25C75"/>
    <w:rsid w:val="00F51A0F"/>
    <w:rsid w:val="00F658FC"/>
    <w:rsid w:val="00F65AEE"/>
    <w:rsid w:val="00F901CE"/>
    <w:rsid w:val="00FC7C3D"/>
    <w:rsid w:val="00FF11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723D"/>
  <w15:chartTrackingRefBased/>
  <w15:docId w15:val="{181B0E33-CE00-41AD-84FB-E42D8F57A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2655C0"/>
    <w:pPr>
      <w:spacing w:after="480"/>
      <w:jc w:val="center"/>
      <w:outlineLvl w:val="0"/>
    </w:pPr>
    <w:rPr>
      <w:b/>
      <w:bCs/>
    </w:rPr>
  </w:style>
  <w:style w:type="paragraph" w:styleId="Heading2">
    <w:name w:val="heading 2"/>
    <w:basedOn w:val="NoSpacing"/>
    <w:next w:val="Normal"/>
    <w:link w:val="Heading2Char"/>
    <w:uiPriority w:val="9"/>
    <w:unhideWhenUsed/>
    <w:qFormat/>
    <w:rsid w:val="002655C0"/>
    <w:pPr>
      <w:spacing w:before="360"/>
      <w:jc w:val="center"/>
      <w:outlineLvl w:val="1"/>
    </w:pPr>
    <w:rPr>
      <w:b/>
      <w:bCs/>
    </w:rPr>
  </w:style>
  <w:style w:type="paragraph" w:styleId="Heading3">
    <w:name w:val="heading 3"/>
    <w:basedOn w:val="NoSpacing"/>
    <w:next w:val="Normal"/>
    <w:link w:val="Heading3Char"/>
    <w:uiPriority w:val="9"/>
    <w:unhideWhenUsed/>
    <w:qFormat/>
    <w:rsid w:val="002655C0"/>
    <w:pPr>
      <w:spacing w:after="240"/>
      <w:jc w:val="center"/>
      <w:outlineLvl w:val="2"/>
    </w:pPr>
    <w:rPr>
      <w:b/>
      <w:bCs/>
    </w:rPr>
  </w:style>
  <w:style w:type="paragraph" w:styleId="Heading4">
    <w:name w:val="heading 4"/>
    <w:basedOn w:val="Normal"/>
    <w:next w:val="Normal"/>
    <w:link w:val="Heading4Char"/>
    <w:uiPriority w:val="9"/>
    <w:unhideWhenUsed/>
    <w:qFormat/>
    <w:rsid w:val="00B02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5C0"/>
    <w:rPr>
      <w:b/>
      <w:bCs/>
    </w:rPr>
  </w:style>
  <w:style w:type="character" w:customStyle="1" w:styleId="Heading2Char">
    <w:name w:val="Heading 2 Char"/>
    <w:basedOn w:val="DefaultParagraphFont"/>
    <w:link w:val="Heading2"/>
    <w:uiPriority w:val="9"/>
    <w:rsid w:val="002655C0"/>
    <w:rPr>
      <w:b/>
      <w:bCs/>
    </w:rPr>
  </w:style>
  <w:style w:type="character" w:customStyle="1" w:styleId="Heading3Char">
    <w:name w:val="Heading 3 Char"/>
    <w:basedOn w:val="DefaultParagraphFont"/>
    <w:link w:val="Heading3"/>
    <w:uiPriority w:val="9"/>
    <w:rsid w:val="002655C0"/>
    <w:rPr>
      <w:b/>
      <w:bCs/>
    </w:rPr>
  </w:style>
  <w:style w:type="character" w:customStyle="1" w:styleId="Heading4Char">
    <w:name w:val="Heading 4 Char"/>
    <w:basedOn w:val="DefaultParagraphFont"/>
    <w:link w:val="Heading4"/>
    <w:uiPriority w:val="9"/>
    <w:rsid w:val="00B02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CF0"/>
    <w:rPr>
      <w:rFonts w:eastAsiaTheme="majorEastAsia" w:cstheme="majorBidi"/>
      <w:color w:val="272727" w:themeColor="text1" w:themeTint="D8"/>
    </w:rPr>
  </w:style>
  <w:style w:type="paragraph" w:styleId="Title">
    <w:name w:val="Title"/>
    <w:basedOn w:val="Normal"/>
    <w:next w:val="Normal"/>
    <w:link w:val="TitleChar"/>
    <w:uiPriority w:val="10"/>
    <w:qFormat/>
    <w:rsid w:val="00B02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CF0"/>
    <w:pPr>
      <w:spacing w:before="160"/>
      <w:jc w:val="center"/>
    </w:pPr>
    <w:rPr>
      <w:i/>
      <w:iCs/>
      <w:color w:val="404040" w:themeColor="text1" w:themeTint="BF"/>
    </w:rPr>
  </w:style>
  <w:style w:type="character" w:customStyle="1" w:styleId="QuoteChar">
    <w:name w:val="Quote Char"/>
    <w:basedOn w:val="DefaultParagraphFont"/>
    <w:link w:val="Quote"/>
    <w:uiPriority w:val="29"/>
    <w:rsid w:val="00B02CF0"/>
    <w:rPr>
      <w:i/>
      <w:iCs/>
      <w:color w:val="404040" w:themeColor="text1" w:themeTint="BF"/>
    </w:rPr>
  </w:style>
  <w:style w:type="paragraph" w:styleId="ListParagraph">
    <w:name w:val="List Paragraph"/>
    <w:aliases w:val="Bullet List,numbered,FooterText,List Bulletized,B1 paragraph"/>
    <w:basedOn w:val="Normal"/>
    <w:link w:val="ListParagraphChar"/>
    <w:uiPriority w:val="34"/>
    <w:qFormat/>
    <w:rsid w:val="00B02CF0"/>
    <w:pPr>
      <w:ind w:left="720"/>
      <w:contextualSpacing/>
    </w:pPr>
  </w:style>
  <w:style w:type="character" w:styleId="IntenseEmphasis">
    <w:name w:val="Intense Emphasis"/>
    <w:basedOn w:val="DefaultParagraphFont"/>
    <w:uiPriority w:val="21"/>
    <w:qFormat/>
    <w:rsid w:val="00B02CF0"/>
    <w:rPr>
      <w:i/>
      <w:iCs/>
      <w:color w:val="0F4761" w:themeColor="accent1" w:themeShade="BF"/>
    </w:rPr>
  </w:style>
  <w:style w:type="paragraph" w:styleId="IntenseQuote">
    <w:name w:val="Intense Quote"/>
    <w:basedOn w:val="Normal"/>
    <w:next w:val="Normal"/>
    <w:link w:val="IntenseQuoteChar"/>
    <w:uiPriority w:val="30"/>
    <w:qFormat/>
    <w:rsid w:val="00B02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CF0"/>
    <w:rPr>
      <w:i/>
      <w:iCs/>
      <w:color w:val="0F4761" w:themeColor="accent1" w:themeShade="BF"/>
    </w:rPr>
  </w:style>
  <w:style w:type="character" w:styleId="IntenseReference">
    <w:name w:val="Intense Reference"/>
    <w:basedOn w:val="DefaultParagraphFont"/>
    <w:uiPriority w:val="32"/>
    <w:qFormat/>
    <w:rsid w:val="00B02CF0"/>
    <w:rPr>
      <w:b/>
      <w:bCs/>
      <w:smallCaps/>
      <w:color w:val="0F4761" w:themeColor="accent1" w:themeShade="BF"/>
      <w:spacing w:val="5"/>
    </w:rPr>
  </w:style>
  <w:style w:type="paragraph" w:styleId="NoSpacing">
    <w:name w:val="No Spacing"/>
    <w:uiPriority w:val="1"/>
    <w:qFormat/>
    <w:rsid w:val="00B02CF0"/>
    <w:pPr>
      <w:spacing w:after="0" w:line="240" w:lineRule="auto"/>
    </w:pPr>
  </w:style>
  <w:style w:type="character" w:styleId="Hyperlink">
    <w:name w:val="Hyperlink"/>
    <w:basedOn w:val="DefaultParagraphFont"/>
    <w:uiPriority w:val="99"/>
    <w:unhideWhenUsed/>
    <w:rsid w:val="00DB7976"/>
    <w:rPr>
      <w:color w:val="467886" w:themeColor="hyperlink"/>
      <w:u w:val="single"/>
    </w:rPr>
  </w:style>
  <w:style w:type="character" w:styleId="UnresolvedMention">
    <w:name w:val="Unresolved Mention"/>
    <w:basedOn w:val="DefaultParagraphFont"/>
    <w:uiPriority w:val="99"/>
    <w:semiHidden/>
    <w:unhideWhenUsed/>
    <w:rsid w:val="00DB7976"/>
    <w:rPr>
      <w:color w:val="605E5C"/>
      <w:shd w:val="clear" w:color="auto" w:fill="E1DFDD"/>
    </w:rPr>
  </w:style>
  <w:style w:type="table" w:styleId="TableGrid">
    <w:name w:val="Table Grid"/>
    <w:basedOn w:val="TableNormal"/>
    <w:uiPriority w:val="39"/>
    <w:rsid w:val="0067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0B7"/>
  </w:style>
  <w:style w:type="paragraph" w:styleId="Footer">
    <w:name w:val="footer"/>
    <w:basedOn w:val="Normal"/>
    <w:link w:val="FooterChar"/>
    <w:uiPriority w:val="99"/>
    <w:unhideWhenUsed/>
    <w:rsid w:val="00BC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0B7"/>
  </w:style>
  <w:style w:type="character" w:styleId="CommentReference">
    <w:name w:val="annotation reference"/>
    <w:basedOn w:val="DefaultParagraphFont"/>
    <w:uiPriority w:val="99"/>
    <w:semiHidden/>
    <w:unhideWhenUsed/>
    <w:rsid w:val="00AD6B9B"/>
    <w:rPr>
      <w:sz w:val="16"/>
      <w:szCs w:val="16"/>
    </w:rPr>
  </w:style>
  <w:style w:type="paragraph" w:styleId="CommentText">
    <w:name w:val="annotation text"/>
    <w:basedOn w:val="Normal"/>
    <w:link w:val="CommentTextChar"/>
    <w:uiPriority w:val="99"/>
    <w:unhideWhenUsed/>
    <w:rsid w:val="00AD6B9B"/>
    <w:pPr>
      <w:spacing w:line="240" w:lineRule="auto"/>
    </w:pPr>
    <w:rPr>
      <w:sz w:val="20"/>
      <w:szCs w:val="20"/>
    </w:rPr>
  </w:style>
  <w:style w:type="character" w:customStyle="1" w:styleId="CommentTextChar">
    <w:name w:val="Comment Text Char"/>
    <w:basedOn w:val="DefaultParagraphFont"/>
    <w:link w:val="CommentText"/>
    <w:uiPriority w:val="99"/>
    <w:rsid w:val="00AD6B9B"/>
    <w:rPr>
      <w:sz w:val="20"/>
      <w:szCs w:val="20"/>
    </w:rPr>
  </w:style>
  <w:style w:type="paragraph" w:styleId="CommentSubject">
    <w:name w:val="annotation subject"/>
    <w:basedOn w:val="CommentText"/>
    <w:next w:val="CommentText"/>
    <w:link w:val="CommentSubjectChar"/>
    <w:uiPriority w:val="99"/>
    <w:semiHidden/>
    <w:unhideWhenUsed/>
    <w:rsid w:val="00AD6B9B"/>
    <w:rPr>
      <w:b/>
      <w:bCs/>
    </w:rPr>
  </w:style>
  <w:style w:type="character" w:customStyle="1" w:styleId="CommentSubjectChar">
    <w:name w:val="Comment Subject Char"/>
    <w:basedOn w:val="CommentTextChar"/>
    <w:link w:val="CommentSubject"/>
    <w:uiPriority w:val="99"/>
    <w:semiHidden/>
    <w:rsid w:val="00AD6B9B"/>
    <w:rPr>
      <w:b/>
      <w:bCs/>
      <w:sz w:val="20"/>
      <w:szCs w:val="20"/>
    </w:rPr>
  </w:style>
  <w:style w:type="character" w:customStyle="1" w:styleId="ListParagraphChar">
    <w:name w:val="List Paragraph Char"/>
    <w:aliases w:val="Bullet List Char,numbered Char,FooterText Char,List Bulletized Char,B1 paragraph Char"/>
    <w:link w:val="ListParagraph"/>
    <w:uiPriority w:val="34"/>
    <w:locked/>
    <w:rsid w:val="00EF3B49"/>
  </w:style>
  <w:style w:type="character" w:styleId="Mention">
    <w:name w:val="Mention"/>
    <w:basedOn w:val="DefaultParagraphFont"/>
    <w:uiPriority w:val="99"/>
    <w:unhideWhenUsed/>
    <w:rsid w:val="00025788"/>
    <w:rPr>
      <w:color w:val="2B579A"/>
      <w:shd w:val="clear" w:color="auto" w:fill="E1DFDD"/>
    </w:rPr>
  </w:style>
  <w:style w:type="character" w:styleId="FollowedHyperlink">
    <w:name w:val="FollowedHyperlink"/>
    <w:basedOn w:val="DefaultParagraphFont"/>
    <w:uiPriority w:val="99"/>
    <w:semiHidden/>
    <w:unhideWhenUsed/>
    <w:rsid w:val="00EE1B83"/>
    <w:rPr>
      <w:color w:val="96607D" w:themeColor="followedHyperlink"/>
      <w:u w:val="single"/>
    </w:rPr>
  </w:style>
  <w:style w:type="paragraph" w:styleId="Revision">
    <w:name w:val="Revision"/>
    <w:hidden/>
    <w:uiPriority w:val="99"/>
    <w:semiHidden/>
    <w:rsid w:val="00C931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4459">
      <w:bodyDiv w:val="1"/>
      <w:marLeft w:val="0"/>
      <w:marRight w:val="0"/>
      <w:marTop w:val="0"/>
      <w:marBottom w:val="0"/>
      <w:divBdr>
        <w:top w:val="none" w:sz="0" w:space="0" w:color="auto"/>
        <w:left w:val="none" w:sz="0" w:space="0" w:color="auto"/>
        <w:bottom w:val="none" w:sz="0" w:space="0" w:color="auto"/>
        <w:right w:val="none" w:sz="0" w:space="0" w:color="auto"/>
      </w:divBdr>
    </w:div>
    <w:div w:id="318001881">
      <w:bodyDiv w:val="1"/>
      <w:marLeft w:val="0"/>
      <w:marRight w:val="0"/>
      <w:marTop w:val="0"/>
      <w:marBottom w:val="0"/>
      <w:divBdr>
        <w:top w:val="none" w:sz="0" w:space="0" w:color="auto"/>
        <w:left w:val="none" w:sz="0" w:space="0" w:color="auto"/>
        <w:bottom w:val="none" w:sz="0" w:space="0" w:color="auto"/>
        <w:right w:val="none" w:sz="0" w:space="0" w:color="auto"/>
      </w:divBdr>
    </w:div>
    <w:div w:id="830486557">
      <w:bodyDiv w:val="1"/>
      <w:marLeft w:val="0"/>
      <w:marRight w:val="0"/>
      <w:marTop w:val="0"/>
      <w:marBottom w:val="0"/>
      <w:divBdr>
        <w:top w:val="none" w:sz="0" w:space="0" w:color="auto"/>
        <w:left w:val="none" w:sz="0" w:space="0" w:color="auto"/>
        <w:bottom w:val="none" w:sz="0" w:space="0" w:color="auto"/>
        <w:right w:val="none" w:sz="0" w:space="0" w:color="auto"/>
      </w:divBdr>
    </w:div>
    <w:div w:id="886188680">
      <w:bodyDiv w:val="1"/>
      <w:marLeft w:val="0"/>
      <w:marRight w:val="0"/>
      <w:marTop w:val="0"/>
      <w:marBottom w:val="0"/>
      <w:divBdr>
        <w:top w:val="none" w:sz="0" w:space="0" w:color="auto"/>
        <w:left w:val="none" w:sz="0" w:space="0" w:color="auto"/>
        <w:bottom w:val="none" w:sz="0" w:space="0" w:color="auto"/>
        <w:right w:val="none" w:sz="0" w:space="0" w:color="auto"/>
      </w:divBdr>
    </w:div>
    <w:div w:id="1292396011">
      <w:bodyDiv w:val="1"/>
      <w:marLeft w:val="0"/>
      <w:marRight w:val="0"/>
      <w:marTop w:val="0"/>
      <w:marBottom w:val="0"/>
      <w:divBdr>
        <w:top w:val="none" w:sz="0" w:space="0" w:color="auto"/>
        <w:left w:val="none" w:sz="0" w:space="0" w:color="auto"/>
        <w:bottom w:val="none" w:sz="0" w:space="0" w:color="auto"/>
        <w:right w:val="none" w:sz="0" w:space="0" w:color="auto"/>
      </w:divBdr>
    </w:div>
    <w:div w:id="1299800413">
      <w:bodyDiv w:val="1"/>
      <w:marLeft w:val="0"/>
      <w:marRight w:val="0"/>
      <w:marTop w:val="0"/>
      <w:marBottom w:val="0"/>
      <w:divBdr>
        <w:top w:val="none" w:sz="0" w:space="0" w:color="auto"/>
        <w:left w:val="none" w:sz="0" w:space="0" w:color="auto"/>
        <w:bottom w:val="none" w:sz="0" w:space="0" w:color="auto"/>
        <w:right w:val="none" w:sz="0" w:space="0" w:color="auto"/>
      </w:divBdr>
    </w:div>
    <w:div w:id="19128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jamist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98F02-DB81-43D6-98B1-131C73C2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3244</Words>
  <Characters>18979</Characters>
  <Application>Microsoft Office Word</Application>
  <DocSecurity>0</DocSecurity>
  <Lines>358</Lines>
  <Paragraphs>133</Paragraphs>
  <ScaleCrop>false</ScaleCrop>
  <HeadingPairs>
    <vt:vector size="2" baseType="variant">
      <vt:variant>
        <vt:lpstr>Title</vt:lpstr>
      </vt:variant>
      <vt:variant>
        <vt:i4>1</vt:i4>
      </vt:variant>
    </vt:vector>
  </HeadingPairs>
  <TitlesOfParts>
    <vt:vector size="1" baseType="lpstr">
      <vt:lpstr>26006: Reponses to Bidder Questions</vt:lpstr>
    </vt:vector>
  </TitlesOfParts>
  <Company>NJ Department of Education</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26006: Reponses to Bidder Questions</dc:title>
  <dc:subject/>
  <dc:creator>Amon, Robert</dc:creator>
  <cp:keywords/>
  <dc:description/>
  <cp:lastModifiedBy>Amon, Robert</cp:lastModifiedBy>
  <cp:revision>5</cp:revision>
  <dcterms:created xsi:type="dcterms:W3CDTF">2026-03-21T00:38:00Z</dcterms:created>
  <dcterms:modified xsi:type="dcterms:W3CDTF">2026-03-23T13:25:00Z</dcterms:modified>
</cp:coreProperties>
</file>