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BC4" w:rsidRDefault="003D0BC4">
      <w:pPr>
        <w:spacing w:before="7"/>
        <w:ind w:left="3977" w:right="3977"/>
        <w:jc w:val="center"/>
        <w:rPr>
          <w:rFonts w:ascii="Century Gothic"/>
          <w:b/>
          <w:color w:val="4A4F53"/>
          <w:sz w:val="20"/>
        </w:rPr>
      </w:pPr>
    </w:p>
    <w:p w:rsidR="00C21127" w:rsidRPr="003D0BC4" w:rsidRDefault="003D0BC4" w:rsidP="003D0BC4">
      <w:pPr>
        <w:spacing w:before="7"/>
        <w:ind w:right="-30"/>
        <w:jc w:val="center"/>
        <w:rPr>
          <w:rFonts w:ascii="Century Gothic"/>
          <w:b/>
          <w:sz w:val="24"/>
          <w:szCs w:val="24"/>
        </w:rPr>
      </w:pPr>
      <w:r w:rsidRPr="003D0BC4">
        <w:rPr>
          <w:rFonts w:ascii="Century Gothic"/>
          <w:b/>
          <w:color w:val="4A4F53"/>
          <w:sz w:val="24"/>
          <w:szCs w:val="24"/>
        </w:rPr>
        <w:t>Questions</w:t>
      </w:r>
      <w:r w:rsidRPr="003D0BC4">
        <w:rPr>
          <w:rFonts w:ascii="Century Gothic"/>
          <w:b/>
          <w:color w:val="4A4F53"/>
          <w:spacing w:val="-6"/>
          <w:sz w:val="24"/>
          <w:szCs w:val="24"/>
        </w:rPr>
        <w:t xml:space="preserve"> </w:t>
      </w:r>
      <w:r w:rsidRPr="003D0BC4">
        <w:rPr>
          <w:rFonts w:ascii="Century Gothic"/>
          <w:b/>
          <w:color w:val="4A4F53"/>
          <w:sz w:val="24"/>
          <w:szCs w:val="24"/>
        </w:rPr>
        <w:t>&amp;</w:t>
      </w:r>
      <w:r w:rsidRPr="003D0BC4">
        <w:rPr>
          <w:rFonts w:ascii="Century Gothic"/>
          <w:b/>
          <w:color w:val="4A4F53"/>
          <w:spacing w:val="-7"/>
          <w:sz w:val="24"/>
          <w:szCs w:val="24"/>
        </w:rPr>
        <w:t xml:space="preserve"> </w:t>
      </w:r>
      <w:r w:rsidRPr="003D0BC4">
        <w:rPr>
          <w:rFonts w:ascii="Century Gothic"/>
          <w:b/>
          <w:color w:val="4A4F53"/>
          <w:spacing w:val="-2"/>
          <w:sz w:val="24"/>
          <w:szCs w:val="24"/>
        </w:rPr>
        <w:t>Answers</w:t>
      </w:r>
    </w:p>
    <w:p w:rsidR="00C21127" w:rsidRDefault="00C21127">
      <w:pPr>
        <w:pStyle w:val="BodyText"/>
        <w:spacing w:before="9"/>
        <w:rPr>
          <w:rFonts w:ascii="Century Gothic"/>
          <w:b/>
          <w:sz w:val="19"/>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2"/>
        <w:gridCol w:w="4198"/>
        <w:gridCol w:w="3627"/>
        <w:gridCol w:w="1071"/>
        <w:gridCol w:w="329"/>
      </w:tblGrid>
      <w:tr w:rsidR="00C21127" w:rsidTr="00BB2E0C">
        <w:trPr>
          <w:trHeight w:val="268"/>
          <w:tblHeader/>
        </w:trPr>
        <w:tc>
          <w:tcPr>
            <w:tcW w:w="502" w:type="dxa"/>
            <w:shd w:val="clear" w:color="auto" w:fill="1F487C"/>
          </w:tcPr>
          <w:p w:rsidR="00C21127" w:rsidRDefault="003D0BC4">
            <w:pPr>
              <w:pStyle w:val="TableParagraph"/>
              <w:spacing w:line="249" w:lineRule="exact"/>
              <w:ind w:left="12"/>
              <w:jc w:val="center"/>
              <w:rPr>
                <w:b/>
              </w:rPr>
            </w:pPr>
            <w:r>
              <w:rPr>
                <w:b/>
                <w:color w:val="FFFFFF"/>
              </w:rPr>
              <w:t>Q</w:t>
            </w:r>
          </w:p>
        </w:tc>
        <w:tc>
          <w:tcPr>
            <w:tcW w:w="4198" w:type="dxa"/>
            <w:shd w:val="clear" w:color="auto" w:fill="1F487C"/>
          </w:tcPr>
          <w:p w:rsidR="00C21127" w:rsidRDefault="003D0BC4">
            <w:pPr>
              <w:pStyle w:val="TableParagraph"/>
              <w:spacing w:line="249" w:lineRule="exact"/>
              <w:ind w:left="1427"/>
              <w:rPr>
                <w:b/>
              </w:rPr>
            </w:pPr>
            <w:r>
              <w:rPr>
                <w:b/>
                <w:color w:val="FFFFFF"/>
              </w:rPr>
              <w:t>Bidder</w:t>
            </w:r>
            <w:r>
              <w:rPr>
                <w:b/>
                <w:color w:val="FFFFFF"/>
                <w:spacing w:val="-1"/>
              </w:rPr>
              <w:t xml:space="preserve"> </w:t>
            </w:r>
            <w:r>
              <w:rPr>
                <w:b/>
                <w:color w:val="FFFFFF"/>
                <w:spacing w:val="-2"/>
              </w:rPr>
              <w:t>Question</w:t>
            </w:r>
          </w:p>
        </w:tc>
        <w:tc>
          <w:tcPr>
            <w:tcW w:w="3627" w:type="dxa"/>
            <w:shd w:val="clear" w:color="auto" w:fill="1F487C"/>
          </w:tcPr>
          <w:p w:rsidR="00C21127" w:rsidRDefault="003D0BC4">
            <w:pPr>
              <w:pStyle w:val="TableParagraph"/>
              <w:spacing w:line="249" w:lineRule="exact"/>
              <w:ind w:left="1236" w:right="1233"/>
              <w:jc w:val="center"/>
              <w:rPr>
                <w:b/>
              </w:rPr>
            </w:pPr>
            <w:r>
              <w:rPr>
                <w:b/>
                <w:color w:val="FFFFFF"/>
              </w:rPr>
              <w:t>DHS</w:t>
            </w:r>
            <w:r>
              <w:rPr>
                <w:b/>
                <w:color w:val="FFFFFF"/>
                <w:spacing w:val="-5"/>
              </w:rPr>
              <w:t xml:space="preserve"> </w:t>
            </w:r>
            <w:r>
              <w:rPr>
                <w:b/>
                <w:color w:val="FFFFFF"/>
                <w:spacing w:val="-2"/>
              </w:rPr>
              <w:t>Answer</w:t>
            </w:r>
          </w:p>
        </w:tc>
        <w:tc>
          <w:tcPr>
            <w:tcW w:w="1071" w:type="dxa"/>
            <w:shd w:val="clear" w:color="auto" w:fill="1F487C"/>
          </w:tcPr>
          <w:p w:rsidR="00C21127" w:rsidRDefault="003D0BC4">
            <w:pPr>
              <w:pStyle w:val="TableParagraph"/>
              <w:spacing w:line="249" w:lineRule="exact"/>
              <w:ind w:left="196"/>
              <w:rPr>
                <w:b/>
              </w:rPr>
            </w:pPr>
            <w:r>
              <w:rPr>
                <w:b/>
                <w:color w:val="FFFFFF"/>
                <w:spacing w:val="-2"/>
              </w:rPr>
              <w:t>Section</w:t>
            </w:r>
          </w:p>
        </w:tc>
        <w:tc>
          <w:tcPr>
            <w:tcW w:w="329" w:type="dxa"/>
            <w:shd w:val="clear" w:color="auto" w:fill="1F487C"/>
          </w:tcPr>
          <w:p w:rsidR="00C21127" w:rsidRPr="00C42B6E" w:rsidRDefault="003D0BC4" w:rsidP="00C42B6E">
            <w:pPr>
              <w:pStyle w:val="TableParagraph"/>
              <w:spacing w:line="249" w:lineRule="exact"/>
              <w:ind w:left="52"/>
              <w:jc w:val="center"/>
              <w:rPr>
                <w:rFonts w:asciiTheme="minorHAnsi" w:hAnsiTheme="minorHAnsi" w:cstheme="minorHAnsi"/>
                <w:b/>
              </w:rPr>
            </w:pPr>
            <w:r w:rsidRPr="00C42B6E">
              <w:rPr>
                <w:rFonts w:asciiTheme="minorHAnsi" w:hAnsiTheme="minorHAnsi" w:cstheme="minorHAnsi"/>
                <w:b/>
                <w:color w:val="FFFFFF"/>
                <w:spacing w:val="-5"/>
              </w:rPr>
              <w:t>Pg</w:t>
            </w:r>
            <w:r w:rsidR="00046BF8" w:rsidRPr="00C42B6E">
              <w:rPr>
                <w:rFonts w:asciiTheme="minorHAnsi" w:hAnsiTheme="minorHAnsi" w:cstheme="minorHAnsi"/>
                <w:b/>
                <w:color w:val="FFFFFF"/>
                <w:spacing w:val="-5"/>
              </w:rPr>
              <w:t>.</w:t>
            </w:r>
          </w:p>
        </w:tc>
      </w:tr>
      <w:tr w:rsidR="00C21127" w:rsidTr="00BB2E0C">
        <w:trPr>
          <w:trHeight w:val="1370"/>
        </w:trPr>
        <w:tc>
          <w:tcPr>
            <w:tcW w:w="502" w:type="dxa"/>
          </w:tcPr>
          <w:p w:rsidR="00C21127" w:rsidRPr="00046BF8" w:rsidRDefault="00046BF8">
            <w:pPr>
              <w:pStyle w:val="TableParagraph"/>
              <w:spacing w:before="1"/>
              <w:ind w:left="36" w:right="25"/>
              <w:jc w:val="center"/>
              <w:rPr>
                <w:b/>
                <w:sz w:val="20"/>
              </w:rPr>
            </w:pPr>
            <w:r w:rsidRPr="00046BF8">
              <w:rPr>
                <w:b/>
              </w:rPr>
              <w:t>1</w:t>
            </w:r>
            <w:r>
              <w:rPr>
                <w:b/>
              </w:rPr>
              <w:t>.</w:t>
            </w:r>
          </w:p>
        </w:tc>
        <w:tc>
          <w:tcPr>
            <w:tcW w:w="4198" w:type="dxa"/>
          </w:tcPr>
          <w:p w:rsidR="00C402E6" w:rsidRPr="00086F9C" w:rsidRDefault="00C402E6" w:rsidP="00C402E6">
            <w:pPr>
              <w:pStyle w:val="NoSpacing"/>
              <w:rPr>
                <w:rFonts w:asciiTheme="minorHAnsi" w:hAnsiTheme="minorHAnsi"/>
                <w:b/>
                <w:sz w:val="20"/>
                <w:szCs w:val="20"/>
              </w:rPr>
            </w:pPr>
            <w:r w:rsidRPr="00086F9C">
              <w:rPr>
                <w:rFonts w:asciiTheme="minorHAnsi" w:hAnsiTheme="minorHAnsi"/>
                <w:b/>
                <w:sz w:val="20"/>
                <w:szCs w:val="20"/>
              </w:rPr>
              <w:t>Page 3: Is the $1.25 million total for all three counties? Or is that amount per award?</w:t>
            </w:r>
          </w:p>
          <w:p w:rsidR="00C21127" w:rsidRDefault="00C21127" w:rsidP="00933A13">
            <w:pPr>
              <w:pStyle w:val="TableParagraph"/>
              <w:spacing w:line="222" w:lineRule="exact"/>
              <w:ind w:left="28"/>
              <w:rPr>
                <w:sz w:val="20"/>
              </w:rPr>
            </w:pPr>
          </w:p>
        </w:tc>
        <w:tc>
          <w:tcPr>
            <w:tcW w:w="3627" w:type="dxa"/>
          </w:tcPr>
          <w:p w:rsidR="00C21127" w:rsidRDefault="002638C9" w:rsidP="00851638">
            <w:pPr>
              <w:pStyle w:val="NoSpacing"/>
              <w:rPr>
                <w:i/>
                <w:sz w:val="20"/>
              </w:rPr>
            </w:pPr>
            <w:r>
              <w:rPr>
                <w:i/>
                <w:sz w:val="20"/>
              </w:rPr>
              <w:t>The $</w:t>
            </w:r>
            <w:r w:rsidR="00BB2E0C">
              <w:rPr>
                <w:i/>
                <w:sz w:val="20"/>
              </w:rPr>
              <w:t>1.25</w:t>
            </w:r>
            <w:r>
              <w:rPr>
                <w:i/>
                <w:sz w:val="20"/>
              </w:rPr>
              <w:t xml:space="preserve"> Million is total funding for </w:t>
            </w:r>
            <w:r w:rsidR="00851638">
              <w:rPr>
                <w:i/>
                <w:sz w:val="20"/>
              </w:rPr>
              <w:t>all the</w:t>
            </w:r>
            <w:r>
              <w:rPr>
                <w:i/>
                <w:sz w:val="20"/>
              </w:rPr>
              <w:t xml:space="preserve"> RFP. </w:t>
            </w:r>
          </w:p>
        </w:tc>
        <w:tc>
          <w:tcPr>
            <w:tcW w:w="1071" w:type="dxa"/>
          </w:tcPr>
          <w:p w:rsidR="002638C9" w:rsidRDefault="002638C9" w:rsidP="00B032DC">
            <w:pPr>
              <w:pStyle w:val="TableParagraph"/>
              <w:spacing w:before="1"/>
              <w:ind w:left="28" w:right="75"/>
              <w:rPr>
                <w:sz w:val="20"/>
              </w:rPr>
            </w:pPr>
            <w:r>
              <w:rPr>
                <w:sz w:val="20"/>
              </w:rPr>
              <w:t>I</w:t>
            </w:r>
          </w:p>
          <w:p w:rsidR="002638C9" w:rsidRDefault="002638C9" w:rsidP="002638C9"/>
          <w:p w:rsidR="00C21127" w:rsidRPr="002638C9" w:rsidRDefault="00C21127" w:rsidP="002638C9"/>
        </w:tc>
        <w:tc>
          <w:tcPr>
            <w:tcW w:w="329" w:type="dxa"/>
          </w:tcPr>
          <w:p w:rsidR="00C21127" w:rsidRPr="00C42B6E" w:rsidRDefault="002638C9" w:rsidP="00C42B6E">
            <w:pPr>
              <w:pStyle w:val="TableParagraph"/>
              <w:spacing w:before="1"/>
              <w:jc w:val="center"/>
              <w:rPr>
                <w:rFonts w:asciiTheme="minorHAnsi" w:hAnsiTheme="minorHAnsi" w:cstheme="minorHAnsi"/>
              </w:rPr>
            </w:pPr>
            <w:r>
              <w:rPr>
                <w:rFonts w:asciiTheme="minorHAnsi" w:hAnsiTheme="minorHAnsi" w:cstheme="minorHAnsi"/>
              </w:rPr>
              <w:t>3</w:t>
            </w:r>
          </w:p>
          <w:p w:rsidR="00C42B6E" w:rsidRPr="00C42B6E" w:rsidRDefault="00C42B6E" w:rsidP="00C42B6E">
            <w:pPr>
              <w:pStyle w:val="TableParagraph"/>
              <w:spacing w:before="1"/>
              <w:jc w:val="center"/>
              <w:rPr>
                <w:rFonts w:asciiTheme="minorHAnsi" w:hAnsiTheme="minorHAnsi" w:cstheme="minorHAnsi"/>
              </w:rPr>
            </w:pPr>
          </w:p>
          <w:p w:rsidR="00C42B6E" w:rsidRPr="00C42B6E" w:rsidRDefault="00C42B6E" w:rsidP="00C42B6E">
            <w:pPr>
              <w:pStyle w:val="TableParagraph"/>
              <w:spacing w:before="1"/>
              <w:jc w:val="center"/>
              <w:rPr>
                <w:rFonts w:asciiTheme="minorHAnsi" w:hAnsiTheme="minorHAnsi" w:cstheme="minorHAnsi"/>
                <w:b/>
              </w:rPr>
            </w:pPr>
          </w:p>
        </w:tc>
      </w:tr>
      <w:tr w:rsidR="00C402E6" w:rsidTr="00BB2E0C">
        <w:trPr>
          <w:trHeight w:val="1370"/>
        </w:trPr>
        <w:tc>
          <w:tcPr>
            <w:tcW w:w="502" w:type="dxa"/>
          </w:tcPr>
          <w:p w:rsidR="00C402E6" w:rsidRPr="00046BF8" w:rsidRDefault="00C402E6">
            <w:pPr>
              <w:pStyle w:val="TableParagraph"/>
              <w:spacing w:before="1"/>
              <w:ind w:left="36" w:right="25"/>
              <w:jc w:val="center"/>
              <w:rPr>
                <w:b/>
              </w:rPr>
            </w:pPr>
            <w:r>
              <w:rPr>
                <w:b/>
              </w:rPr>
              <w:t>2.</w:t>
            </w:r>
          </w:p>
        </w:tc>
        <w:tc>
          <w:tcPr>
            <w:tcW w:w="4198" w:type="dxa"/>
          </w:tcPr>
          <w:p w:rsidR="00C402E6" w:rsidRPr="00C402E6" w:rsidRDefault="00C402E6" w:rsidP="00C402E6">
            <w:pPr>
              <w:widowControl/>
              <w:autoSpaceDE/>
              <w:autoSpaceDN/>
              <w:spacing w:line="252" w:lineRule="auto"/>
              <w:contextualSpacing/>
              <w:rPr>
                <w:b/>
                <w:bCs/>
                <w:sz w:val="20"/>
                <w:szCs w:val="20"/>
              </w:rPr>
            </w:pPr>
            <w:r w:rsidRPr="00C402E6">
              <w:rPr>
                <w:b/>
                <w:bCs/>
                <w:sz w:val="20"/>
                <w:szCs w:val="20"/>
              </w:rPr>
              <w:t>Page 5 indicates "Ideally, after working with the behavioral health team, targeted individual’s would be eligible to seek admission into a current or newly created voluntary mental health diversion program track that is integrated with the County Prosecutor’s office and courts.  The attached Framework shows an example of possible integrations for consideration." Is there a framework we can view?</w:t>
            </w:r>
          </w:p>
          <w:p w:rsidR="00C402E6" w:rsidRPr="00C402E6" w:rsidRDefault="00C402E6" w:rsidP="00C402E6">
            <w:pPr>
              <w:widowControl/>
              <w:autoSpaceDE/>
              <w:autoSpaceDN/>
              <w:spacing w:line="252" w:lineRule="auto"/>
              <w:contextualSpacing/>
              <w:rPr>
                <w:b/>
                <w:bCs/>
                <w:sz w:val="20"/>
                <w:szCs w:val="20"/>
              </w:rPr>
            </w:pPr>
          </w:p>
        </w:tc>
        <w:tc>
          <w:tcPr>
            <w:tcW w:w="3627" w:type="dxa"/>
          </w:tcPr>
          <w:p w:rsidR="00C402E6" w:rsidRDefault="00517A8D" w:rsidP="00933A13">
            <w:pPr>
              <w:ind w:left="30"/>
              <w:rPr>
                <w:i/>
                <w:sz w:val="20"/>
              </w:rPr>
            </w:pPr>
            <w:r>
              <w:rPr>
                <w:i/>
                <w:sz w:val="20"/>
              </w:rPr>
              <w:t xml:space="preserve">Please see </w:t>
            </w:r>
            <w:r w:rsidR="00C51EC4">
              <w:rPr>
                <w:i/>
                <w:sz w:val="20"/>
              </w:rPr>
              <w:t>the attached example framework, Q &amp; A Attachment B</w:t>
            </w:r>
          </w:p>
        </w:tc>
        <w:tc>
          <w:tcPr>
            <w:tcW w:w="1071" w:type="dxa"/>
          </w:tcPr>
          <w:p w:rsidR="00C402E6" w:rsidRDefault="00474410" w:rsidP="00B032DC">
            <w:pPr>
              <w:pStyle w:val="TableParagraph"/>
              <w:spacing w:before="1"/>
              <w:ind w:left="28" w:right="75"/>
              <w:rPr>
                <w:sz w:val="20"/>
              </w:rPr>
            </w:pPr>
            <w:r>
              <w:rPr>
                <w:sz w:val="20"/>
              </w:rPr>
              <w:t>II</w:t>
            </w:r>
          </w:p>
        </w:tc>
        <w:tc>
          <w:tcPr>
            <w:tcW w:w="329" w:type="dxa"/>
          </w:tcPr>
          <w:p w:rsidR="00C402E6" w:rsidRPr="00C42B6E" w:rsidRDefault="00474410" w:rsidP="00C42B6E">
            <w:pPr>
              <w:pStyle w:val="TableParagraph"/>
              <w:spacing w:before="1"/>
              <w:jc w:val="center"/>
              <w:rPr>
                <w:rFonts w:asciiTheme="minorHAnsi" w:hAnsiTheme="minorHAnsi" w:cstheme="minorHAnsi"/>
              </w:rPr>
            </w:pPr>
            <w:r>
              <w:rPr>
                <w:rFonts w:asciiTheme="minorHAnsi" w:hAnsiTheme="minorHAnsi" w:cstheme="minorHAnsi"/>
              </w:rPr>
              <w:t>5</w:t>
            </w:r>
          </w:p>
        </w:tc>
      </w:tr>
      <w:tr w:rsidR="00C21127" w:rsidTr="00BB2E0C">
        <w:trPr>
          <w:trHeight w:val="1466"/>
        </w:trPr>
        <w:tc>
          <w:tcPr>
            <w:tcW w:w="502" w:type="dxa"/>
          </w:tcPr>
          <w:p w:rsidR="00C21127" w:rsidRDefault="00C402E6">
            <w:pPr>
              <w:pStyle w:val="TableParagraph"/>
              <w:spacing w:before="1"/>
              <w:ind w:left="36" w:right="25"/>
              <w:jc w:val="center"/>
              <w:rPr>
                <w:sz w:val="20"/>
              </w:rPr>
            </w:pPr>
            <w:r>
              <w:rPr>
                <w:b/>
              </w:rPr>
              <w:t>3</w:t>
            </w:r>
            <w:r w:rsidR="00046BF8">
              <w:rPr>
                <w:b/>
              </w:rPr>
              <w:t>.</w:t>
            </w:r>
          </w:p>
        </w:tc>
        <w:tc>
          <w:tcPr>
            <w:tcW w:w="4198" w:type="dxa"/>
          </w:tcPr>
          <w:p w:rsidR="00933A13" w:rsidRPr="00C402E6" w:rsidRDefault="00933A13" w:rsidP="00C402E6">
            <w:pPr>
              <w:pStyle w:val="TableParagraph"/>
              <w:spacing w:line="223" w:lineRule="exact"/>
              <w:ind w:left="28"/>
              <w:rPr>
                <w:b/>
                <w:sz w:val="20"/>
                <w:szCs w:val="20"/>
              </w:rPr>
            </w:pPr>
            <w:r w:rsidRPr="00C402E6">
              <w:rPr>
                <w:b/>
                <w:sz w:val="20"/>
                <w:szCs w:val="20"/>
              </w:rPr>
              <w:t>Page 7 indicates "Ensure defendants are linked to community-based treatment and support services for the needs identified in the SDOH Initial Screening Tool which may be found in the appendix and jail mental health screen as early as possible, and for the urgent needs indicated in the SDOH questions #1-6 within 15 business days." Is there a specific SDOH Initial Screening Tool we would be expected to utilize and if so, can we be given a copy?</w:t>
            </w:r>
          </w:p>
          <w:p w:rsidR="00C21127" w:rsidRDefault="00046BF8">
            <w:pPr>
              <w:pStyle w:val="TableParagraph"/>
              <w:spacing w:before="1" w:line="223" w:lineRule="exact"/>
              <w:ind w:left="28"/>
              <w:rPr>
                <w:sz w:val="20"/>
              </w:rPr>
            </w:pPr>
            <w:r>
              <w:br/>
            </w:r>
          </w:p>
        </w:tc>
        <w:tc>
          <w:tcPr>
            <w:tcW w:w="3627" w:type="dxa"/>
          </w:tcPr>
          <w:p w:rsidR="00C21127" w:rsidRPr="00474410" w:rsidRDefault="008907AE" w:rsidP="00933A13">
            <w:pPr>
              <w:pStyle w:val="ListParagraph"/>
              <w:rPr>
                <w:i/>
                <w:sz w:val="20"/>
              </w:rPr>
            </w:pPr>
            <w:r>
              <w:rPr>
                <w:i/>
                <w:sz w:val="20"/>
              </w:rPr>
              <w:t>Please see the attached SDOH screening tool</w:t>
            </w:r>
            <w:r w:rsidR="00CC54F0">
              <w:rPr>
                <w:i/>
                <w:sz w:val="20"/>
              </w:rPr>
              <w:t>, Q&amp;A Attachment A</w:t>
            </w:r>
          </w:p>
        </w:tc>
        <w:tc>
          <w:tcPr>
            <w:tcW w:w="1071" w:type="dxa"/>
          </w:tcPr>
          <w:p w:rsidR="00C21127" w:rsidRPr="0042201E" w:rsidRDefault="00474410">
            <w:pPr>
              <w:pStyle w:val="TableParagraph"/>
              <w:ind w:left="0"/>
              <w:rPr>
                <w:rFonts w:asciiTheme="minorHAnsi" w:hAnsiTheme="minorHAnsi" w:cstheme="minorHAnsi"/>
                <w:sz w:val="20"/>
              </w:rPr>
            </w:pPr>
            <w:r>
              <w:rPr>
                <w:rFonts w:asciiTheme="minorHAnsi" w:hAnsiTheme="minorHAnsi" w:cstheme="minorHAnsi"/>
                <w:sz w:val="20"/>
              </w:rPr>
              <w:t>IV</w:t>
            </w:r>
          </w:p>
        </w:tc>
        <w:tc>
          <w:tcPr>
            <w:tcW w:w="329" w:type="dxa"/>
          </w:tcPr>
          <w:p w:rsidR="00C25C0F" w:rsidRDefault="00474410" w:rsidP="00C42B6E">
            <w:pPr>
              <w:pStyle w:val="TableParagraph"/>
              <w:ind w:left="0"/>
              <w:jc w:val="center"/>
              <w:rPr>
                <w:rFonts w:asciiTheme="minorHAnsi" w:hAnsiTheme="minorHAnsi" w:cstheme="minorHAnsi"/>
              </w:rPr>
            </w:pPr>
            <w:r>
              <w:rPr>
                <w:rFonts w:asciiTheme="minorHAnsi" w:hAnsiTheme="minorHAnsi" w:cstheme="minorHAnsi"/>
              </w:rPr>
              <w:t>7</w:t>
            </w:r>
          </w:p>
          <w:p w:rsidR="00B032DC" w:rsidRDefault="00B032DC" w:rsidP="00C42B6E">
            <w:pPr>
              <w:pStyle w:val="TableParagraph"/>
              <w:ind w:left="0"/>
              <w:jc w:val="center"/>
              <w:rPr>
                <w:rFonts w:asciiTheme="minorHAnsi" w:hAnsiTheme="minorHAnsi" w:cstheme="minorHAnsi"/>
              </w:rPr>
            </w:pPr>
          </w:p>
          <w:p w:rsidR="00B032DC" w:rsidRPr="00C42B6E" w:rsidRDefault="00B032DC" w:rsidP="00C42B6E">
            <w:pPr>
              <w:pStyle w:val="TableParagraph"/>
              <w:ind w:left="0"/>
              <w:jc w:val="center"/>
              <w:rPr>
                <w:rFonts w:asciiTheme="minorHAnsi" w:hAnsiTheme="minorHAnsi" w:cstheme="minorHAnsi"/>
              </w:rPr>
            </w:pPr>
          </w:p>
        </w:tc>
      </w:tr>
      <w:tr w:rsidR="00C21127" w:rsidTr="00BB2E0C">
        <w:trPr>
          <w:trHeight w:val="1221"/>
        </w:trPr>
        <w:tc>
          <w:tcPr>
            <w:tcW w:w="502" w:type="dxa"/>
          </w:tcPr>
          <w:p w:rsidR="00C21127" w:rsidRDefault="00C402E6">
            <w:pPr>
              <w:pStyle w:val="TableParagraph"/>
              <w:spacing w:before="2"/>
              <w:ind w:left="36" w:right="25"/>
              <w:jc w:val="center"/>
              <w:rPr>
                <w:sz w:val="20"/>
              </w:rPr>
            </w:pPr>
            <w:r>
              <w:rPr>
                <w:b/>
              </w:rPr>
              <w:t>4</w:t>
            </w:r>
            <w:r w:rsidR="00046BF8">
              <w:rPr>
                <w:b/>
              </w:rPr>
              <w:t>.</w:t>
            </w:r>
          </w:p>
        </w:tc>
        <w:tc>
          <w:tcPr>
            <w:tcW w:w="4198" w:type="dxa"/>
            <w:shd w:val="clear" w:color="auto" w:fill="auto"/>
          </w:tcPr>
          <w:p w:rsidR="00933A13" w:rsidRPr="00C402E6" w:rsidRDefault="00933A13" w:rsidP="00C402E6">
            <w:pPr>
              <w:pStyle w:val="TableParagraph"/>
              <w:rPr>
                <w:b/>
                <w:sz w:val="20"/>
                <w:szCs w:val="20"/>
              </w:rPr>
            </w:pPr>
            <w:r w:rsidRPr="00C402E6">
              <w:rPr>
                <w:b/>
                <w:sz w:val="20"/>
                <w:szCs w:val="20"/>
              </w:rPr>
              <w:t>On Page 7 of the RFP it is stated that “Defendants who do not meet legal criteria, do not have a serious mental illness or do not want to enter the current or newly created voluntary mental health diversion program track, will be successfully linked to services identified in their SDOH screening prior to disengaging from the provider.” Who is responsible for the linkage of individuals who do not meet criteria, do not have a mental illness, or do not voluntarily agree to be part of the Diversion program?</w:t>
            </w:r>
          </w:p>
          <w:p w:rsidR="00C21127" w:rsidRPr="00933A13" w:rsidRDefault="00C21127">
            <w:pPr>
              <w:pStyle w:val="TableParagraph"/>
              <w:spacing w:before="2"/>
              <w:ind w:left="28"/>
              <w:rPr>
                <w:b/>
                <w:sz w:val="20"/>
              </w:rPr>
            </w:pPr>
          </w:p>
        </w:tc>
        <w:tc>
          <w:tcPr>
            <w:tcW w:w="3627" w:type="dxa"/>
          </w:tcPr>
          <w:p w:rsidR="0083490C" w:rsidRPr="008A02A1" w:rsidRDefault="00474410" w:rsidP="008A02A1">
            <w:pPr>
              <w:pStyle w:val="TableParagraph"/>
              <w:spacing w:line="223" w:lineRule="exact"/>
              <w:rPr>
                <w:i/>
                <w:sz w:val="20"/>
              </w:rPr>
            </w:pPr>
            <w:r>
              <w:rPr>
                <w:i/>
                <w:sz w:val="20"/>
              </w:rPr>
              <w:t xml:space="preserve">The successful bidder. </w:t>
            </w:r>
          </w:p>
        </w:tc>
        <w:tc>
          <w:tcPr>
            <w:tcW w:w="1071" w:type="dxa"/>
          </w:tcPr>
          <w:p w:rsidR="00C21127" w:rsidRPr="0042201E" w:rsidRDefault="00474410">
            <w:pPr>
              <w:pStyle w:val="TableParagraph"/>
              <w:ind w:left="0"/>
              <w:rPr>
                <w:rFonts w:asciiTheme="minorHAnsi" w:hAnsiTheme="minorHAnsi" w:cstheme="minorHAnsi"/>
                <w:sz w:val="20"/>
              </w:rPr>
            </w:pPr>
            <w:r>
              <w:rPr>
                <w:rFonts w:asciiTheme="minorHAnsi" w:hAnsiTheme="minorHAnsi" w:cstheme="minorHAnsi"/>
                <w:sz w:val="20"/>
              </w:rPr>
              <w:t>IV</w:t>
            </w:r>
          </w:p>
        </w:tc>
        <w:tc>
          <w:tcPr>
            <w:tcW w:w="329" w:type="dxa"/>
          </w:tcPr>
          <w:p w:rsidR="00C25C0F" w:rsidRPr="00C42B6E" w:rsidRDefault="00474410" w:rsidP="00C42B6E">
            <w:pPr>
              <w:pStyle w:val="TableParagraph"/>
              <w:ind w:left="0"/>
              <w:jc w:val="center"/>
              <w:rPr>
                <w:rFonts w:asciiTheme="minorHAnsi" w:hAnsiTheme="minorHAnsi" w:cstheme="minorHAnsi"/>
              </w:rPr>
            </w:pPr>
            <w:r>
              <w:rPr>
                <w:rFonts w:asciiTheme="minorHAnsi" w:hAnsiTheme="minorHAnsi" w:cstheme="minorHAnsi"/>
              </w:rPr>
              <w:t>7</w:t>
            </w:r>
          </w:p>
        </w:tc>
      </w:tr>
      <w:tr w:rsidR="00C21127" w:rsidTr="00BB2E0C">
        <w:trPr>
          <w:trHeight w:val="1352"/>
        </w:trPr>
        <w:tc>
          <w:tcPr>
            <w:tcW w:w="502" w:type="dxa"/>
          </w:tcPr>
          <w:p w:rsidR="00C21127" w:rsidRDefault="00C402E6" w:rsidP="00C402E6">
            <w:pPr>
              <w:pStyle w:val="TableParagraph"/>
              <w:ind w:left="36" w:right="25"/>
              <w:jc w:val="center"/>
              <w:rPr>
                <w:sz w:val="20"/>
              </w:rPr>
            </w:pPr>
            <w:r>
              <w:rPr>
                <w:b/>
              </w:rPr>
              <w:t>5</w:t>
            </w:r>
            <w:r w:rsidR="00046BF8">
              <w:rPr>
                <w:b/>
              </w:rPr>
              <w:t>.</w:t>
            </w:r>
          </w:p>
        </w:tc>
        <w:tc>
          <w:tcPr>
            <w:tcW w:w="4198" w:type="dxa"/>
          </w:tcPr>
          <w:p w:rsidR="00933A13" w:rsidRPr="00C402E6" w:rsidRDefault="00933A13" w:rsidP="00C402E6">
            <w:pPr>
              <w:pStyle w:val="TableParagraph"/>
              <w:rPr>
                <w:b/>
                <w:sz w:val="20"/>
                <w:szCs w:val="20"/>
              </w:rPr>
            </w:pPr>
            <w:r w:rsidRPr="00C402E6">
              <w:rPr>
                <w:b/>
                <w:sz w:val="20"/>
                <w:szCs w:val="20"/>
              </w:rPr>
              <w:t>Page 7 of the RFP also references the SDOH Initial Screening Tool which it says can be found in the appendix; however, this tool doesn’t seem to be in the appendix. Can the DMHAS provide a copy of this tool?</w:t>
            </w:r>
          </w:p>
          <w:p w:rsidR="00C21127" w:rsidRDefault="00046BF8" w:rsidP="00C402E6">
            <w:pPr>
              <w:pStyle w:val="TableParagraph"/>
              <w:ind w:left="28"/>
              <w:rPr>
                <w:sz w:val="20"/>
              </w:rPr>
            </w:pPr>
            <w:r w:rsidRPr="00935207">
              <w:rPr>
                <w:b/>
              </w:rPr>
              <w:br/>
            </w:r>
          </w:p>
        </w:tc>
        <w:tc>
          <w:tcPr>
            <w:tcW w:w="3627" w:type="dxa"/>
          </w:tcPr>
          <w:p w:rsidR="0083490C" w:rsidRPr="008A02A1" w:rsidRDefault="008907AE" w:rsidP="00C402E6">
            <w:pPr>
              <w:pStyle w:val="TableParagraph"/>
              <w:spacing w:line="222" w:lineRule="exact"/>
              <w:rPr>
                <w:i/>
                <w:sz w:val="20"/>
              </w:rPr>
            </w:pPr>
            <w:r>
              <w:rPr>
                <w:i/>
                <w:sz w:val="20"/>
              </w:rPr>
              <w:t xml:space="preserve">The reference </w:t>
            </w:r>
            <w:r w:rsidR="00CC54F0">
              <w:rPr>
                <w:i/>
                <w:sz w:val="20"/>
              </w:rPr>
              <w:t>SDOH screening tool is attached, Q &amp;A Attachment A</w:t>
            </w:r>
          </w:p>
        </w:tc>
        <w:tc>
          <w:tcPr>
            <w:tcW w:w="1071" w:type="dxa"/>
          </w:tcPr>
          <w:p w:rsidR="00C21127" w:rsidRPr="00474410" w:rsidRDefault="00474410" w:rsidP="00C402E6">
            <w:pPr>
              <w:pStyle w:val="TableParagraph"/>
              <w:ind w:left="0"/>
              <w:rPr>
                <w:rFonts w:asciiTheme="minorHAnsi" w:hAnsiTheme="minorHAnsi" w:cstheme="minorHAnsi"/>
                <w:sz w:val="20"/>
              </w:rPr>
            </w:pPr>
            <w:r w:rsidRPr="00474410">
              <w:rPr>
                <w:rFonts w:asciiTheme="minorHAnsi" w:hAnsiTheme="minorHAnsi" w:cstheme="minorHAnsi"/>
                <w:sz w:val="20"/>
              </w:rPr>
              <w:t xml:space="preserve">IV </w:t>
            </w:r>
          </w:p>
        </w:tc>
        <w:tc>
          <w:tcPr>
            <w:tcW w:w="329" w:type="dxa"/>
          </w:tcPr>
          <w:p w:rsidR="0042201E" w:rsidRPr="00C42B6E" w:rsidRDefault="00474410" w:rsidP="00474410">
            <w:pPr>
              <w:pStyle w:val="TableParagraph"/>
              <w:ind w:left="0"/>
              <w:rPr>
                <w:rFonts w:asciiTheme="minorHAnsi" w:hAnsiTheme="minorHAnsi" w:cstheme="minorHAnsi"/>
              </w:rPr>
            </w:pPr>
            <w:r>
              <w:rPr>
                <w:rFonts w:asciiTheme="minorHAnsi" w:hAnsiTheme="minorHAnsi" w:cstheme="minorHAnsi"/>
              </w:rPr>
              <w:t>7</w:t>
            </w:r>
          </w:p>
        </w:tc>
      </w:tr>
      <w:tr w:rsidR="00C402E6" w:rsidTr="00BB2E0C">
        <w:trPr>
          <w:trHeight w:val="1352"/>
        </w:trPr>
        <w:tc>
          <w:tcPr>
            <w:tcW w:w="502" w:type="dxa"/>
          </w:tcPr>
          <w:p w:rsidR="00C402E6" w:rsidRDefault="00C402E6" w:rsidP="00C402E6">
            <w:pPr>
              <w:pStyle w:val="TableParagraph"/>
              <w:ind w:left="36" w:right="25"/>
              <w:jc w:val="center"/>
              <w:rPr>
                <w:b/>
              </w:rPr>
            </w:pPr>
            <w:r>
              <w:rPr>
                <w:b/>
              </w:rPr>
              <w:lastRenderedPageBreak/>
              <w:t>6.</w:t>
            </w:r>
          </w:p>
        </w:tc>
        <w:tc>
          <w:tcPr>
            <w:tcW w:w="4198" w:type="dxa"/>
          </w:tcPr>
          <w:p w:rsidR="00C402E6" w:rsidRPr="00086F9C" w:rsidRDefault="00C402E6" w:rsidP="00C402E6">
            <w:pPr>
              <w:pStyle w:val="NoSpacing"/>
              <w:rPr>
                <w:rFonts w:asciiTheme="minorHAnsi" w:hAnsiTheme="minorHAnsi"/>
                <w:b/>
                <w:sz w:val="20"/>
                <w:szCs w:val="20"/>
              </w:rPr>
            </w:pPr>
            <w:r w:rsidRPr="00086F9C">
              <w:rPr>
                <w:rFonts w:asciiTheme="minorHAnsi" w:hAnsiTheme="minorHAnsi"/>
                <w:b/>
                <w:sz w:val="20"/>
                <w:szCs w:val="20"/>
              </w:rPr>
              <w:t>Page 7: Is there a specific SDOH Screening Tool that should be used?</w:t>
            </w:r>
          </w:p>
          <w:p w:rsidR="00C402E6" w:rsidRPr="00C402E6" w:rsidRDefault="00C402E6" w:rsidP="00C402E6">
            <w:pPr>
              <w:pStyle w:val="TableParagraph"/>
              <w:rPr>
                <w:b/>
                <w:sz w:val="20"/>
                <w:szCs w:val="20"/>
              </w:rPr>
            </w:pPr>
          </w:p>
        </w:tc>
        <w:tc>
          <w:tcPr>
            <w:tcW w:w="3627" w:type="dxa"/>
          </w:tcPr>
          <w:p w:rsidR="00C402E6" w:rsidRPr="008A02A1" w:rsidRDefault="008907AE" w:rsidP="00C402E6">
            <w:pPr>
              <w:pStyle w:val="TableParagraph"/>
              <w:spacing w:line="222" w:lineRule="exact"/>
              <w:rPr>
                <w:i/>
                <w:sz w:val="20"/>
              </w:rPr>
            </w:pPr>
            <w:r>
              <w:rPr>
                <w:i/>
                <w:sz w:val="20"/>
              </w:rPr>
              <w:t>See t</w:t>
            </w:r>
            <w:r w:rsidR="00CC54F0">
              <w:rPr>
                <w:i/>
                <w:sz w:val="20"/>
              </w:rPr>
              <w:t>he attached SDOH screening tool, Q &amp; A Attachment A</w:t>
            </w:r>
          </w:p>
        </w:tc>
        <w:tc>
          <w:tcPr>
            <w:tcW w:w="1071" w:type="dxa"/>
          </w:tcPr>
          <w:p w:rsidR="00C402E6" w:rsidRPr="008907AE" w:rsidRDefault="008907AE" w:rsidP="00C402E6">
            <w:pPr>
              <w:pStyle w:val="TableParagraph"/>
              <w:ind w:left="0"/>
              <w:rPr>
                <w:rFonts w:asciiTheme="minorHAnsi" w:hAnsiTheme="minorHAnsi" w:cstheme="minorHAnsi"/>
                <w:sz w:val="20"/>
              </w:rPr>
            </w:pPr>
            <w:r w:rsidRPr="008907AE">
              <w:rPr>
                <w:rFonts w:asciiTheme="minorHAnsi" w:hAnsiTheme="minorHAnsi" w:cstheme="minorHAnsi"/>
                <w:sz w:val="20"/>
              </w:rPr>
              <w:t>IV</w:t>
            </w:r>
          </w:p>
        </w:tc>
        <w:tc>
          <w:tcPr>
            <w:tcW w:w="329" w:type="dxa"/>
          </w:tcPr>
          <w:p w:rsidR="00C402E6" w:rsidRPr="008907AE" w:rsidRDefault="008907AE" w:rsidP="00C402E6">
            <w:pPr>
              <w:pStyle w:val="TableParagraph"/>
              <w:ind w:left="0"/>
              <w:jc w:val="center"/>
              <w:rPr>
                <w:rFonts w:asciiTheme="minorHAnsi" w:hAnsiTheme="minorHAnsi" w:cstheme="minorHAnsi"/>
              </w:rPr>
            </w:pPr>
            <w:r w:rsidRPr="008907AE">
              <w:rPr>
                <w:rFonts w:asciiTheme="minorHAnsi" w:hAnsiTheme="minorHAnsi" w:cstheme="minorHAnsi"/>
              </w:rPr>
              <w:t>7</w:t>
            </w:r>
          </w:p>
        </w:tc>
      </w:tr>
      <w:tr w:rsidR="00C402E6" w:rsidTr="00BB2E0C">
        <w:trPr>
          <w:trHeight w:val="1352"/>
        </w:trPr>
        <w:tc>
          <w:tcPr>
            <w:tcW w:w="502" w:type="dxa"/>
          </w:tcPr>
          <w:p w:rsidR="00C402E6" w:rsidRDefault="00C402E6" w:rsidP="00C402E6">
            <w:pPr>
              <w:pStyle w:val="TableParagraph"/>
              <w:ind w:left="36" w:right="25"/>
              <w:jc w:val="center"/>
              <w:rPr>
                <w:b/>
              </w:rPr>
            </w:pPr>
            <w:r>
              <w:rPr>
                <w:b/>
              </w:rPr>
              <w:t>7.</w:t>
            </w:r>
          </w:p>
        </w:tc>
        <w:tc>
          <w:tcPr>
            <w:tcW w:w="4198" w:type="dxa"/>
          </w:tcPr>
          <w:p w:rsidR="00C402E6" w:rsidRPr="00086F9C" w:rsidRDefault="00C402E6" w:rsidP="00C402E6">
            <w:pPr>
              <w:pStyle w:val="NoSpacing"/>
              <w:rPr>
                <w:rFonts w:asciiTheme="minorHAnsi" w:hAnsiTheme="minorHAnsi"/>
                <w:b/>
                <w:sz w:val="20"/>
                <w:szCs w:val="20"/>
              </w:rPr>
            </w:pPr>
            <w:r w:rsidRPr="00086F9C">
              <w:rPr>
                <w:rFonts w:asciiTheme="minorHAnsi" w:hAnsiTheme="minorHAnsi"/>
                <w:b/>
                <w:sz w:val="20"/>
                <w:szCs w:val="20"/>
              </w:rPr>
              <w:t>Page 8: Does the qualified licensed mental health professional need to be independently licensed?</w:t>
            </w:r>
          </w:p>
          <w:p w:rsidR="00C402E6" w:rsidRPr="00086F9C" w:rsidRDefault="00C402E6" w:rsidP="00C402E6">
            <w:pPr>
              <w:pStyle w:val="NoSpacing"/>
              <w:rPr>
                <w:rFonts w:asciiTheme="minorHAnsi" w:hAnsiTheme="minorHAnsi"/>
                <w:b/>
                <w:sz w:val="20"/>
                <w:szCs w:val="20"/>
              </w:rPr>
            </w:pPr>
          </w:p>
        </w:tc>
        <w:tc>
          <w:tcPr>
            <w:tcW w:w="3627" w:type="dxa"/>
          </w:tcPr>
          <w:p w:rsidR="00C402E6" w:rsidRPr="008A02A1" w:rsidRDefault="00474410" w:rsidP="00C402E6">
            <w:pPr>
              <w:pStyle w:val="TableParagraph"/>
              <w:spacing w:line="222" w:lineRule="exact"/>
              <w:rPr>
                <w:i/>
                <w:sz w:val="20"/>
              </w:rPr>
            </w:pPr>
            <w:r>
              <w:rPr>
                <w:i/>
                <w:sz w:val="20"/>
              </w:rPr>
              <w:t>Yes,</w:t>
            </w:r>
            <w:r w:rsidR="00283E1C">
              <w:rPr>
                <w:i/>
                <w:sz w:val="20"/>
              </w:rPr>
              <w:t xml:space="preserve"> licensed mental professional means a fully clinical</w:t>
            </w:r>
            <w:r w:rsidR="008907AE">
              <w:rPr>
                <w:i/>
                <w:sz w:val="20"/>
              </w:rPr>
              <w:t>ly licensed professional, LPC, LCSW, Licensed Psychologist, etc.</w:t>
            </w:r>
          </w:p>
        </w:tc>
        <w:tc>
          <w:tcPr>
            <w:tcW w:w="1071" w:type="dxa"/>
          </w:tcPr>
          <w:p w:rsidR="00C402E6" w:rsidRPr="00283E1C" w:rsidRDefault="00283E1C" w:rsidP="00C402E6">
            <w:pPr>
              <w:pStyle w:val="TableParagraph"/>
              <w:ind w:left="0"/>
              <w:rPr>
                <w:rFonts w:asciiTheme="minorHAnsi" w:hAnsiTheme="minorHAnsi" w:cstheme="minorHAnsi"/>
                <w:sz w:val="20"/>
              </w:rPr>
            </w:pPr>
            <w:r w:rsidRPr="00283E1C">
              <w:rPr>
                <w:rFonts w:asciiTheme="minorHAnsi" w:hAnsiTheme="minorHAnsi" w:cstheme="minorHAnsi"/>
                <w:sz w:val="20"/>
              </w:rPr>
              <w:t>IV</w:t>
            </w:r>
            <w:r w:rsidR="00851EFB">
              <w:rPr>
                <w:rFonts w:asciiTheme="minorHAnsi" w:hAnsiTheme="minorHAnsi" w:cstheme="minorHAnsi"/>
                <w:sz w:val="20"/>
              </w:rPr>
              <w:t>, VII - Staffing</w:t>
            </w:r>
          </w:p>
        </w:tc>
        <w:tc>
          <w:tcPr>
            <w:tcW w:w="329" w:type="dxa"/>
          </w:tcPr>
          <w:p w:rsidR="00C402E6" w:rsidRPr="00C42B6E" w:rsidRDefault="00283E1C" w:rsidP="00C402E6">
            <w:pPr>
              <w:pStyle w:val="TableParagraph"/>
              <w:ind w:left="0"/>
              <w:jc w:val="center"/>
              <w:rPr>
                <w:rFonts w:asciiTheme="minorHAnsi" w:hAnsiTheme="minorHAnsi" w:cstheme="minorHAnsi"/>
              </w:rPr>
            </w:pPr>
            <w:r>
              <w:rPr>
                <w:rFonts w:asciiTheme="minorHAnsi" w:hAnsiTheme="minorHAnsi" w:cstheme="minorHAnsi"/>
              </w:rPr>
              <w:t>8</w:t>
            </w:r>
          </w:p>
        </w:tc>
      </w:tr>
      <w:tr w:rsidR="00C402E6" w:rsidTr="00BB2E0C">
        <w:trPr>
          <w:trHeight w:val="1352"/>
        </w:trPr>
        <w:tc>
          <w:tcPr>
            <w:tcW w:w="502" w:type="dxa"/>
          </w:tcPr>
          <w:p w:rsidR="00C402E6" w:rsidRDefault="00C402E6" w:rsidP="00C402E6">
            <w:pPr>
              <w:pStyle w:val="TableParagraph"/>
              <w:ind w:left="36" w:right="25"/>
              <w:jc w:val="center"/>
              <w:rPr>
                <w:b/>
              </w:rPr>
            </w:pPr>
            <w:r>
              <w:rPr>
                <w:b/>
              </w:rPr>
              <w:t>8.</w:t>
            </w:r>
          </w:p>
        </w:tc>
        <w:tc>
          <w:tcPr>
            <w:tcW w:w="4198" w:type="dxa"/>
          </w:tcPr>
          <w:p w:rsidR="00C402E6" w:rsidRPr="00086F9C" w:rsidRDefault="00C402E6" w:rsidP="00C402E6">
            <w:pPr>
              <w:pStyle w:val="NoSpacing"/>
              <w:rPr>
                <w:rFonts w:asciiTheme="minorHAnsi" w:hAnsiTheme="minorHAnsi"/>
                <w:b/>
                <w:sz w:val="20"/>
                <w:szCs w:val="20"/>
              </w:rPr>
            </w:pPr>
            <w:r w:rsidRPr="00086F9C">
              <w:rPr>
                <w:rFonts w:asciiTheme="minorHAnsi" w:hAnsiTheme="minorHAnsi"/>
                <w:b/>
                <w:sz w:val="20"/>
                <w:szCs w:val="20"/>
              </w:rPr>
              <w:t>Page 13: What is the level of service expected for the clients per year? Is there an anticipated number for each category listed on #8 on page 13?</w:t>
            </w:r>
          </w:p>
          <w:p w:rsidR="00C402E6" w:rsidRPr="00086F9C" w:rsidRDefault="00C402E6" w:rsidP="00C402E6">
            <w:pPr>
              <w:pStyle w:val="NoSpacing"/>
              <w:rPr>
                <w:rFonts w:asciiTheme="minorHAnsi" w:hAnsiTheme="minorHAnsi"/>
                <w:b/>
                <w:sz w:val="20"/>
                <w:szCs w:val="20"/>
              </w:rPr>
            </w:pPr>
          </w:p>
        </w:tc>
        <w:tc>
          <w:tcPr>
            <w:tcW w:w="3627" w:type="dxa"/>
          </w:tcPr>
          <w:p w:rsidR="00C402E6" w:rsidRPr="008A02A1" w:rsidRDefault="008907AE" w:rsidP="00C402E6">
            <w:pPr>
              <w:pStyle w:val="TableParagraph"/>
              <w:spacing w:line="222" w:lineRule="exact"/>
              <w:rPr>
                <w:i/>
                <w:sz w:val="20"/>
              </w:rPr>
            </w:pPr>
            <w:r>
              <w:rPr>
                <w:i/>
                <w:sz w:val="20"/>
              </w:rPr>
              <w:t xml:space="preserve">The bidder will provide information in their proposal regarding contact. </w:t>
            </w:r>
          </w:p>
        </w:tc>
        <w:tc>
          <w:tcPr>
            <w:tcW w:w="1071" w:type="dxa"/>
          </w:tcPr>
          <w:p w:rsidR="00C402E6" w:rsidRPr="008907AE" w:rsidRDefault="008907AE" w:rsidP="00C402E6">
            <w:pPr>
              <w:pStyle w:val="TableParagraph"/>
              <w:ind w:left="0"/>
              <w:rPr>
                <w:rFonts w:asciiTheme="minorHAnsi" w:hAnsiTheme="minorHAnsi" w:cstheme="minorHAnsi"/>
                <w:sz w:val="20"/>
              </w:rPr>
            </w:pPr>
            <w:r w:rsidRPr="008907AE">
              <w:rPr>
                <w:rFonts w:asciiTheme="minorHAnsi" w:hAnsiTheme="minorHAnsi" w:cstheme="minorHAnsi"/>
                <w:sz w:val="20"/>
              </w:rPr>
              <w:t>VII</w:t>
            </w:r>
          </w:p>
        </w:tc>
        <w:tc>
          <w:tcPr>
            <w:tcW w:w="329" w:type="dxa"/>
          </w:tcPr>
          <w:p w:rsidR="00C402E6" w:rsidRPr="00C42B6E" w:rsidRDefault="008907AE" w:rsidP="00C402E6">
            <w:pPr>
              <w:pStyle w:val="TableParagraph"/>
              <w:ind w:left="0"/>
              <w:jc w:val="center"/>
              <w:rPr>
                <w:rFonts w:asciiTheme="minorHAnsi" w:hAnsiTheme="minorHAnsi" w:cstheme="minorHAnsi"/>
              </w:rPr>
            </w:pPr>
            <w:r>
              <w:rPr>
                <w:rFonts w:asciiTheme="minorHAnsi" w:hAnsiTheme="minorHAnsi" w:cstheme="minorHAnsi"/>
              </w:rPr>
              <w:t>13</w:t>
            </w:r>
          </w:p>
        </w:tc>
      </w:tr>
      <w:tr w:rsidR="00C21127" w:rsidTr="00BB2E0C">
        <w:trPr>
          <w:trHeight w:val="1466"/>
        </w:trPr>
        <w:tc>
          <w:tcPr>
            <w:tcW w:w="502" w:type="dxa"/>
          </w:tcPr>
          <w:p w:rsidR="00C21127" w:rsidRDefault="00C402E6">
            <w:pPr>
              <w:pStyle w:val="TableParagraph"/>
              <w:spacing w:before="1"/>
              <w:ind w:left="9"/>
              <w:jc w:val="center"/>
              <w:rPr>
                <w:sz w:val="20"/>
              </w:rPr>
            </w:pPr>
            <w:r>
              <w:rPr>
                <w:b/>
              </w:rPr>
              <w:t>9</w:t>
            </w:r>
            <w:r w:rsidR="00046BF8">
              <w:rPr>
                <w:b/>
              </w:rPr>
              <w:t>.</w:t>
            </w:r>
          </w:p>
        </w:tc>
        <w:tc>
          <w:tcPr>
            <w:tcW w:w="4198" w:type="dxa"/>
          </w:tcPr>
          <w:p w:rsidR="00933A13" w:rsidRPr="00933A13" w:rsidRDefault="00933A13" w:rsidP="00933A13">
            <w:pPr>
              <w:pStyle w:val="TableParagraph"/>
              <w:spacing w:before="1"/>
              <w:rPr>
                <w:b/>
                <w:sz w:val="20"/>
              </w:rPr>
            </w:pPr>
            <w:r w:rsidRPr="00933A13">
              <w:rPr>
                <w:b/>
                <w:sz w:val="20"/>
              </w:rPr>
              <w:t>On Page 13 of the RFP three categories are outline in which individuals with mental illness will fall into. What would an organization’s responsibility be to individuals that fall within the following two categories? Furthermore, if these individuals don’t meet the program criteria, would an awarded organization have to explain how these individuals will be helped?</w:t>
            </w:r>
          </w:p>
          <w:p w:rsidR="00933A13" w:rsidRPr="00933A13" w:rsidRDefault="00933A13" w:rsidP="00933A13">
            <w:pPr>
              <w:pStyle w:val="TableParagraph"/>
              <w:spacing w:before="1"/>
              <w:ind w:left="28"/>
              <w:rPr>
                <w:b/>
                <w:sz w:val="20"/>
              </w:rPr>
            </w:pPr>
            <w:r w:rsidRPr="00933A13">
              <w:rPr>
                <w:b/>
                <w:sz w:val="20"/>
              </w:rPr>
              <w:t xml:space="preserve">· individuals who do not qualify to continue services with the behavioral health team or do not qualify for admission into a current or newly created voluntary mental health diversion program track integrated with the County Prosecutor’s office and the AOC/Judiciary. </w:t>
            </w:r>
          </w:p>
          <w:p w:rsidR="00933A13" w:rsidRPr="00933A13" w:rsidRDefault="00933A13" w:rsidP="00933A13">
            <w:pPr>
              <w:pStyle w:val="TableParagraph"/>
              <w:spacing w:before="1"/>
              <w:ind w:left="28"/>
              <w:rPr>
                <w:b/>
                <w:sz w:val="20"/>
              </w:rPr>
            </w:pPr>
            <w:r w:rsidRPr="00933A13">
              <w:rPr>
                <w:b/>
                <w:sz w:val="20"/>
              </w:rPr>
              <w:t>· individuals who qualify for continued services with the behavioral health team and are not admitted into a current or newly created voluntary mental health diversion program track integrated with the County Prosecutor’s office and the AOC/Judiciary.</w:t>
            </w:r>
          </w:p>
          <w:p w:rsidR="00C21127" w:rsidRPr="00046BF8" w:rsidRDefault="00C21127">
            <w:pPr>
              <w:pStyle w:val="TableParagraph"/>
              <w:spacing w:before="1"/>
              <w:ind w:left="28"/>
              <w:rPr>
                <w:b/>
                <w:sz w:val="20"/>
              </w:rPr>
            </w:pPr>
          </w:p>
        </w:tc>
        <w:tc>
          <w:tcPr>
            <w:tcW w:w="3627" w:type="dxa"/>
          </w:tcPr>
          <w:p w:rsidR="0083490C" w:rsidRPr="008A02A1" w:rsidRDefault="007B4072" w:rsidP="008A02A1">
            <w:pPr>
              <w:pStyle w:val="TableParagraph"/>
              <w:spacing w:before="1" w:line="223" w:lineRule="exact"/>
              <w:rPr>
                <w:i/>
                <w:sz w:val="20"/>
              </w:rPr>
            </w:pPr>
            <w:r>
              <w:rPr>
                <w:i/>
                <w:sz w:val="20"/>
              </w:rPr>
              <w:t>For individuals who do not meet the criteria it will be the awarded bidder who provides referral to services the individual qualifies for and provide justification clinical justification as to why the individual doesn’t meet criteria; also what services, referrals the individual is provided.</w:t>
            </w:r>
          </w:p>
        </w:tc>
        <w:tc>
          <w:tcPr>
            <w:tcW w:w="1071" w:type="dxa"/>
          </w:tcPr>
          <w:p w:rsidR="00C21127" w:rsidRDefault="007B4072">
            <w:pPr>
              <w:pStyle w:val="TableParagraph"/>
              <w:spacing w:before="1"/>
              <w:ind w:left="28" w:right="176"/>
              <w:rPr>
                <w:sz w:val="20"/>
              </w:rPr>
            </w:pPr>
            <w:r>
              <w:rPr>
                <w:sz w:val="20"/>
              </w:rPr>
              <w:t>VII</w:t>
            </w:r>
          </w:p>
        </w:tc>
        <w:tc>
          <w:tcPr>
            <w:tcW w:w="329" w:type="dxa"/>
          </w:tcPr>
          <w:p w:rsidR="0042201E" w:rsidRPr="00C42B6E" w:rsidRDefault="007B4072" w:rsidP="00C42B6E">
            <w:pPr>
              <w:pStyle w:val="TableParagraph"/>
              <w:spacing w:before="1"/>
              <w:jc w:val="center"/>
              <w:rPr>
                <w:rFonts w:asciiTheme="minorHAnsi" w:hAnsiTheme="minorHAnsi" w:cstheme="minorHAnsi"/>
              </w:rPr>
            </w:pPr>
            <w:r>
              <w:rPr>
                <w:rFonts w:asciiTheme="minorHAnsi" w:hAnsiTheme="minorHAnsi" w:cstheme="minorHAnsi"/>
              </w:rPr>
              <w:t>13</w:t>
            </w:r>
          </w:p>
        </w:tc>
      </w:tr>
      <w:tr w:rsidR="00C21127" w:rsidTr="00BB2E0C">
        <w:trPr>
          <w:trHeight w:val="1464"/>
        </w:trPr>
        <w:tc>
          <w:tcPr>
            <w:tcW w:w="502" w:type="dxa"/>
          </w:tcPr>
          <w:p w:rsidR="00C21127" w:rsidRDefault="00C402E6">
            <w:pPr>
              <w:pStyle w:val="TableParagraph"/>
              <w:spacing w:before="1"/>
              <w:ind w:left="36" w:right="25"/>
              <w:jc w:val="center"/>
              <w:rPr>
                <w:sz w:val="20"/>
              </w:rPr>
            </w:pPr>
            <w:r>
              <w:rPr>
                <w:b/>
              </w:rPr>
              <w:t>10</w:t>
            </w:r>
            <w:r w:rsidR="00046BF8">
              <w:rPr>
                <w:b/>
              </w:rPr>
              <w:t>.</w:t>
            </w:r>
          </w:p>
        </w:tc>
        <w:tc>
          <w:tcPr>
            <w:tcW w:w="4198" w:type="dxa"/>
          </w:tcPr>
          <w:p w:rsidR="00933A13" w:rsidRPr="00C402E6" w:rsidRDefault="00933A13" w:rsidP="00933A13">
            <w:pPr>
              <w:widowControl/>
              <w:autoSpaceDE/>
              <w:autoSpaceDN/>
              <w:rPr>
                <w:rFonts w:eastAsiaTheme="minorHAnsi" w:cs="Times New Roman"/>
                <w:b/>
                <w:sz w:val="20"/>
                <w:szCs w:val="20"/>
              </w:rPr>
            </w:pPr>
            <w:r w:rsidRPr="00C402E6">
              <w:rPr>
                <w:b/>
                <w:sz w:val="20"/>
                <w:szCs w:val="20"/>
              </w:rPr>
              <w:t>On Page 14 of the RFP it asks bidders to “Explain how individuals with or without a serious mental illness will be successfully linked to services identified in their SDOH initial screening.” Does this mean that even if an individual does not have a serious mental illness, organizations awarded these grant funds will be responsible for linking these individuals to services?</w:t>
            </w:r>
          </w:p>
          <w:p w:rsidR="00933A13" w:rsidRPr="00C402E6" w:rsidRDefault="00933A13" w:rsidP="00933A13">
            <w:pPr>
              <w:rPr>
                <w:b/>
                <w:sz w:val="20"/>
                <w:szCs w:val="20"/>
              </w:rPr>
            </w:pPr>
            <w:r w:rsidRPr="00C402E6">
              <w:rPr>
                <w:b/>
                <w:sz w:val="20"/>
                <w:szCs w:val="20"/>
              </w:rPr>
              <w:t> </w:t>
            </w:r>
          </w:p>
          <w:p w:rsidR="00C21127" w:rsidRPr="00C402E6" w:rsidRDefault="00C21127">
            <w:pPr>
              <w:pStyle w:val="TableParagraph"/>
              <w:spacing w:line="222" w:lineRule="exact"/>
              <w:ind w:left="28"/>
              <w:rPr>
                <w:b/>
                <w:sz w:val="20"/>
                <w:szCs w:val="20"/>
              </w:rPr>
            </w:pPr>
          </w:p>
        </w:tc>
        <w:tc>
          <w:tcPr>
            <w:tcW w:w="3627" w:type="dxa"/>
          </w:tcPr>
          <w:p w:rsidR="0083490C" w:rsidRPr="00851EFB" w:rsidRDefault="007B4072" w:rsidP="007B4072">
            <w:pPr>
              <w:pStyle w:val="TableParagraph"/>
              <w:spacing w:line="222" w:lineRule="exact"/>
              <w:rPr>
                <w:i/>
                <w:sz w:val="18"/>
              </w:rPr>
            </w:pPr>
            <w:r w:rsidRPr="00851EFB">
              <w:rPr>
                <w:i/>
                <w:sz w:val="18"/>
              </w:rPr>
              <w:t xml:space="preserve">Yes, individuals with or without an SMI, will be referred and or linked to services needed base on SDOH.  </w:t>
            </w:r>
          </w:p>
          <w:p w:rsidR="00C21127" w:rsidRPr="00851EFB" w:rsidRDefault="00C21127" w:rsidP="007B4072">
            <w:pPr>
              <w:pStyle w:val="TableParagraph"/>
              <w:spacing w:line="222" w:lineRule="exact"/>
              <w:rPr>
                <w:i/>
                <w:sz w:val="20"/>
              </w:rPr>
            </w:pPr>
          </w:p>
        </w:tc>
        <w:tc>
          <w:tcPr>
            <w:tcW w:w="1071" w:type="dxa"/>
          </w:tcPr>
          <w:p w:rsidR="00C21127" w:rsidRDefault="007B4072">
            <w:pPr>
              <w:pStyle w:val="TableParagraph"/>
              <w:spacing w:before="1"/>
              <w:ind w:left="28" w:right="16"/>
              <w:rPr>
                <w:sz w:val="20"/>
              </w:rPr>
            </w:pPr>
            <w:r>
              <w:rPr>
                <w:sz w:val="20"/>
              </w:rPr>
              <w:t>VII</w:t>
            </w:r>
          </w:p>
        </w:tc>
        <w:tc>
          <w:tcPr>
            <w:tcW w:w="329" w:type="dxa"/>
          </w:tcPr>
          <w:p w:rsidR="0042201E" w:rsidRPr="00C42B6E" w:rsidRDefault="007B4072" w:rsidP="00C42B6E">
            <w:pPr>
              <w:pStyle w:val="TableParagraph"/>
              <w:spacing w:before="1"/>
              <w:jc w:val="center"/>
              <w:rPr>
                <w:rFonts w:asciiTheme="minorHAnsi" w:hAnsiTheme="minorHAnsi" w:cstheme="minorHAnsi"/>
              </w:rPr>
            </w:pPr>
            <w:r>
              <w:rPr>
                <w:rFonts w:asciiTheme="minorHAnsi" w:hAnsiTheme="minorHAnsi" w:cstheme="minorHAnsi"/>
              </w:rPr>
              <w:t>14</w:t>
            </w:r>
          </w:p>
        </w:tc>
      </w:tr>
      <w:tr w:rsidR="00086F9C" w:rsidTr="00BB2E0C">
        <w:trPr>
          <w:trHeight w:val="1464"/>
        </w:trPr>
        <w:tc>
          <w:tcPr>
            <w:tcW w:w="502" w:type="dxa"/>
          </w:tcPr>
          <w:p w:rsidR="00086F9C" w:rsidRDefault="00086F9C">
            <w:pPr>
              <w:pStyle w:val="TableParagraph"/>
              <w:spacing w:before="1"/>
              <w:ind w:left="36" w:right="25"/>
              <w:jc w:val="center"/>
              <w:rPr>
                <w:b/>
              </w:rPr>
            </w:pPr>
            <w:r>
              <w:rPr>
                <w:b/>
              </w:rPr>
              <w:lastRenderedPageBreak/>
              <w:t>11.</w:t>
            </w:r>
          </w:p>
        </w:tc>
        <w:tc>
          <w:tcPr>
            <w:tcW w:w="4198" w:type="dxa"/>
          </w:tcPr>
          <w:p w:rsidR="00086F9C" w:rsidRPr="00086F9C" w:rsidRDefault="00086F9C" w:rsidP="00086F9C">
            <w:pPr>
              <w:pStyle w:val="NoSpacing"/>
              <w:rPr>
                <w:rFonts w:asciiTheme="minorHAnsi" w:hAnsiTheme="minorHAnsi"/>
                <w:b/>
                <w:sz w:val="20"/>
                <w:szCs w:val="20"/>
              </w:rPr>
            </w:pPr>
            <w:r w:rsidRPr="00086F9C">
              <w:rPr>
                <w:rFonts w:asciiTheme="minorHAnsi" w:hAnsiTheme="minorHAnsi"/>
                <w:b/>
                <w:sz w:val="20"/>
                <w:szCs w:val="20"/>
              </w:rPr>
              <w:t xml:space="preserve">Is telehealth permitted? </w:t>
            </w:r>
          </w:p>
          <w:p w:rsidR="00086F9C" w:rsidRPr="00086F9C" w:rsidRDefault="00086F9C" w:rsidP="00086F9C">
            <w:pPr>
              <w:pStyle w:val="NoSpacing"/>
              <w:rPr>
                <w:rFonts w:asciiTheme="minorHAnsi" w:hAnsiTheme="minorHAnsi"/>
                <w:b/>
                <w:sz w:val="20"/>
                <w:szCs w:val="20"/>
              </w:rPr>
            </w:pPr>
          </w:p>
        </w:tc>
        <w:tc>
          <w:tcPr>
            <w:tcW w:w="3627" w:type="dxa"/>
          </w:tcPr>
          <w:p w:rsidR="00086F9C" w:rsidRDefault="007B4072" w:rsidP="00933A13">
            <w:pPr>
              <w:pStyle w:val="ListParagraph"/>
              <w:widowControl/>
              <w:autoSpaceDE/>
              <w:autoSpaceDN/>
              <w:spacing w:line="259" w:lineRule="auto"/>
              <w:ind w:left="30"/>
              <w:contextualSpacing/>
              <w:rPr>
                <w:i/>
                <w:sz w:val="20"/>
              </w:rPr>
            </w:pPr>
            <w:r>
              <w:rPr>
                <w:i/>
                <w:sz w:val="20"/>
              </w:rPr>
              <w:t xml:space="preserve">The bidder will indicate in their proposal how clinical services will be provided in order to offer the best possible clinical services. </w:t>
            </w:r>
          </w:p>
        </w:tc>
        <w:tc>
          <w:tcPr>
            <w:tcW w:w="1071" w:type="dxa"/>
          </w:tcPr>
          <w:p w:rsidR="00086F9C" w:rsidRDefault="00851EFB">
            <w:pPr>
              <w:pStyle w:val="TableParagraph"/>
              <w:spacing w:before="1"/>
              <w:ind w:left="28" w:right="16"/>
              <w:rPr>
                <w:sz w:val="20"/>
              </w:rPr>
            </w:pPr>
            <w:r>
              <w:rPr>
                <w:sz w:val="20"/>
              </w:rPr>
              <w:t>VII - Narrative</w:t>
            </w:r>
          </w:p>
        </w:tc>
        <w:tc>
          <w:tcPr>
            <w:tcW w:w="329" w:type="dxa"/>
          </w:tcPr>
          <w:p w:rsidR="00086F9C" w:rsidRPr="00C42B6E" w:rsidRDefault="00086F9C" w:rsidP="00C42B6E">
            <w:pPr>
              <w:pStyle w:val="TableParagraph"/>
              <w:spacing w:before="1"/>
              <w:jc w:val="center"/>
              <w:rPr>
                <w:rFonts w:asciiTheme="minorHAnsi" w:hAnsiTheme="minorHAnsi" w:cstheme="minorHAnsi"/>
              </w:rPr>
            </w:pPr>
          </w:p>
        </w:tc>
      </w:tr>
      <w:tr w:rsidR="00086F9C" w:rsidTr="00BB2E0C">
        <w:trPr>
          <w:trHeight w:val="1464"/>
        </w:trPr>
        <w:tc>
          <w:tcPr>
            <w:tcW w:w="502" w:type="dxa"/>
          </w:tcPr>
          <w:p w:rsidR="00086F9C" w:rsidRDefault="00086F9C">
            <w:pPr>
              <w:pStyle w:val="TableParagraph"/>
              <w:spacing w:before="1"/>
              <w:ind w:left="36" w:right="25"/>
              <w:jc w:val="center"/>
              <w:rPr>
                <w:b/>
              </w:rPr>
            </w:pPr>
            <w:r>
              <w:rPr>
                <w:b/>
              </w:rPr>
              <w:t>12.</w:t>
            </w:r>
          </w:p>
        </w:tc>
        <w:tc>
          <w:tcPr>
            <w:tcW w:w="4198" w:type="dxa"/>
          </w:tcPr>
          <w:p w:rsidR="00086F9C" w:rsidRPr="00086F9C" w:rsidRDefault="00086F9C" w:rsidP="00086F9C">
            <w:pPr>
              <w:pStyle w:val="NoSpacing"/>
              <w:rPr>
                <w:rFonts w:asciiTheme="minorHAnsi" w:hAnsiTheme="minorHAnsi"/>
                <w:b/>
                <w:sz w:val="20"/>
                <w:szCs w:val="20"/>
              </w:rPr>
            </w:pPr>
            <w:r w:rsidRPr="00086F9C">
              <w:rPr>
                <w:rFonts w:asciiTheme="minorHAnsi" w:hAnsiTheme="minorHAnsi"/>
                <w:b/>
                <w:sz w:val="20"/>
                <w:szCs w:val="20"/>
              </w:rPr>
              <w:t xml:space="preserve">Will space be provided within the jail for meeting with the client prior to their release? </w:t>
            </w:r>
          </w:p>
          <w:p w:rsidR="00086F9C" w:rsidRPr="00086F9C" w:rsidRDefault="00086F9C" w:rsidP="00086F9C">
            <w:pPr>
              <w:pStyle w:val="NoSpacing"/>
              <w:rPr>
                <w:rFonts w:asciiTheme="minorHAnsi" w:hAnsiTheme="minorHAnsi"/>
                <w:b/>
                <w:sz w:val="20"/>
                <w:szCs w:val="20"/>
              </w:rPr>
            </w:pPr>
          </w:p>
        </w:tc>
        <w:tc>
          <w:tcPr>
            <w:tcW w:w="3627" w:type="dxa"/>
          </w:tcPr>
          <w:p w:rsidR="00086F9C" w:rsidRDefault="007B4072" w:rsidP="007B4072">
            <w:pPr>
              <w:pStyle w:val="ListParagraph"/>
              <w:widowControl/>
              <w:autoSpaceDE/>
              <w:autoSpaceDN/>
              <w:spacing w:line="259" w:lineRule="auto"/>
              <w:ind w:left="30"/>
              <w:contextualSpacing/>
              <w:rPr>
                <w:i/>
                <w:sz w:val="20"/>
              </w:rPr>
            </w:pPr>
            <w:r>
              <w:rPr>
                <w:i/>
                <w:sz w:val="20"/>
              </w:rPr>
              <w:t xml:space="preserve">The bidder will indicate in their proposal the steps it will take in order to operationalize this award.  </w:t>
            </w:r>
          </w:p>
        </w:tc>
        <w:tc>
          <w:tcPr>
            <w:tcW w:w="1071" w:type="dxa"/>
          </w:tcPr>
          <w:p w:rsidR="00086F9C" w:rsidRDefault="00851EFB">
            <w:pPr>
              <w:pStyle w:val="TableParagraph"/>
              <w:spacing w:before="1"/>
              <w:ind w:left="28" w:right="16"/>
              <w:rPr>
                <w:sz w:val="20"/>
              </w:rPr>
            </w:pPr>
            <w:r>
              <w:rPr>
                <w:sz w:val="20"/>
              </w:rPr>
              <w:t>VII - Narrative</w:t>
            </w:r>
          </w:p>
        </w:tc>
        <w:tc>
          <w:tcPr>
            <w:tcW w:w="329" w:type="dxa"/>
          </w:tcPr>
          <w:p w:rsidR="00086F9C" w:rsidRPr="00C42B6E" w:rsidRDefault="00086F9C" w:rsidP="00C42B6E">
            <w:pPr>
              <w:pStyle w:val="TableParagraph"/>
              <w:spacing w:before="1"/>
              <w:jc w:val="center"/>
              <w:rPr>
                <w:rFonts w:asciiTheme="minorHAnsi" w:hAnsiTheme="minorHAnsi" w:cstheme="minorHAnsi"/>
              </w:rPr>
            </w:pPr>
          </w:p>
        </w:tc>
      </w:tr>
      <w:tr w:rsidR="00086F9C" w:rsidTr="00BB2E0C">
        <w:trPr>
          <w:trHeight w:val="1464"/>
        </w:trPr>
        <w:tc>
          <w:tcPr>
            <w:tcW w:w="502" w:type="dxa"/>
          </w:tcPr>
          <w:p w:rsidR="00086F9C" w:rsidRDefault="00086F9C">
            <w:pPr>
              <w:pStyle w:val="TableParagraph"/>
              <w:spacing w:before="1"/>
              <w:ind w:left="36" w:right="25"/>
              <w:jc w:val="center"/>
              <w:rPr>
                <w:b/>
              </w:rPr>
            </w:pPr>
            <w:r>
              <w:rPr>
                <w:b/>
              </w:rPr>
              <w:t>13.</w:t>
            </w:r>
          </w:p>
        </w:tc>
        <w:tc>
          <w:tcPr>
            <w:tcW w:w="4198" w:type="dxa"/>
          </w:tcPr>
          <w:p w:rsidR="00086F9C" w:rsidRPr="00086F9C" w:rsidRDefault="00086F9C" w:rsidP="00086F9C">
            <w:pPr>
              <w:pStyle w:val="NoSpacing"/>
              <w:rPr>
                <w:rFonts w:asciiTheme="minorHAnsi" w:hAnsiTheme="minorHAnsi"/>
                <w:b/>
                <w:sz w:val="20"/>
                <w:szCs w:val="20"/>
              </w:rPr>
            </w:pPr>
            <w:r w:rsidRPr="00086F9C">
              <w:rPr>
                <w:rFonts w:asciiTheme="minorHAnsi" w:hAnsiTheme="minorHAnsi"/>
                <w:b/>
                <w:sz w:val="20"/>
                <w:szCs w:val="20"/>
              </w:rPr>
              <w:t>Is an external evaluator allowable? Is there a ceiling on the amount of funding that is permitted towards evaluation efforts?</w:t>
            </w:r>
          </w:p>
          <w:p w:rsidR="00086F9C" w:rsidRPr="00086F9C" w:rsidRDefault="00086F9C" w:rsidP="00086F9C">
            <w:pPr>
              <w:pStyle w:val="NoSpacing"/>
              <w:rPr>
                <w:rFonts w:asciiTheme="minorHAnsi" w:hAnsiTheme="minorHAnsi"/>
                <w:b/>
                <w:sz w:val="20"/>
                <w:szCs w:val="20"/>
              </w:rPr>
            </w:pPr>
          </w:p>
        </w:tc>
        <w:tc>
          <w:tcPr>
            <w:tcW w:w="3627" w:type="dxa"/>
          </w:tcPr>
          <w:p w:rsidR="00086F9C" w:rsidRDefault="007B4072" w:rsidP="00933A13">
            <w:pPr>
              <w:pStyle w:val="ListParagraph"/>
              <w:widowControl/>
              <w:autoSpaceDE/>
              <w:autoSpaceDN/>
              <w:spacing w:line="259" w:lineRule="auto"/>
              <w:ind w:left="30"/>
              <w:contextualSpacing/>
              <w:rPr>
                <w:i/>
                <w:sz w:val="20"/>
              </w:rPr>
            </w:pPr>
            <w:r>
              <w:rPr>
                <w:i/>
                <w:sz w:val="20"/>
              </w:rPr>
              <w:t>The RFP amount of funding is $1.2</w:t>
            </w:r>
            <w:r w:rsidR="00BB2E0C">
              <w:rPr>
                <w:i/>
                <w:sz w:val="20"/>
              </w:rPr>
              <w:t>5</w:t>
            </w:r>
            <w:r>
              <w:rPr>
                <w:i/>
                <w:sz w:val="20"/>
              </w:rPr>
              <w:t xml:space="preserve"> million. The bidder will indicate the total costs for their proposal in their budget. </w:t>
            </w:r>
          </w:p>
        </w:tc>
        <w:tc>
          <w:tcPr>
            <w:tcW w:w="1071" w:type="dxa"/>
          </w:tcPr>
          <w:p w:rsidR="00086F9C" w:rsidRDefault="009A2AB1">
            <w:pPr>
              <w:pStyle w:val="TableParagraph"/>
              <w:spacing w:before="1"/>
              <w:ind w:left="28" w:right="16"/>
              <w:rPr>
                <w:sz w:val="20"/>
              </w:rPr>
            </w:pPr>
            <w:r>
              <w:rPr>
                <w:sz w:val="20"/>
              </w:rPr>
              <w:t>VII</w:t>
            </w:r>
          </w:p>
        </w:tc>
        <w:tc>
          <w:tcPr>
            <w:tcW w:w="329" w:type="dxa"/>
          </w:tcPr>
          <w:p w:rsidR="00086F9C" w:rsidRPr="00C42B6E" w:rsidRDefault="009A2AB1" w:rsidP="00C42B6E">
            <w:pPr>
              <w:pStyle w:val="TableParagraph"/>
              <w:spacing w:before="1"/>
              <w:jc w:val="center"/>
              <w:rPr>
                <w:rFonts w:asciiTheme="minorHAnsi" w:hAnsiTheme="minorHAnsi" w:cstheme="minorHAnsi"/>
              </w:rPr>
            </w:pPr>
            <w:r>
              <w:rPr>
                <w:rFonts w:asciiTheme="minorHAnsi" w:hAnsiTheme="minorHAnsi" w:cstheme="minorHAnsi"/>
              </w:rPr>
              <w:t>15</w:t>
            </w:r>
          </w:p>
        </w:tc>
      </w:tr>
      <w:tr w:rsidR="00086F9C" w:rsidTr="00BB2E0C">
        <w:trPr>
          <w:trHeight w:val="1464"/>
        </w:trPr>
        <w:tc>
          <w:tcPr>
            <w:tcW w:w="502" w:type="dxa"/>
          </w:tcPr>
          <w:p w:rsidR="00086F9C" w:rsidRDefault="00086F9C">
            <w:pPr>
              <w:pStyle w:val="TableParagraph"/>
              <w:spacing w:before="1"/>
              <w:ind w:left="36" w:right="25"/>
              <w:jc w:val="center"/>
              <w:rPr>
                <w:b/>
              </w:rPr>
            </w:pPr>
            <w:r>
              <w:rPr>
                <w:b/>
              </w:rPr>
              <w:t>14.</w:t>
            </w:r>
          </w:p>
        </w:tc>
        <w:tc>
          <w:tcPr>
            <w:tcW w:w="4198" w:type="dxa"/>
          </w:tcPr>
          <w:p w:rsidR="00086F9C" w:rsidRPr="00086F9C" w:rsidRDefault="00086F9C" w:rsidP="00086F9C">
            <w:pPr>
              <w:pStyle w:val="NoSpacing"/>
              <w:rPr>
                <w:rFonts w:asciiTheme="minorHAnsi" w:hAnsiTheme="minorHAnsi"/>
                <w:b/>
                <w:sz w:val="20"/>
                <w:szCs w:val="20"/>
              </w:rPr>
            </w:pPr>
            <w:r w:rsidRPr="00086F9C">
              <w:rPr>
                <w:rFonts w:asciiTheme="minorHAnsi" w:hAnsiTheme="minorHAnsi"/>
                <w:b/>
                <w:sz w:val="20"/>
                <w:szCs w:val="20"/>
              </w:rPr>
              <w:t>How many times can you meet with the client prior to their release? How soon prior to release will the bidder know to initiate the reentry planning?</w:t>
            </w:r>
          </w:p>
          <w:p w:rsidR="00086F9C" w:rsidRPr="00086F9C" w:rsidRDefault="00086F9C" w:rsidP="00086F9C">
            <w:pPr>
              <w:pStyle w:val="NoSpacing"/>
              <w:rPr>
                <w:rFonts w:asciiTheme="minorHAnsi" w:hAnsiTheme="minorHAnsi"/>
                <w:b/>
                <w:sz w:val="20"/>
                <w:szCs w:val="20"/>
              </w:rPr>
            </w:pPr>
          </w:p>
        </w:tc>
        <w:tc>
          <w:tcPr>
            <w:tcW w:w="3627" w:type="dxa"/>
          </w:tcPr>
          <w:p w:rsidR="00086F9C" w:rsidRDefault="007B4072" w:rsidP="00852573">
            <w:pPr>
              <w:pStyle w:val="ListParagraph"/>
              <w:widowControl/>
              <w:autoSpaceDE/>
              <w:autoSpaceDN/>
              <w:spacing w:line="259" w:lineRule="auto"/>
              <w:ind w:left="30"/>
              <w:contextualSpacing/>
              <w:rPr>
                <w:i/>
                <w:sz w:val="20"/>
              </w:rPr>
            </w:pPr>
            <w:r>
              <w:rPr>
                <w:i/>
                <w:sz w:val="20"/>
              </w:rPr>
              <w:t xml:space="preserve">The </w:t>
            </w:r>
            <w:r w:rsidR="00852573">
              <w:rPr>
                <w:i/>
                <w:sz w:val="20"/>
              </w:rPr>
              <w:t>bidder, in their proposal, will indicate the interactions with the consumer</w:t>
            </w:r>
            <w:r w:rsidR="00A06D3B">
              <w:rPr>
                <w:i/>
                <w:sz w:val="20"/>
              </w:rPr>
              <w:t xml:space="preserve"> pre and post release,</w:t>
            </w:r>
            <w:r w:rsidR="00852573">
              <w:rPr>
                <w:i/>
                <w:sz w:val="20"/>
              </w:rPr>
              <w:t xml:space="preserve"> in their proposal. </w:t>
            </w:r>
          </w:p>
        </w:tc>
        <w:tc>
          <w:tcPr>
            <w:tcW w:w="1071" w:type="dxa"/>
          </w:tcPr>
          <w:p w:rsidR="00086F9C" w:rsidRDefault="009A2AB1">
            <w:pPr>
              <w:pStyle w:val="TableParagraph"/>
              <w:spacing w:before="1"/>
              <w:ind w:left="28" w:right="16"/>
              <w:rPr>
                <w:sz w:val="20"/>
              </w:rPr>
            </w:pPr>
            <w:r>
              <w:rPr>
                <w:sz w:val="20"/>
              </w:rPr>
              <w:t>VII</w:t>
            </w:r>
            <w:r w:rsidR="00760B86">
              <w:rPr>
                <w:sz w:val="20"/>
              </w:rPr>
              <w:t xml:space="preserve"> - Narrative</w:t>
            </w:r>
          </w:p>
        </w:tc>
        <w:tc>
          <w:tcPr>
            <w:tcW w:w="329" w:type="dxa"/>
          </w:tcPr>
          <w:p w:rsidR="00086F9C" w:rsidRPr="00C42B6E" w:rsidRDefault="00086F9C" w:rsidP="00C42B6E">
            <w:pPr>
              <w:pStyle w:val="TableParagraph"/>
              <w:spacing w:before="1"/>
              <w:jc w:val="center"/>
              <w:rPr>
                <w:rFonts w:asciiTheme="minorHAnsi" w:hAnsiTheme="minorHAnsi" w:cstheme="minorHAnsi"/>
              </w:rPr>
            </w:pPr>
          </w:p>
        </w:tc>
      </w:tr>
      <w:tr w:rsidR="00086F9C" w:rsidTr="00BB2E0C">
        <w:trPr>
          <w:trHeight w:val="1464"/>
        </w:trPr>
        <w:tc>
          <w:tcPr>
            <w:tcW w:w="502" w:type="dxa"/>
          </w:tcPr>
          <w:p w:rsidR="00086F9C" w:rsidRDefault="00086F9C">
            <w:pPr>
              <w:pStyle w:val="TableParagraph"/>
              <w:spacing w:before="1"/>
              <w:ind w:left="36" w:right="25"/>
              <w:jc w:val="center"/>
              <w:rPr>
                <w:b/>
              </w:rPr>
            </w:pPr>
            <w:r>
              <w:rPr>
                <w:b/>
              </w:rPr>
              <w:t>15.</w:t>
            </w:r>
          </w:p>
        </w:tc>
        <w:tc>
          <w:tcPr>
            <w:tcW w:w="4198" w:type="dxa"/>
          </w:tcPr>
          <w:p w:rsidR="00086F9C" w:rsidRPr="00086F9C" w:rsidRDefault="00086F9C" w:rsidP="00086F9C">
            <w:pPr>
              <w:pStyle w:val="NoSpacing"/>
              <w:rPr>
                <w:rFonts w:asciiTheme="minorHAnsi" w:hAnsiTheme="minorHAnsi"/>
                <w:b/>
                <w:sz w:val="20"/>
                <w:szCs w:val="20"/>
              </w:rPr>
            </w:pPr>
            <w:r w:rsidRPr="00086F9C">
              <w:rPr>
                <w:rFonts w:asciiTheme="minorHAnsi" w:hAnsiTheme="minorHAnsi"/>
                <w:b/>
                <w:sz w:val="20"/>
                <w:szCs w:val="20"/>
              </w:rPr>
              <w:t>Are client assistance funds permitted? Is there a restriction or limitation on wraparound service funding for clients? Is there a per person limit on what you can spend?</w:t>
            </w:r>
          </w:p>
          <w:p w:rsidR="00086F9C" w:rsidRPr="00086F9C" w:rsidRDefault="00086F9C" w:rsidP="00086F9C">
            <w:pPr>
              <w:pStyle w:val="NoSpacing"/>
              <w:rPr>
                <w:rFonts w:asciiTheme="minorHAnsi" w:hAnsiTheme="minorHAnsi"/>
                <w:b/>
                <w:sz w:val="20"/>
                <w:szCs w:val="20"/>
              </w:rPr>
            </w:pPr>
          </w:p>
        </w:tc>
        <w:tc>
          <w:tcPr>
            <w:tcW w:w="3627" w:type="dxa"/>
          </w:tcPr>
          <w:p w:rsidR="00086F9C" w:rsidRDefault="00852573" w:rsidP="00933A13">
            <w:pPr>
              <w:pStyle w:val="ListParagraph"/>
              <w:widowControl/>
              <w:autoSpaceDE/>
              <w:autoSpaceDN/>
              <w:spacing w:line="259" w:lineRule="auto"/>
              <w:ind w:left="30"/>
              <w:contextualSpacing/>
              <w:rPr>
                <w:i/>
                <w:sz w:val="20"/>
              </w:rPr>
            </w:pPr>
            <w:r>
              <w:rPr>
                <w:i/>
                <w:sz w:val="20"/>
              </w:rPr>
              <w:t>The bidder</w:t>
            </w:r>
            <w:r w:rsidR="00A06D3B">
              <w:rPr>
                <w:i/>
                <w:sz w:val="20"/>
              </w:rPr>
              <w:t>,</w:t>
            </w:r>
            <w:r>
              <w:rPr>
                <w:i/>
                <w:sz w:val="20"/>
              </w:rPr>
              <w:t xml:space="preserve"> in their proposed budget</w:t>
            </w:r>
            <w:r w:rsidR="00A06D3B">
              <w:rPr>
                <w:i/>
                <w:sz w:val="20"/>
              </w:rPr>
              <w:t>,</w:t>
            </w:r>
            <w:r>
              <w:rPr>
                <w:i/>
                <w:sz w:val="20"/>
              </w:rPr>
              <w:t xml:space="preserve"> will indicate any need for assistance funds. </w:t>
            </w:r>
          </w:p>
        </w:tc>
        <w:tc>
          <w:tcPr>
            <w:tcW w:w="1071" w:type="dxa"/>
          </w:tcPr>
          <w:p w:rsidR="00086F9C" w:rsidRDefault="009A2AB1">
            <w:pPr>
              <w:pStyle w:val="TableParagraph"/>
              <w:spacing w:before="1"/>
              <w:ind w:left="28" w:right="16"/>
              <w:rPr>
                <w:sz w:val="20"/>
              </w:rPr>
            </w:pPr>
            <w:r>
              <w:rPr>
                <w:sz w:val="20"/>
              </w:rPr>
              <w:t>VII</w:t>
            </w:r>
            <w:r w:rsidR="00760B86">
              <w:rPr>
                <w:sz w:val="20"/>
              </w:rPr>
              <w:t xml:space="preserve"> - Budget</w:t>
            </w:r>
          </w:p>
        </w:tc>
        <w:tc>
          <w:tcPr>
            <w:tcW w:w="329" w:type="dxa"/>
          </w:tcPr>
          <w:p w:rsidR="00086F9C" w:rsidRPr="00C42B6E" w:rsidRDefault="00086F9C" w:rsidP="00C42B6E">
            <w:pPr>
              <w:pStyle w:val="TableParagraph"/>
              <w:spacing w:before="1"/>
              <w:jc w:val="center"/>
              <w:rPr>
                <w:rFonts w:asciiTheme="minorHAnsi" w:hAnsiTheme="minorHAnsi" w:cstheme="minorHAnsi"/>
              </w:rPr>
            </w:pPr>
          </w:p>
        </w:tc>
      </w:tr>
      <w:tr w:rsidR="00086F9C" w:rsidTr="00BB2E0C">
        <w:trPr>
          <w:trHeight w:val="1464"/>
        </w:trPr>
        <w:tc>
          <w:tcPr>
            <w:tcW w:w="502" w:type="dxa"/>
          </w:tcPr>
          <w:p w:rsidR="00086F9C" w:rsidRDefault="00086F9C">
            <w:pPr>
              <w:pStyle w:val="TableParagraph"/>
              <w:spacing w:before="1"/>
              <w:ind w:left="36" w:right="25"/>
              <w:jc w:val="center"/>
              <w:rPr>
                <w:b/>
              </w:rPr>
            </w:pPr>
            <w:r>
              <w:rPr>
                <w:b/>
              </w:rPr>
              <w:t>16.</w:t>
            </w:r>
          </w:p>
        </w:tc>
        <w:tc>
          <w:tcPr>
            <w:tcW w:w="4198" w:type="dxa"/>
          </w:tcPr>
          <w:p w:rsidR="00086F9C" w:rsidRPr="00086F9C" w:rsidRDefault="00086F9C" w:rsidP="00086F9C">
            <w:pPr>
              <w:pStyle w:val="NoSpacing"/>
              <w:rPr>
                <w:rFonts w:asciiTheme="minorHAnsi" w:hAnsiTheme="minorHAnsi"/>
                <w:b/>
                <w:sz w:val="20"/>
                <w:szCs w:val="20"/>
              </w:rPr>
            </w:pPr>
            <w:r w:rsidRPr="00086F9C">
              <w:rPr>
                <w:rFonts w:asciiTheme="minorHAnsi" w:hAnsiTheme="minorHAnsi"/>
                <w:b/>
                <w:sz w:val="20"/>
                <w:szCs w:val="20"/>
              </w:rPr>
              <w:t xml:space="preserve">How do you determine when services should end for the clients? </w:t>
            </w:r>
          </w:p>
          <w:p w:rsidR="00086F9C" w:rsidRPr="00086F9C" w:rsidRDefault="00086F9C" w:rsidP="00086F9C">
            <w:pPr>
              <w:pStyle w:val="NoSpacing"/>
              <w:rPr>
                <w:rFonts w:asciiTheme="minorHAnsi" w:hAnsiTheme="minorHAnsi"/>
                <w:b/>
                <w:sz w:val="20"/>
                <w:szCs w:val="20"/>
              </w:rPr>
            </w:pPr>
          </w:p>
        </w:tc>
        <w:tc>
          <w:tcPr>
            <w:tcW w:w="3627" w:type="dxa"/>
          </w:tcPr>
          <w:p w:rsidR="00086F9C" w:rsidRDefault="00852573" w:rsidP="00933A13">
            <w:pPr>
              <w:pStyle w:val="ListParagraph"/>
              <w:widowControl/>
              <w:autoSpaceDE/>
              <w:autoSpaceDN/>
              <w:spacing w:line="259" w:lineRule="auto"/>
              <w:ind w:left="30"/>
              <w:contextualSpacing/>
              <w:rPr>
                <w:i/>
                <w:sz w:val="20"/>
              </w:rPr>
            </w:pPr>
            <w:r>
              <w:rPr>
                <w:i/>
                <w:sz w:val="20"/>
              </w:rPr>
              <w:t xml:space="preserve">The bidder, in their proposal, will indicate services and discharge for consumers. </w:t>
            </w:r>
          </w:p>
        </w:tc>
        <w:tc>
          <w:tcPr>
            <w:tcW w:w="1071" w:type="dxa"/>
          </w:tcPr>
          <w:p w:rsidR="00086F9C" w:rsidRDefault="009A2AB1">
            <w:pPr>
              <w:pStyle w:val="TableParagraph"/>
              <w:spacing w:before="1"/>
              <w:ind w:left="28" w:right="16"/>
              <w:rPr>
                <w:sz w:val="20"/>
              </w:rPr>
            </w:pPr>
            <w:r>
              <w:rPr>
                <w:sz w:val="20"/>
              </w:rPr>
              <w:t>VII</w:t>
            </w:r>
            <w:r w:rsidR="00760B86">
              <w:rPr>
                <w:sz w:val="20"/>
              </w:rPr>
              <w:t xml:space="preserve"> - Narrative</w:t>
            </w:r>
          </w:p>
        </w:tc>
        <w:tc>
          <w:tcPr>
            <w:tcW w:w="329" w:type="dxa"/>
          </w:tcPr>
          <w:p w:rsidR="00086F9C" w:rsidRPr="00C42B6E" w:rsidRDefault="00086F9C" w:rsidP="00C42B6E">
            <w:pPr>
              <w:pStyle w:val="TableParagraph"/>
              <w:spacing w:before="1"/>
              <w:jc w:val="center"/>
              <w:rPr>
                <w:rFonts w:asciiTheme="minorHAnsi" w:hAnsiTheme="minorHAnsi" w:cstheme="minorHAnsi"/>
              </w:rPr>
            </w:pPr>
          </w:p>
        </w:tc>
      </w:tr>
      <w:tr w:rsidR="00086F9C" w:rsidTr="00BB2E0C">
        <w:trPr>
          <w:trHeight w:val="1464"/>
        </w:trPr>
        <w:tc>
          <w:tcPr>
            <w:tcW w:w="502" w:type="dxa"/>
          </w:tcPr>
          <w:p w:rsidR="00086F9C" w:rsidRDefault="00086F9C">
            <w:pPr>
              <w:pStyle w:val="TableParagraph"/>
              <w:spacing w:before="1"/>
              <w:ind w:left="36" w:right="25"/>
              <w:jc w:val="center"/>
              <w:rPr>
                <w:b/>
              </w:rPr>
            </w:pPr>
            <w:r>
              <w:rPr>
                <w:b/>
              </w:rPr>
              <w:t>17.</w:t>
            </w:r>
          </w:p>
        </w:tc>
        <w:tc>
          <w:tcPr>
            <w:tcW w:w="4198" w:type="dxa"/>
          </w:tcPr>
          <w:p w:rsidR="00086F9C" w:rsidRPr="00086F9C" w:rsidRDefault="00086F9C" w:rsidP="00086F9C">
            <w:pPr>
              <w:pStyle w:val="NoSpacing"/>
              <w:rPr>
                <w:rFonts w:asciiTheme="minorHAnsi" w:hAnsiTheme="minorHAnsi"/>
                <w:b/>
                <w:sz w:val="20"/>
                <w:szCs w:val="20"/>
              </w:rPr>
            </w:pPr>
            <w:r w:rsidRPr="00086F9C">
              <w:rPr>
                <w:rFonts w:asciiTheme="minorHAnsi" w:hAnsiTheme="minorHAnsi"/>
                <w:b/>
                <w:sz w:val="20"/>
                <w:szCs w:val="20"/>
              </w:rPr>
              <w:t>Are there aftercare requirements for clients who transition out of services?</w:t>
            </w:r>
          </w:p>
          <w:p w:rsidR="00086F9C" w:rsidRPr="00086F9C" w:rsidRDefault="00086F9C" w:rsidP="00086F9C">
            <w:pPr>
              <w:pStyle w:val="NoSpacing"/>
              <w:rPr>
                <w:rFonts w:asciiTheme="minorHAnsi" w:hAnsiTheme="minorHAnsi"/>
                <w:b/>
                <w:sz w:val="20"/>
                <w:szCs w:val="20"/>
              </w:rPr>
            </w:pPr>
          </w:p>
        </w:tc>
        <w:tc>
          <w:tcPr>
            <w:tcW w:w="3627" w:type="dxa"/>
          </w:tcPr>
          <w:p w:rsidR="00086F9C" w:rsidRDefault="00852573" w:rsidP="00933A13">
            <w:pPr>
              <w:pStyle w:val="ListParagraph"/>
              <w:widowControl/>
              <w:autoSpaceDE/>
              <w:autoSpaceDN/>
              <w:spacing w:line="259" w:lineRule="auto"/>
              <w:ind w:left="30"/>
              <w:contextualSpacing/>
              <w:rPr>
                <w:i/>
                <w:sz w:val="20"/>
              </w:rPr>
            </w:pPr>
            <w:r>
              <w:rPr>
                <w:i/>
                <w:sz w:val="20"/>
              </w:rPr>
              <w:t>The bidder will indicate the follow up care for consumers in their proposal.</w:t>
            </w:r>
          </w:p>
        </w:tc>
        <w:tc>
          <w:tcPr>
            <w:tcW w:w="1071" w:type="dxa"/>
          </w:tcPr>
          <w:p w:rsidR="00086F9C" w:rsidRDefault="009A2AB1">
            <w:pPr>
              <w:pStyle w:val="TableParagraph"/>
              <w:spacing w:before="1"/>
              <w:ind w:left="28" w:right="16"/>
              <w:rPr>
                <w:sz w:val="20"/>
              </w:rPr>
            </w:pPr>
            <w:r>
              <w:rPr>
                <w:sz w:val="20"/>
              </w:rPr>
              <w:t>VII</w:t>
            </w:r>
            <w:r w:rsidR="00760B86">
              <w:rPr>
                <w:sz w:val="20"/>
              </w:rPr>
              <w:t>- Narrative</w:t>
            </w:r>
          </w:p>
        </w:tc>
        <w:tc>
          <w:tcPr>
            <w:tcW w:w="329" w:type="dxa"/>
          </w:tcPr>
          <w:p w:rsidR="00086F9C" w:rsidRPr="00C42B6E" w:rsidRDefault="00086F9C" w:rsidP="00C42B6E">
            <w:pPr>
              <w:pStyle w:val="TableParagraph"/>
              <w:spacing w:before="1"/>
              <w:jc w:val="center"/>
              <w:rPr>
                <w:rFonts w:asciiTheme="minorHAnsi" w:hAnsiTheme="minorHAnsi" w:cstheme="minorHAnsi"/>
              </w:rPr>
            </w:pPr>
          </w:p>
        </w:tc>
      </w:tr>
      <w:tr w:rsidR="000F44CA" w:rsidTr="00BB2E0C">
        <w:trPr>
          <w:trHeight w:val="1464"/>
        </w:trPr>
        <w:tc>
          <w:tcPr>
            <w:tcW w:w="502" w:type="dxa"/>
          </w:tcPr>
          <w:p w:rsidR="000F44CA" w:rsidRDefault="005D14F7">
            <w:pPr>
              <w:pStyle w:val="TableParagraph"/>
              <w:spacing w:before="1"/>
              <w:ind w:left="36" w:right="25"/>
              <w:jc w:val="center"/>
              <w:rPr>
                <w:b/>
              </w:rPr>
            </w:pPr>
            <w:r>
              <w:rPr>
                <w:b/>
              </w:rPr>
              <w:t>18.</w:t>
            </w:r>
          </w:p>
        </w:tc>
        <w:tc>
          <w:tcPr>
            <w:tcW w:w="4198" w:type="dxa"/>
          </w:tcPr>
          <w:p w:rsidR="005D14F7" w:rsidRPr="005D14F7" w:rsidRDefault="005D14F7" w:rsidP="005D14F7">
            <w:pPr>
              <w:widowControl/>
              <w:autoSpaceDE/>
              <w:autoSpaceDN/>
              <w:rPr>
                <w:rFonts w:eastAsia="Times New Roman" w:cs="Times New Roman"/>
                <w:b/>
                <w:sz w:val="20"/>
                <w:szCs w:val="20"/>
              </w:rPr>
            </w:pPr>
            <w:r w:rsidRPr="00BB2E0C">
              <w:rPr>
                <w:rFonts w:eastAsia="Times New Roman"/>
                <w:b/>
                <w:sz w:val="20"/>
                <w:szCs w:val="20"/>
              </w:rPr>
              <w:t>How many individuals are estimated to be screened in each county (Camden, Middlesex, Essex)? Of those, is there an estimate of how many are anticipated to volunteer for a full assessment and treatment?</w:t>
            </w:r>
          </w:p>
          <w:p w:rsidR="000F44CA" w:rsidRPr="00086F9C" w:rsidRDefault="000F44CA" w:rsidP="00086F9C">
            <w:pPr>
              <w:pStyle w:val="NoSpacing"/>
              <w:rPr>
                <w:rFonts w:asciiTheme="minorHAnsi" w:hAnsiTheme="minorHAnsi"/>
                <w:b/>
                <w:sz w:val="20"/>
                <w:szCs w:val="20"/>
              </w:rPr>
            </w:pPr>
          </w:p>
        </w:tc>
        <w:tc>
          <w:tcPr>
            <w:tcW w:w="3627" w:type="dxa"/>
          </w:tcPr>
          <w:p w:rsidR="000F44CA" w:rsidRDefault="00BB2E0C" w:rsidP="00BB2E0C">
            <w:pPr>
              <w:pStyle w:val="ListParagraph"/>
              <w:widowControl/>
              <w:autoSpaceDE/>
              <w:autoSpaceDN/>
              <w:spacing w:line="259" w:lineRule="auto"/>
              <w:ind w:left="30"/>
              <w:contextualSpacing/>
              <w:jc w:val="center"/>
              <w:rPr>
                <w:i/>
                <w:sz w:val="20"/>
              </w:rPr>
            </w:pPr>
            <w:r>
              <w:rPr>
                <w:i/>
                <w:sz w:val="20"/>
              </w:rPr>
              <w:t xml:space="preserve">Bidder will </w:t>
            </w:r>
            <w:r w:rsidR="00A06D3B">
              <w:rPr>
                <w:i/>
                <w:sz w:val="20"/>
              </w:rPr>
              <w:t xml:space="preserve">create a relationship with the </w:t>
            </w:r>
            <w:r>
              <w:rPr>
                <w:i/>
                <w:sz w:val="20"/>
              </w:rPr>
              <w:t xml:space="preserve">local criminal justice entities </w:t>
            </w:r>
            <w:r w:rsidR="00A06D3B">
              <w:rPr>
                <w:i/>
                <w:sz w:val="20"/>
              </w:rPr>
              <w:t>to secure this information.</w:t>
            </w:r>
          </w:p>
        </w:tc>
        <w:tc>
          <w:tcPr>
            <w:tcW w:w="1071" w:type="dxa"/>
          </w:tcPr>
          <w:p w:rsidR="000F44CA" w:rsidRDefault="000F44CA">
            <w:pPr>
              <w:pStyle w:val="TableParagraph"/>
              <w:spacing w:before="1"/>
              <w:ind w:left="28" w:right="16"/>
              <w:rPr>
                <w:sz w:val="20"/>
              </w:rPr>
            </w:pPr>
          </w:p>
        </w:tc>
        <w:tc>
          <w:tcPr>
            <w:tcW w:w="329" w:type="dxa"/>
          </w:tcPr>
          <w:p w:rsidR="000F44CA" w:rsidRPr="00C42B6E" w:rsidRDefault="000F44CA" w:rsidP="00C42B6E">
            <w:pPr>
              <w:pStyle w:val="TableParagraph"/>
              <w:spacing w:before="1"/>
              <w:jc w:val="center"/>
              <w:rPr>
                <w:rFonts w:asciiTheme="minorHAnsi" w:hAnsiTheme="minorHAnsi" w:cstheme="minorHAnsi"/>
              </w:rPr>
            </w:pPr>
          </w:p>
        </w:tc>
      </w:tr>
      <w:tr w:rsidR="000F44CA" w:rsidTr="00BB2E0C">
        <w:trPr>
          <w:trHeight w:val="1464"/>
        </w:trPr>
        <w:tc>
          <w:tcPr>
            <w:tcW w:w="502" w:type="dxa"/>
          </w:tcPr>
          <w:p w:rsidR="000F44CA" w:rsidRDefault="005D14F7">
            <w:pPr>
              <w:pStyle w:val="TableParagraph"/>
              <w:spacing w:before="1"/>
              <w:ind w:left="36" w:right="25"/>
              <w:jc w:val="center"/>
              <w:rPr>
                <w:b/>
              </w:rPr>
            </w:pPr>
            <w:r>
              <w:rPr>
                <w:b/>
              </w:rPr>
              <w:lastRenderedPageBreak/>
              <w:t>19</w:t>
            </w:r>
            <w:r w:rsidR="000F44CA">
              <w:rPr>
                <w:b/>
              </w:rPr>
              <w:t>.</w:t>
            </w:r>
          </w:p>
        </w:tc>
        <w:tc>
          <w:tcPr>
            <w:tcW w:w="4198" w:type="dxa"/>
          </w:tcPr>
          <w:p w:rsidR="005D14F7" w:rsidRPr="005D14F7" w:rsidRDefault="005D14F7" w:rsidP="005D14F7">
            <w:pPr>
              <w:widowControl/>
              <w:autoSpaceDE/>
              <w:autoSpaceDN/>
              <w:rPr>
                <w:rFonts w:eastAsia="Times New Roman" w:cs="Times New Roman"/>
                <w:b/>
                <w:sz w:val="20"/>
                <w:szCs w:val="20"/>
              </w:rPr>
            </w:pPr>
            <w:r w:rsidRPr="005D14F7">
              <w:rPr>
                <w:rFonts w:eastAsia="Times New Roman"/>
                <w:b/>
                <w:sz w:val="20"/>
                <w:szCs w:val="20"/>
              </w:rPr>
              <w:t xml:space="preserve">If applying for all three counties, Camden, Middlesex, and Essex (1.25M, or $416,667 per county), would each county need its own supervisor, licensed clinician, peer, and case coordinator?  Can the grantee decide the staffing structure? </w:t>
            </w:r>
          </w:p>
          <w:p w:rsidR="000F44CA" w:rsidRPr="00086F9C" w:rsidRDefault="000F44CA" w:rsidP="00086F9C">
            <w:pPr>
              <w:pStyle w:val="NoSpacing"/>
              <w:rPr>
                <w:rFonts w:asciiTheme="minorHAnsi" w:hAnsiTheme="minorHAnsi"/>
                <w:b/>
                <w:sz w:val="20"/>
                <w:szCs w:val="20"/>
              </w:rPr>
            </w:pPr>
          </w:p>
        </w:tc>
        <w:tc>
          <w:tcPr>
            <w:tcW w:w="3627" w:type="dxa"/>
          </w:tcPr>
          <w:p w:rsidR="000F44CA" w:rsidRDefault="00852573" w:rsidP="00933A13">
            <w:pPr>
              <w:pStyle w:val="ListParagraph"/>
              <w:widowControl/>
              <w:autoSpaceDE/>
              <w:autoSpaceDN/>
              <w:spacing w:line="259" w:lineRule="auto"/>
              <w:ind w:left="30"/>
              <w:contextualSpacing/>
              <w:rPr>
                <w:i/>
                <w:sz w:val="20"/>
              </w:rPr>
            </w:pPr>
            <w:r>
              <w:rPr>
                <w:i/>
                <w:sz w:val="20"/>
              </w:rPr>
              <w:t xml:space="preserve">The Bidder will determine the budget for each county they are applying too. A proposal for each county is required.  The RFP lists the staffing structure for this initiative. Bidders will propose how staffing structure will operate. </w:t>
            </w:r>
          </w:p>
        </w:tc>
        <w:tc>
          <w:tcPr>
            <w:tcW w:w="1071" w:type="dxa"/>
          </w:tcPr>
          <w:p w:rsidR="000F44CA" w:rsidRDefault="009A2AB1">
            <w:pPr>
              <w:pStyle w:val="TableParagraph"/>
              <w:spacing w:before="1"/>
              <w:ind w:left="28" w:right="16"/>
              <w:rPr>
                <w:sz w:val="20"/>
              </w:rPr>
            </w:pPr>
            <w:r>
              <w:rPr>
                <w:sz w:val="20"/>
              </w:rPr>
              <w:t>I</w:t>
            </w:r>
            <w:r w:rsidR="009D49B2">
              <w:rPr>
                <w:sz w:val="20"/>
              </w:rPr>
              <w:t>, VII</w:t>
            </w:r>
            <w:bookmarkStart w:id="0" w:name="_GoBack"/>
            <w:bookmarkEnd w:id="0"/>
            <w:r w:rsidR="00760B86">
              <w:rPr>
                <w:sz w:val="20"/>
              </w:rPr>
              <w:t xml:space="preserve"> - Budget</w:t>
            </w:r>
          </w:p>
        </w:tc>
        <w:tc>
          <w:tcPr>
            <w:tcW w:w="329" w:type="dxa"/>
          </w:tcPr>
          <w:p w:rsidR="000F44CA" w:rsidRPr="00C42B6E" w:rsidRDefault="000F44CA" w:rsidP="00C42B6E">
            <w:pPr>
              <w:pStyle w:val="TableParagraph"/>
              <w:spacing w:before="1"/>
              <w:jc w:val="center"/>
              <w:rPr>
                <w:rFonts w:asciiTheme="minorHAnsi" w:hAnsiTheme="minorHAnsi" w:cstheme="minorHAnsi"/>
              </w:rPr>
            </w:pPr>
          </w:p>
        </w:tc>
      </w:tr>
      <w:tr w:rsidR="005D14F7" w:rsidTr="00BB2E0C">
        <w:trPr>
          <w:trHeight w:val="1464"/>
        </w:trPr>
        <w:tc>
          <w:tcPr>
            <w:tcW w:w="502" w:type="dxa"/>
          </w:tcPr>
          <w:p w:rsidR="005D14F7" w:rsidRDefault="005D14F7">
            <w:pPr>
              <w:pStyle w:val="TableParagraph"/>
              <w:spacing w:before="1"/>
              <w:ind w:left="36" w:right="25"/>
              <w:jc w:val="center"/>
              <w:rPr>
                <w:b/>
              </w:rPr>
            </w:pPr>
            <w:r>
              <w:rPr>
                <w:b/>
              </w:rPr>
              <w:t>20.</w:t>
            </w:r>
          </w:p>
        </w:tc>
        <w:tc>
          <w:tcPr>
            <w:tcW w:w="4198" w:type="dxa"/>
          </w:tcPr>
          <w:p w:rsidR="005D14F7" w:rsidRPr="005D14F7" w:rsidRDefault="005D14F7" w:rsidP="005D14F7">
            <w:pPr>
              <w:widowControl/>
              <w:autoSpaceDE/>
              <w:autoSpaceDN/>
              <w:rPr>
                <w:rFonts w:eastAsia="Times New Roman" w:cs="Times New Roman"/>
                <w:b/>
                <w:sz w:val="20"/>
                <w:szCs w:val="20"/>
              </w:rPr>
            </w:pPr>
            <w:r w:rsidRPr="005D14F7">
              <w:rPr>
                <w:rFonts w:eastAsia="Times New Roman"/>
                <w:b/>
                <w:sz w:val="20"/>
                <w:szCs w:val="20"/>
              </w:rPr>
              <w:t>Can the contractor provide a comprehensive behavioral health assessment within 72 hours with fully licensed clinicians (LPC, LCSW, Etc.) even if the contractor is not a DOH licensed provider? (Upon completion of the behavioral health assessment, the contractor would refer to an appropriate level of care at a DOH licensed mental health and/or co-occurring treatment provider based on the results of the assessment.)</w:t>
            </w:r>
          </w:p>
          <w:p w:rsidR="005D14F7" w:rsidRPr="005D14F7" w:rsidRDefault="005D14F7" w:rsidP="005D14F7">
            <w:pPr>
              <w:widowControl/>
              <w:autoSpaceDE/>
              <w:autoSpaceDN/>
              <w:rPr>
                <w:rFonts w:eastAsia="Times New Roman"/>
                <w:b/>
                <w:sz w:val="20"/>
                <w:szCs w:val="20"/>
              </w:rPr>
            </w:pPr>
          </w:p>
        </w:tc>
        <w:tc>
          <w:tcPr>
            <w:tcW w:w="3627" w:type="dxa"/>
          </w:tcPr>
          <w:p w:rsidR="005D14F7" w:rsidRDefault="00852573" w:rsidP="00933A13">
            <w:pPr>
              <w:pStyle w:val="ListParagraph"/>
              <w:widowControl/>
              <w:autoSpaceDE/>
              <w:autoSpaceDN/>
              <w:spacing w:line="259" w:lineRule="auto"/>
              <w:ind w:left="30"/>
              <w:contextualSpacing/>
              <w:rPr>
                <w:i/>
                <w:sz w:val="20"/>
              </w:rPr>
            </w:pPr>
            <w:r>
              <w:rPr>
                <w:i/>
                <w:sz w:val="20"/>
              </w:rPr>
              <w:t xml:space="preserve">The bidder will reflect in their proposal who assessments will be completed and reflect in their budgets necessary consultants. </w:t>
            </w:r>
          </w:p>
        </w:tc>
        <w:tc>
          <w:tcPr>
            <w:tcW w:w="1071" w:type="dxa"/>
          </w:tcPr>
          <w:p w:rsidR="005D14F7" w:rsidRDefault="009A2AB1">
            <w:pPr>
              <w:pStyle w:val="TableParagraph"/>
              <w:spacing w:before="1"/>
              <w:ind w:left="28" w:right="16"/>
              <w:rPr>
                <w:sz w:val="20"/>
              </w:rPr>
            </w:pPr>
            <w:r>
              <w:rPr>
                <w:sz w:val="20"/>
              </w:rPr>
              <w:t>V</w:t>
            </w:r>
            <w:r w:rsidR="00760B86">
              <w:rPr>
                <w:sz w:val="20"/>
              </w:rPr>
              <w:t>, VII -Budget</w:t>
            </w:r>
          </w:p>
        </w:tc>
        <w:tc>
          <w:tcPr>
            <w:tcW w:w="329" w:type="dxa"/>
          </w:tcPr>
          <w:p w:rsidR="005D14F7" w:rsidRPr="00C42B6E" w:rsidRDefault="005D14F7" w:rsidP="00760B86">
            <w:pPr>
              <w:pStyle w:val="TableParagraph"/>
              <w:spacing w:before="1"/>
              <w:rPr>
                <w:rFonts w:asciiTheme="minorHAnsi" w:hAnsiTheme="minorHAnsi" w:cstheme="minorHAnsi"/>
              </w:rPr>
            </w:pPr>
          </w:p>
        </w:tc>
      </w:tr>
      <w:tr w:rsidR="005D14F7" w:rsidTr="00BB2E0C">
        <w:trPr>
          <w:trHeight w:val="1464"/>
        </w:trPr>
        <w:tc>
          <w:tcPr>
            <w:tcW w:w="502" w:type="dxa"/>
          </w:tcPr>
          <w:p w:rsidR="005D14F7" w:rsidRDefault="005D14F7">
            <w:pPr>
              <w:pStyle w:val="TableParagraph"/>
              <w:spacing w:before="1"/>
              <w:ind w:left="36" w:right="25"/>
              <w:jc w:val="center"/>
              <w:rPr>
                <w:b/>
              </w:rPr>
            </w:pPr>
            <w:r>
              <w:rPr>
                <w:b/>
              </w:rPr>
              <w:t>21.</w:t>
            </w:r>
          </w:p>
        </w:tc>
        <w:tc>
          <w:tcPr>
            <w:tcW w:w="4198" w:type="dxa"/>
          </w:tcPr>
          <w:p w:rsidR="005D14F7" w:rsidRPr="005D14F7" w:rsidRDefault="005D14F7" w:rsidP="005D14F7">
            <w:pPr>
              <w:widowControl/>
              <w:autoSpaceDE/>
              <w:autoSpaceDN/>
              <w:rPr>
                <w:rFonts w:eastAsia="Times New Roman" w:cs="Times New Roman"/>
                <w:b/>
                <w:sz w:val="20"/>
                <w:szCs w:val="20"/>
              </w:rPr>
            </w:pPr>
            <w:r w:rsidRPr="005D14F7">
              <w:rPr>
                <w:rFonts w:eastAsia="Times New Roman"/>
                <w:b/>
                <w:sz w:val="20"/>
                <w:szCs w:val="20"/>
              </w:rPr>
              <w:t>Upon notification of a grant award, when will upfront funds be available for recruitment costs?</w:t>
            </w:r>
          </w:p>
          <w:p w:rsidR="005D14F7" w:rsidRPr="005D14F7" w:rsidRDefault="005D14F7" w:rsidP="005D14F7">
            <w:pPr>
              <w:widowControl/>
              <w:autoSpaceDE/>
              <w:autoSpaceDN/>
              <w:rPr>
                <w:rFonts w:eastAsia="Times New Roman"/>
                <w:b/>
                <w:sz w:val="20"/>
                <w:szCs w:val="20"/>
              </w:rPr>
            </w:pPr>
          </w:p>
        </w:tc>
        <w:tc>
          <w:tcPr>
            <w:tcW w:w="3627" w:type="dxa"/>
          </w:tcPr>
          <w:p w:rsidR="005D14F7" w:rsidRDefault="00852573" w:rsidP="00933A13">
            <w:pPr>
              <w:pStyle w:val="ListParagraph"/>
              <w:widowControl/>
              <w:autoSpaceDE/>
              <w:autoSpaceDN/>
              <w:spacing w:line="259" w:lineRule="auto"/>
              <w:ind w:left="30"/>
              <w:contextualSpacing/>
              <w:rPr>
                <w:i/>
                <w:sz w:val="20"/>
              </w:rPr>
            </w:pPr>
            <w:r>
              <w:rPr>
                <w:i/>
                <w:sz w:val="20"/>
              </w:rPr>
              <w:t xml:space="preserve">The awards are </w:t>
            </w:r>
            <w:r w:rsidR="00A06D3B">
              <w:rPr>
                <w:i/>
                <w:sz w:val="20"/>
              </w:rPr>
              <w:t xml:space="preserve">done in two steps; there’s a preliminary notice of award, an appeal process, then final awards from the Assistant Commissioner; then contract negotiations and then funds are finalized and usable. </w:t>
            </w:r>
          </w:p>
        </w:tc>
        <w:tc>
          <w:tcPr>
            <w:tcW w:w="1071" w:type="dxa"/>
          </w:tcPr>
          <w:p w:rsidR="005D14F7" w:rsidRDefault="009A2AB1">
            <w:pPr>
              <w:pStyle w:val="TableParagraph"/>
              <w:spacing w:before="1"/>
              <w:ind w:left="28" w:right="16"/>
              <w:rPr>
                <w:sz w:val="20"/>
              </w:rPr>
            </w:pPr>
            <w:r>
              <w:rPr>
                <w:sz w:val="20"/>
              </w:rPr>
              <w:t>V</w:t>
            </w:r>
            <w:r w:rsidR="00760B86">
              <w:rPr>
                <w:sz w:val="20"/>
              </w:rPr>
              <w:t>, IX</w:t>
            </w:r>
          </w:p>
        </w:tc>
        <w:tc>
          <w:tcPr>
            <w:tcW w:w="329" w:type="dxa"/>
          </w:tcPr>
          <w:p w:rsidR="005D14F7" w:rsidRPr="00C42B6E" w:rsidRDefault="005D14F7" w:rsidP="00760B86">
            <w:pPr>
              <w:pStyle w:val="TableParagraph"/>
              <w:spacing w:before="1"/>
              <w:rPr>
                <w:rFonts w:asciiTheme="minorHAnsi" w:hAnsiTheme="minorHAnsi" w:cstheme="minorHAnsi"/>
              </w:rPr>
            </w:pPr>
          </w:p>
        </w:tc>
      </w:tr>
    </w:tbl>
    <w:p w:rsidR="003D0BC4" w:rsidRDefault="003D0BC4"/>
    <w:sectPr w:rsidR="003D0BC4" w:rsidSect="009B59CF">
      <w:headerReference w:type="default" r:id="rId8"/>
      <w:footerReference w:type="default" r:id="rId9"/>
      <w:type w:val="continuous"/>
      <w:pgSz w:w="12240" w:h="15840"/>
      <w:pgMar w:top="1620" w:right="1140" w:bottom="920" w:left="1140" w:header="662" w:footer="73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92E" w:rsidRDefault="0013592E">
      <w:r>
        <w:separator/>
      </w:r>
    </w:p>
  </w:endnote>
  <w:endnote w:type="continuationSeparator" w:id="0">
    <w:p w:rsidR="0013592E" w:rsidRDefault="00135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127" w:rsidRDefault="00016DFD">
    <w:pPr>
      <w:pStyle w:val="BodyText"/>
      <w:spacing w:line="14" w:lineRule="auto"/>
      <w:rPr>
        <w:sz w:val="20"/>
      </w:rPr>
    </w:pPr>
    <w:r>
      <w:rPr>
        <w:noProof/>
      </w:rPr>
      <mc:AlternateContent>
        <mc:Choice Requires="wps">
          <w:drawing>
            <wp:anchor distT="0" distB="0" distL="114300" distR="114300" simplePos="0" relativeHeight="486898688" behindDoc="1" locked="0" layoutInCell="1" allowOverlap="1">
              <wp:simplePos x="0" y="0"/>
              <wp:positionH relativeFrom="page">
                <wp:posOffset>3560445</wp:posOffset>
              </wp:positionH>
              <wp:positionV relativeFrom="page">
                <wp:posOffset>9449435</wp:posOffset>
              </wp:positionV>
              <wp:extent cx="653415" cy="165735"/>
              <wp:effectExtent l="0" t="0" r="0" b="0"/>
              <wp:wrapNone/>
              <wp:docPr id="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127" w:rsidRDefault="003D0BC4">
                          <w:pPr>
                            <w:spacing w:line="245" w:lineRule="exact"/>
                            <w:ind w:left="20"/>
                            <w:rPr>
                              <w:b/>
                            </w:rPr>
                          </w:pPr>
                          <w:r>
                            <w:t>Page</w:t>
                          </w:r>
                          <w:r>
                            <w:rPr>
                              <w:spacing w:val="-1"/>
                            </w:rPr>
                            <w:t xml:space="preserve"> </w:t>
                          </w:r>
                          <w:r>
                            <w:rPr>
                              <w:b/>
                            </w:rPr>
                            <w:fldChar w:fldCharType="begin"/>
                          </w:r>
                          <w:r>
                            <w:rPr>
                              <w:b/>
                            </w:rPr>
                            <w:instrText xml:space="preserve"> PAGE </w:instrText>
                          </w:r>
                          <w:r>
                            <w:rPr>
                              <w:b/>
                            </w:rPr>
                            <w:fldChar w:fldCharType="separate"/>
                          </w:r>
                          <w:r w:rsidR="009D49B2">
                            <w:rPr>
                              <w:b/>
                              <w:noProof/>
                            </w:rPr>
                            <w:t>3</w:t>
                          </w:r>
                          <w:r>
                            <w:rPr>
                              <w:b/>
                            </w:rPr>
                            <w:fldChar w:fldCharType="end"/>
                          </w:r>
                          <w:r>
                            <w:rPr>
                              <w:b/>
                              <w:spacing w:val="-1"/>
                            </w:rPr>
                            <w:t xml:space="preserve"> </w:t>
                          </w:r>
                          <w:r>
                            <w:t>of</w:t>
                          </w:r>
                          <w:r>
                            <w:rPr>
                              <w:spacing w:val="-2"/>
                            </w:rPr>
                            <w:t xml:space="preserve"> </w:t>
                          </w:r>
                          <w:r>
                            <w:rPr>
                              <w:b/>
                              <w:spacing w:val="-10"/>
                            </w:rPr>
                            <w:fldChar w:fldCharType="begin"/>
                          </w:r>
                          <w:r>
                            <w:rPr>
                              <w:b/>
                              <w:spacing w:val="-10"/>
                            </w:rPr>
                            <w:instrText xml:space="preserve"> NUMPAGES </w:instrText>
                          </w:r>
                          <w:r>
                            <w:rPr>
                              <w:b/>
                              <w:spacing w:val="-10"/>
                            </w:rPr>
                            <w:fldChar w:fldCharType="separate"/>
                          </w:r>
                          <w:r w:rsidR="009D49B2">
                            <w:rPr>
                              <w:b/>
                              <w:noProof/>
                              <w:spacing w:val="-10"/>
                            </w:rPr>
                            <w:t>4</w:t>
                          </w:r>
                          <w:r>
                            <w:rPr>
                              <w:b/>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 o:spid="_x0000_s1028" type="#_x0000_t202" style="position:absolute;margin-left:280.35pt;margin-top:744.05pt;width:51.45pt;height:13.05pt;z-index:-1641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w4ArgIAAK4FAAAOAAAAZHJzL2Uyb0RvYy54bWysVNuOmzAQfa/Uf7D8znIJkICWVLshVJW2&#10;F2nbD3DABKtgU9sJbKv+e8cmZLO7qlS15cEa7PGZOTPHc/1m7Fp0pFIxwTPsX3kYUV6KivF9hr98&#10;LpwVRkoTXpFWcJrhB6rwm/XrV9dDn9JANKKtqEQAwlU69BlutO5T11VlQzuirkRPORzWQnZEw6/c&#10;u5UkA6B3rRt4XuwOQla9FCVVCnbz6RCvLX5d01J/rGtFNWozDLlpu0q77szqrq9Jupekb1h5SoP8&#10;RRYdYRyCnqFyogk6SPYCqmOlFErU+qoUnSvqmpXUcgA2vveMzX1Demq5QHFUfy6T+n+w5YfjJ4lY&#10;Bb3DiJMOWlSJUpnAC1OcoVcp+Nz34KXHWzEaR0NU9Xei/KoQF5uG8D29kVIMDSUVJOebm+7F1QlH&#10;GZDd8F5UEIUctLBAYy07Awi1QIAOTXo4N4aOGpWwGUeL0I8wKuHIj6PlIrIRSDpf7qXSb6nokDEy&#10;LKHvFpwc75Q2yZB0djGxuChY29ret/zJBjhOOxAarpozk4Rt5Y/ES7ar7Sp0wiDeOqGX585NsQmd&#10;uPCXUb7IN5vc/2ni+mHasKqi3ISZZeWHf9a2k8AnQZyFpUTLKgNnUlJyv9u0Eh0JyLqw36kgF27u&#10;0zRsEYDLM0p+EHq3QeIU8WrphEUYOcnSWzmen9wmsRcmYV48pXTHOP13SmjIcBIF0aSl33Lz7PeS&#10;G0k7pmFwtKzL8OrsRFKjwC2vbGs1Ye1kX5TCpP9YCmj33GirVyPRSax63I32XQQmutHyTlQPIGAp&#10;QGCgUhh6YDRCfsdogAGSYfXtQCTFqH3H4RGYaTMbcjZ2s0F4CVczrDGazI2eptKhl2zfAPL0zLi4&#10;gYdSMyvixyxOzwuGguVyGmBm6lz+W6/HMbv+BQAA//8DAFBLAwQUAAYACAAAACEAhdSNQOIAAAAN&#10;AQAADwAAAGRycy9kb3ducmV2LnhtbEyPwU7DMAyG70i8Q2Qkbizp2EIpTacJwQkJrSsHjmmTtdUa&#10;pzTZVt4ec4Kj/X/6/TnfzG5gZzuF3qOCZCGAWWy86bFV8FG93qXAQtRo9ODRKvi2ATbF9VWuM+Mv&#10;WNrzPraMSjBkWkEX45hxHprOOh0WfrRI2cFPTkcap5abSV+o3A18KYTkTvdIFzo92ufONsf9ySnY&#10;fmL50n+917vyUPZV9SjwTR6Vur2Zt0/Aop3jHwy/+qQOBTnV/oQmsEHBWooHQilYpWkCjBAp7yWw&#10;mlbrZLUEXuT8/xfFDwAAAP//AwBQSwECLQAUAAYACAAAACEAtoM4kv4AAADhAQAAEwAAAAAAAAAA&#10;AAAAAAAAAAAAW0NvbnRlbnRfVHlwZXNdLnhtbFBLAQItABQABgAIAAAAIQA4/SH/1gAAAJQBAAAL&#10;AAAAAAAAAAAAAAAAAC8BAABfcmVscy8ucmVsc1BLAQItABQABgAIAAAAIQCixw4ArgIAAK4FAAAO&#10;AAAAAAAAAAAAAAAAAC4CAABkcnMvZTJvRG9jLnhtbFBLAQItABQABgAIAAAAIQCF1I1A4gAAAA0B&#10;AAAPAAAAAAAAAAAAAAAAAAgFAABkcnMvZG93bnJldi54bWxQSwUGAAAAAAQABADzAAAAFwYAAAAA&#10;" filled="f" stroked="f">
              <v:textbox inset="0,0,0,0">
                <w:txbxContent>
                  <w:p w:rsidR="00C21127" w:rsidRDefault="003D0BC4">
                    <w:pPr>
                      <w:spacing w:line="245" w:lineRule="exact"/>
                      <w:ind w:left="20"/>
                      <w:rPr>
                        <w:b/>
                      </w:rPr>
                    </w:pPr>
                    <w:r>
                      <w:t>Page</w:t>
                    </w:r>
                    <w:r>
                      <w:rPr>
                        <w:spacing w:val="-1"/>
                      </w:rPr>
                      <w:t xml:space="preserve"> </w:t>
                    </w:r>
                    <w:r>
                      <w:rPr>
                        <w:b/>
                      </w:rPr>
                      <w:fldChar w:fldCharType="begin"/>
                    </w:r>
                    <w:r>
                      <w:rPr>
                        <w:b/>
                      </w:rPr>
                      <w:instrText xml:space="preserve"> PAGE </w:instrText>
                    </w:r>
                    <w:r>
                      <w:rPr>
                        <w:b/>
                      </w:rPr>
                      <w:fldChar w:fldCharType="separate"/>
                    </w:r>
                    <w:r w:rsidR="009D49B2">
                      <w:rPr>
                        <w:b/>
                        <w:noProof/>
                      </w:rPr>
                      <w:t>3</w:t>
                    </w:r>
                    <w:r>
                      <w:rPr>
                        <w:b/>
                      </w:rPr>
                      <w:fldChar w:fldCharType="end"/>
                    </w:r>
                    <w:r>
                      <w:rPr>
                        <w:b/>
                        <w:spacing w:val="-1"/>
                      </w:rPr>
                      <w:t xml:space="preserve"> </w:t>
                    </w:r>
                    <w:r>
                      <w:t>of</w:t>
                    </w:r>
                    <w:r>
                      <w:rPr>
                        <w:spacing w:val="-2"/>
                      </w:rPr>
                      <w:t xml:space="preserve"> </w:t>
                    </w:r>
                    <w:r>
                      <w:rPr>
                        <w:b/>
                        <w:spacing w:val="-10"/>
                      </w:rPr>
                      <w:fldChar w:fldCharType="begin"/>
                    </w:r>
                    <w:r>
                      <w:rPr>
                        <w:b/>
                        <w:spacing w:val="-10"/>
                      </w:rPr>
                      <w:instrText xml:space="preserve"> NUMPAGES </w:instrText>
                    </w:r>
                    <w:r>
                      <w:rPr>
                        <w:b/>
                        <w:spacing w:val="-10"/>
                      </w:rPr>
                      <w:fldChar w:fldCharType="separate"/>
                    </w:r>
                    <w:r w:rsidR="009D49B2">
                      <w:rPr>
                        <w:b/>
                        <w:noProof/>
                        <w:spacing w:val="-10"/>
                      </w:rPr>
                      <w:t>4</w:t>
                    </w:r>
                    <w:r>
                      <w:rPr>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92E" w:rsidRDefault="0013592E">
      <w:r>
        <w:separator/>
      </w:r>
    </w:p>
  </w:footnote>
  <w:footnote w:type="continuationSeparator" w:id="0">
    <w:p w:rsidR="0013592E" w:rsidRDefault="00135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127" w:rsidRDefault="009B59CF">
    <w:pPr>
      <w:pStyle w:val="BodyText"/>
      <w:spacing w:line="14" w:lineRule="auto"/>
      <w:rPr>
        <w:sz w:val="20"/>
      </w:rPr>
    </w:pPr>
    <w:r>
      <w:rPr>
        <w:noProof/>
      </w:rPr>
      <mc:AlternateContent>
        <mc:Choice Requires="wps">
          <w:drawing>
            <wp:anchor distT="0" distB="0" distL="114300" distR="114300" simplePos="0" relativeHeight="486898176" behindDoc="1" locked="0" layoutInCell="1" allowOverlap="1">
              <wp:simplePos x="0" y="0"/>
              <wp:positionH relativeFrom="page">
                <wp:posOffset>4408227</wp:posOffset>
              </wp:positionH>
              <wp:positionV relativeFrom="topMargin">
                <wp:align>bottom</wp:align>
              </wp:positionV>
              <wp:extent cx="2583815" cy="716232"/>
              <wp:effectExtent l="0" t="0" r="6985" b="8255"/>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815" cy="716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127" w:rsidRDefault="00933A13" w:rsidP="00E90AF6">
                          <w:pPr>
                            <w:pStyle w:val="BodyText"/>
                            <w:spacing w:line="245" w:lineRule="exact"/>
                            <w:ind w:left="20"/>
                          </w:pPr>
                          <w:r w:rsidRPr="00933A13">
                            <w:rPr>
                              <w:rFonts w:ascii="Arial" w:hAnsi="Arial" w:cs="Arial"/>
                            </w:rPr>
                            <w:t>Mental Health Screening, Referral, and Support Pilot Diversion Program for Criminal Justice Reform (CJR) Pretrial Released Defendants RFP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1026" type="#_x0000_t202" style="position:absolute;margin-left:347.1pt;margin-top:0;width:203.45pt;height:56.4pt;z-index:-16418304;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W+2rwIAAKgFAAAOAAAAZHJzL2Uyb0RvYy54bWysVNtu2zAMfR+wfxD07vpSJ7GNOkUbx8OA&#10;7gJ0+wBFlmNhtuRJSpxu2L+PkuOkaV+GbX4QaIk65CGPeHN76Fq0Z0pzKXIcXgUYMUFlxcU2x1+/&#10;lF6CkTZEVKSVguX4iWl8u3z75mboMxbJRrYVUwhAhM6GPseNMX3m+5o2rCP6SvZMwGEtVUcM/Kqt&#10;XykyAHrX+lEQzP1BqqpXkjKtYbcYD/HS4dc1o+ZTXWtmUJtjyM24Vbl1Y1d/eUOyrSJ9w+kxDfIX&#10;WXSECwh6giqIIWin+CuojlMltazNFZWdL+uaU+Y4AJsweMHmsSE9c1ygOLo/lUn/P1j6cf9ZIV7l&#10;OMJIkA5aVEmqbeDIFmfodQY+jz14mcO9PECTHVHdP0j6TSMhVw0RW3anlBwaRipILrQ3/WdXRxxt&#10;QTbDB1lBFLIz0gEdatXZykEtEKBDk55OjWEHgyhsRrPkOglnGFE4W4Tz6Nol55Nsut0rbd4x2SFr&#10;5FhB4x062T9oY7Mh2eRigwlZ8rZ1zW/FxQY4jjsQG67aM5uF6+XPNEjXyTqJvTiar704KArvrlzF&#10;3rwMF7PiulitivCXjRvGWcOrigkbZtJVGP9Z344KHxVxUpaWLa8snE1Jq+1m1Sq0J6Dr0n2u5nBy&#10;dvMv03BFAC4vKIVRHNxHqVfOk4UXl/HMSxdB4gVhep/OgziNi/KS0gMX7N8poSHH6SyajWI6J/2C&#10;W+C+19xI1nEDk6PlXY6TkxPJrATXonKtNYS3o/2sFDb9cymg3VOjnWCtRke1msPmAChWxRtZPYF0&#10;lQRlgT5h3IHRSPUDowFGR4719x1RDKP2vQD52zkzGWoyNpNBBIWrOTYYjebKjPNo1yu+bQB5fGBC&#10;3sETqblT7zmL48OCceBIHEeXnTfP/53XecAufwMAAP//AwBQSwMEFAAGAAgAAAAhAKJ6ajPeAAAA&#10;CQEAAA8AAABkcnMvZG93bnJldi54bWxMj8FOwzAQRO9I/QdrkbhROxGK2hCnqio4ISHScODoxNvE&#10;arwOsduGv8c5wW1HM5p9U+xmO7ArTt44kpCsBTCk1mlDnYTP+vVxA8wHRVoNjlDCD3rYlau7QuXa&#10;3ajC6zF0LJaQz5WEPoQx59y3PVrl125Eit7JTVaFKKeO60ndYrkdeCpExq0yFD/0asRDj+35eLES&#10;9l9UvZjv9+ajOlWmrreC3rKzlA/38/4ZWMA5/IVhwY/oUEamxl1IezZIyLZPaYxKiIsWOxFJAqxZ&#10;rnQDvCz4/wXlLwAAAP//AwBQSwECLQAUAAYACAAAACEAtoM4kv4AAADhAQAAEwAAAAAAAAAAAAAA&#10;AAAAAAAAW0NvbnRlbnRfVHlwZXNdLnhtbFBLAQItABQABgAIAAAAIQA4/SH/1gAAAJQBAAALAAAA&#10;AAAAAAAAAAAAAC8BAABfcmVscy8ucmVsc1BLAQItABQABgAIAAAAIQCy8W+2rwIAAKgFAAAOAAAA&#10;AAAAAAAAAAAAAC4CAABkcnMvZTJvRG9jLnhtbFBLAQItABQABgAIAAAAIQCiemoz3gAAAAkBAAAP&#10;AAAAAAAAAAAAAAAAAAkFAABkcnMvZG93bnJldi54bWxQSwUGAAAAAAQABADzAAAAFAYAAAAA&#10;" filled="f" stroked="f">
              <v:textbox inset="0,0,0,0">
                <w:txbxContent>
                  <w:p w:rsidR="00C21127" w:rsidRDefault="00933A13" w:rsidP="00E90AF6">
                    <w:pPr>
                      <w:pStyle w:val="BodyText"/>
                      <w:spacing w:line="245" w:lineRule="exact"/>
                      <w:ind w:left="20"/>
                    </w:pPr>
                    <w:r w:rsidRPr="00933A13">
                      <w:rPr>
                        <w:rFonts w:ascii="Arial" w:hAnsi="Arial" w:cs="Arial"/>
                      </w:rPr>
                      <w:t>Mental Health Screening, Referral, and Support Pilot Diversion Program for Criminal Justice Reform (CJR) Pretrial Released Defendants RFP</w:t>
                    </w:r>
                  </w:p>
                </w:txbxContent>
              </v:textbox>
              <w10:wrap anchorx="page" anchory="margin"/>
            </v:shape>
          </w:pict>
        </mc:Fallback>
      </mc:AlternateContent>
    </w:r>
    <w:r w:rsidR="00016DFD">
      <w:rPr>
        <w:noProof/>
      </w:rPr>
      <mc:AlternateContent>
        <mc:Choice Requires="wps">
          <w:drawing>
            <wp:anchor distT="0" distB="0" distL="114300" distR="114300" simplePos="0" relativeHeight="486897664" behindDoc="1" locked="0" layoutInCell="1" allowOverlap="1">
              <wp:simplePos x="0" y="0"/>
              <wp:positionH relativeFrom="page">
                <wp:posOffset>782955</wp:posOffset>
              </wp:positionH>
              <wp:positionV relativeFrom="page">
                <wp:posOffset>407670</wp:posOffset>
              </wp:positionV>
              <wp:extent cx="2948940" cy="336550"/>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94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127" w:rsidRDefault="003D0BC4">
                          <w:pPr>
                            <w:pStyle w:val="BodyText"/>
                            <w:spacing w:line="245" w:lineRule="exact"/>
                            <w:ind w:left="20"/>
                          </w:pPr>
                          <w:r>
                            <w:t>State</w:t>
                          </w:r>
                          <w:r>
                            <w:rPr>
                              <w:spacing w:val="-5"/>
                            </w:rPr>
                            <w:t xml:space="preserve"> </w:t>
                          </w:r>
                          <w:r>
                            <w:t>of</w:t>
                          </w:r>
                          <w:r>
                            <w:rPr>
                              <w:spacing w:val="-2"/>
                            </w:rPr>
                            <w:t xml:space="preserve"> </w:t>
                          </w:r>
                          <w:r>
                            <w:t>New</w:t>
                          </w:r>
                          <w:r>
                            <w:rPr>
                              <w:spacing w:val="-1"/>
                            </w:rPr>
                            <w:t xml:space="preserve"> </w:t>
                          </w:r>
                          <w:r>
                            <w:t>Jersey</w:t>
                          </w:r>
                          <w:r>
                            <w:rPr>
                              <w:spacing w:val="-3"/>
                            </w:rPr>
                            <w:t xml:space="preserve"> </w:t>
                          </w:r>
                          <w:r>
                            <w:t>Department</w:t>
                          </w:r>
                          <w:r>
                            <w:rPr>
                              <w:spacing w:val="-4"/>
                            </w:rPr>
                            <w:t xml:space="preserve"> </w:t>
                          </w:r>
                          <w:r>
                            <w:t>of</w:t>
                          </w:r>
                          <w:r>
                            <w:rPr>
                              <w:spacing w:val="-5"/>
                            </w:rPr>
                            <w:t xml:space="preserve"> </w:t>
                          </w:r>
                          <w:r>
                            <w:t>Human</w:t>
                          </w:r>
                          <w:r>
                            <w:rPr>
                              <w:spacing w:val="-3"/>
                            </w:rPr>
                            <w:t xml:space="preserve"> </w:t>
                          </w:r>
                          <w:r>
                            <w:rPr>
                              <w:spacing w:val="-2"/>
                            </w:rPr>
                            <w:t>Services</w:t>
                          </w:r>
                        </w:p>
                        <w:p w:rsidR="00C21127" w:rsidRDefault="003D0BC4">
                          <w:pPr>
                            <w:pStyle w:val="BodyText"/>
                            <w:ind w:left="20"/>
                          </w:pPr>
                          <w:r>
                            <w:t>Division of Mental Health and Addiction 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 o:spid="_x0000_s1027" type="#_x0000_t202" style="position:absolute;margin-left:61.65pt;margin-top:32.1pt;width:232.2pt;height:26.5pt;z-index:-1641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wu2sQIAAK8FAAAOAAAAZHJzL2Uyb0RvYy54bWysVG1vmzAQ/j5p/8Hyd8pLSAqoZGpDmCZ1&#10;L1K3H+AYE6yBzWwn0E377zubkqatJk3b+IDO9vm5e+4e39WbsWvRkSnNpchxeBFgxASVFRf7HH/5&#10;XHoJRtoQUZFWCpbje6bxm/XrV1dDn7FINrKtmEIAInQ29DlujOkz39e0YR3RF7JnAg5rqTpiYKn2&#10;fqXIAOhd60dBsPIHqapeScq0ht1iOsRrh1/XjJqPda2ZQW2OITfj/sr9d/bvr69Itlekbzh9SIP8&#10;RRYd4QKCnqAKYgg6KP4CquNUSS1rc0Fl58u65pQ5DsAmDJ6xuWtIzxwXKI7uT2XS/w+Wfjh+UohX&#10;OV5gJEgHLaok1TZwaIsz9DoDn7sevMx4I0dosiOq+1tJv2ok5KYhYs+ulZJDw0gFybmb/tnVCUdb&#10;kN3wXlYQhRyMdEBjrTpbOagFAnRo0v2pMWw0iMJmlMZJGsMRhbPFYrVcus75JJtv90qbt0x2yBo5&#10;VtB4h06Ot9oAD3CdXWwwIUvetq75rXiyAY7TDsSGq/bMZuF6+SMN0m2yTWIvjlZbLw6KwrsuN7G3&#10;KsPLZbEoNpsi/GnjhnHW8KpiwoaZdRXGf9a3B4VPijgpS8uWVxbOpqTVfrdpFToS0HXpPtstSP7M&#10;zX+ahjsGLs8ohVEc3ESpV66SSy8u46WXXgaJF4TpTboK4jQuyqeUbrlg/04JDTlOl9FyEtNvuQXu&#10;e8mNZB03MDla3uU4OTmRzEpwKyrXWkN4O9lnpbDpP5YCKjY32gnWanRSqxl3o3sYp3ewk9U9KFhJ&#10;EBhoEaYeGI1U3zEaYILkWH87EMUwat8JeAV23MyGmo3dbBBB4WqODUaTuTHTWDr0iu8bQJ7emZDX&#10;8FJq7kRsn9SUBTCwC5gKjsvDBLNj53ztvB7n7PoXAAAA//8DAFBLAwQUAAYACAAAACEApRcO0t8A&#10;AAAKAQAADwAAAGRycy9kb3ducmV2LnhtbEyPQU+DQBCF7yb+h82YeLNLqUJFlqYxejIxUjx4XNgp&#10;kLKzyG5b/PeOp3p8eV/efJNvZjuIE06+d6RguYhAIDXO9NQq+Kxe79YgfNBk9OAIFfygh01xfZXr&#10;zLgzlXjahVbwCPlMK+hCGDMpfdOh1X7hRiTu9m6yOnCcWmkmfeZxO8g4ihJpdU98odMjPnfYHHZH&#10;q2D7ReVL//1ef5T7sq+qx4jekoNStzfz9glEwDlcYPjTZ3Uo2Kl2RzJeDJzj1YpRBcl9DIKBh3Wa&#10;gqi5WaYxyCKX/18ofgEAAP//AwBQSwECLQAUAAYACAAAACEAtoM4kv4AAADhAQAAEwAAAAAAAAAA&#10;AAAAAAAAAAAAW0NvbnRlbnRfVHlwZXNdLnhtbFBLAQItABQABgAIAAAAIQA4/SH/1gAAAJQBAAAL&#10;AAAAAAAAAAAAAAAAAC8BAABfcmVscy8ucmVsc1BLAQItABQABgAIAAAAIQAWjwu2sQIAAK8FAAAO&#10;AAAAAAAAAAAAAAAAAC4CAABkcnMvZTJvRG9jLnhtbFBLAQItABQABgAIAAAAIQClFw7S3wAAAAoB&#10;AAAPAAAAAAAAAAAAAAAAAAsFAABkcnMvZG93bnJldi54bWxQSwUGAAAAAAQABADzAAAAFwYAAAAA&#10;" filled="f" stroked="f">
              <v:textbox inset="0,0,0,0">
                <w:txbxContent>
                  <w:p w:rsidR="00C21127" w:rsidRDefault="003D0BC4">
                    <w:pPr>
                      <w:pStyle w:val="BodyText"/>
                      <w:spacing w:line="245" w:lineRule="exact"/>
                      <w:ind w:left="20"/>
                    </w:pPr>
                    <w:r>
                      <w:t>State</w:t>
                    </w:r>
                    <w:r>
                      <w:rPr>
                        <w:spacing w:val="-5"/>
                      </w:rPr>
                      <w:t xml:space="preserve"> </w:t>
                    </w:r>
                    <w:r>
                      <w:t>of</w:t>
                    </w:r>
                    <w:r>
                      <w:rPr>
                        <w:spacing w:val="-2"/>
                      </w:rPr>
                      <w:t xml:space="preserve"> </w:t>
                    </w:r>
                    <w:r>
                      <w:t>New</w:t>
                    </w:r>
                    <w:r>
                      <w:rPr>
                        <w:spacing w:val="-1"/>
                      </w:rPr>
                      <w:t xml:space="preserve"> </w:t>
                    </w:r>
                    <w:r>
                      <w:t>Jersey</w:t>
                    </w:r>
                    <w:r>
                      <w:rPr>
                        <w:spacing w:val="-3"/>
                      </w:rPr>
                      <w:t xml:space="preserve"> </w:t>
                    </w:r>
                    <w:r>
                      <w:t>Department</w:t>
                    </w:r>
                    <w:r>
                      <w:rPr>
                        <w:spacing w:val="-4"/>
                      </w:rPr>
                      <w:t xml:space="preserve"> </w:t>
                    </w:r>
                    <w:r>
                      <w:t>of</w:t>
                    </w:r>
                    <w:r>
                      <w:rPr>
                        <w:spacing w:val="-5"/>
                      </w:rPr>
                      <w:t xml:space="preserve"> </w:t>
                    </w:r>
                    <w:r>
                      <w:t>Human</w:t>
                    </w:r>
                    <w:r>
                      <w:rPr>
                        <w:spacing w:val="-3"/>
                      </w:rPr>
                      <w:t xml:space="preserve"> </w:t>
                    </w:r>
                    <w:r>
                      <w:rPr>
                        <w:spacing w:val="-2"/>
                      </w:rPr>
                      <w:t>Services</w:t>
                    </w:r>
                  </w:p>
                  <w:p w:rsidR="00C21127" w:rsidRDefault="003D0BC4">
                    <w:pPr>
                      <w:pStyle w:val="BodyText"/>
                      <w:ind w:left="20"/>
                    </w:pPr>
                    <w:r>
                      <w:t>Division of Mental Health and Addiction Services</w:t>
                    </w:r>
                  </w:p>
                </w:txbxContent>
              </v:textbox>
              <w10:wrap anchorx="page" anchory="page"/>
            </v:shape>
          </w:pict>
        </mc:Fallback>
      </mc:AlternateContent>
    </w:r>
    <w:r w:rsidR="00E90AF6">
      <w:rPr>
        <w:sz w:val="20"/>
      </w:rPr>
      <w:tab/>
    </w:r>
    <w:r w:rsidR="00E90AF6">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957E6"/>
    <w:multiLevelType w:val="hybridMultilevel"/>
    <w:tmpl w:val="412A3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D4832E9"/>
    <w:multiLevelType w:val="multilevel"/>
    <w:tmpl w:val="586EDB3A"/>
    <w:styleLink w:val="Style1"/>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9268AD"/>
    <w:multiLevelType w:val="hybridMultilevel"/>
    <w:tmpl w:val="586EDB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907477"/>
    <w:multiLevelType w:val="multilevel"/>
    <w:tmpl w:val="B91C11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5F61790"/>
    <w:multiLevelType w:val="hybridMultilevel"/>
    <w:tmpl w:val="930808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670434A"/>
    <w:multiLevelType w:val="hybridMultilevel"/>
    <w:tmpl w:val="FA74D4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8167C04"/>
    <w:multiLevelType w:val="hybridMultilevel"/>
    <w:tmpl w:val="586EDB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6B71D8"/>
    <w:multiLevelType w:val="multilevel"/>
    <w:tmpl w:val="586EDB3A"/>
    <w:numStyleLink w:val="Style1"/>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127"/>
    <w:rsid w:val="00016DFD"/>
    <w:rsid w:val="000217AE"/>
    <w:rsid w:val="00046BF8"/>
    <w:rsid w:val="00057A68"/>
    <w:rsid w:val="00086F9C"/>
    <w:rsid w:val="000F44CA"/>
    <w:rsid w:val="0013592E"/>
    <w:rsid w:val="002638C9"/>
    <w:rsid w:val="00283E1C"/>
    <w:rsid w:val="00311270"/>
    <w:rsid w:val="00345607"/>
    <w:rsid w:val="003D0BC4"/>
    <w:rsid w:val="0042201E"/>
    <w:rsid w:val="00434BD2"/>
    <w:rsid w:val="00474410"/>
    <w:rsid w:val="004B3190"/>
    <w:rsid w:val="00517A8D"/>
    <w:rsid w:val="005D14F7"/>
    <w:rsid w:val="00760B86"/>
    <w:rsid w:val="007B4072"/>
    <w:rsid w:val="007E0BDC"/>
    <w:rsid w:val="0083490C"/>
    <w:rsid w:val="00851638"/>
    <w:rsid w:val="00851EFB"/>
    <w:rsid w:val="00852573"/>
    <w:rsid w:val="00870714"/>
    <w:rsid w:val="00872C31"/>
    <w:rsid w:val="008907AE"/>
    <w:rsid w:val="0089478A"/>
    <w:rsid w:val="008A02A1"/>
    <w:rsid w:val="00933A13"/>
    <w:rsid w:val="00950573"/>
    <w:rsid w:val="009A2AB1"/>
    <w:rsid w:val="009B59CF"/>
    <w:rsid w:val="009D49B2"/>
    <w:rsid w:val="00A06D3B"/>
    <w:rsid w:val="00A37567"/>
    <w:rsid w:val="00AD6F78"/>
    <w:rsid w:val="00B032DC"/>
    <w:rsid w:val="00BB2E0C"/>
    <w:rsid w:val="00C21127"/>
    <w:rsid w:val="00C25C0F"/>
    <w:rsid w:val="00C402E6"/>
    <w:rsid w:val="00C42B6E"/>
    <w:rsid w:val="00C51EC4"/>
    <w:rsid w:val="00CC54F0"/>
    <w:rsid w:val="00CE0B38"/>
    <w:rsid w:val="00CF31D3"/>
    <w:rsid w:val="00D66D4D"/>
    <w:rsid w:val="00DD0D02"/>
    <w:rsid w:val="00E90AF6"/>
    <w:rsid w:val="00EC2694"/>
    <w:rsid w:val="00F070C9"/>
    <w:rsid w:val="00FF7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8B994B"/>
  <w15:docId w15:val="{2F8C7DCF-F37A-4DB8-9C67-1366800C0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style>
  <w:style w:type="paragraph" w:customStyle="1" w:styleId="TableParagraph">
    <w:name w:val="Table Paragraph"/>
    <w:basedOn w:val="Normal"/>
    <w:uiPriority w:val="1"/>
    <w:qFormat/>
    <w:pPr>
      <w:ind w:left="26"/>
    </w:pPr>
  </w:style>
  <w:style w:type="paragraph" w:styleId="Header">
    <w:name w:val="header"/>
    <w:basedOn w:val="Normal"/>
    <w:link w:val="HeaderChar"/>
    <w:uiPriority w:val="99"/>
    <w:unhideWhenUsed/>
    <w:rsid w:val="003D0BC4"/>
    <w:pPr>
      <w:tabs>
        <w:tab w:val="center" w:pos="4680"/>
        <w:tab w:val="right" w:pos="9360"/>
      </w:tabs>
    </w:pPr>
  </w:style>
  <w:style w:type="character" w:customStyle="1" w:styleId="HeaderChar">
    <w:name w:val="Header Char"/>
    <w:basedOn w:val="DefaultParagraphFont"/>
    <w:link w:val="Header"/>
    <w:uiPriority w:val="99"/>
    <w:rsid w:val="003D0BC4"/>
    <w:rPr>
      <w:rFonts w:ascii="Calibri" w:eastAsia="Calibri" w:hAnsi="Calibri" w:cs="Calibri"/>
    </w:rPr>
  </w:style>
  <w:style w:type="paragraph" w:styleId="Footer">
    <w:name w:val="footer"/>
    <w:basedOn w:val="Normal"/>
    <w:link w:val="FooterChar"/>
    <w:uiPriority w:val="99"/>
    <w:unhideWhenUsed/>
    <w:rsid w:val="003D0BC4"/>
    <w:pPr>
      <w:tabs>
        <w:tab w:val="center" w:pos="4680"/>
        <w:tab w:val="right" w:pos="9360"/>
      </w:tabs>
    </w:pPr>
  </w:style>
  <w:style w:type="character" w:customStyle="1" w:styleId="FooterChar">
    <w:name w:val="Footer Char"/>
    <w:basedOn w:val="DefaultParagraphFont"/>
    <w:link w:val="Footer"/>
    <w:uiPriority w:val="99"/>
    <w:rsid w:val="003D0BC4"/>
    <w:rPr>
      <w:rFonts w:ascii="Calibri" w:eastAsia="Calibri" w:hAnsi="Calibri" w:cs="Calibri"/>
    </w:rPr>
  </w:style>
  <w:style w:type="paragraph" w:styleId="BalloonText">
    <w:name w:val="Balloon Text"/>
    <w:basedOn w:val="Normal"/>
    <w:link w:val="BalloonTextChar"/>
    <w:uiPriority w:val="99"/>
    <w:semiHidden/>
    <w:unhideWhenUsed/>
    <w:rsid w:val="00C42B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B6E"/>
    <w:rPr>
      <w:rFonts w:ascii="Segoe UI" w:eastAsia="Calibri" w:hAnsi="Segoe UI" w:cs="Segoe UI"/>
      <w:sz w:val="18"/>
      <w:szCs w:val="18"/>
    </w:rPr>
  </w:style>
  <w:style w:type="numbering" w:customStyle="1" w:styleId="Style1">
    <w:name w:val="Style1"/>
    <w:uiPriority w:val="99"/>
    <w:rsid w:val="008A02A1"/>
    <w:pPr>
      <w:numPr>
        <w:numId w:val="6"/>
      </w:numPr>
    </w:pPr>
  </w:style>
  <w:style w:type="paragraph" w:styleId="CommentText">
    <w:name w:val="annotation text"/>
    <w:basedOn w:val="Normal"/>
    <w:link w:val="CommentTextChar"/>
    <w:uiPriority w:val="99"/>
    <w:semiHidden/>
    <w:unhideWhenUsed/>
    <w:rsid w:val="008A02A1"/>
    <w:pPr>
      <w:widowControl/>
      <w:autoSpaceDE/>
      <w:autoSpaceDN/>
      <w:spacing w:after="160"/>
    </w:pPr>
    <w:rPr>
      <w:rFonts w:ascii="Arial" w:eastAsiaTheme="minorHAnsi" w:hAnsi="Arial" w:cstheme="minorBidi"/>
      <w:sz w:val="20"/>
      <w:szCs w:val="20"/>
    </w:rPr>
  </w:style>
  <w:style w:type="character" w:customStyle="1" w:styleId="CommentTextChar">
    <w:name w:val="Comment Text Char"/>
    <w:basedOn w:val="DefaultParagraphFont"/>
    <w:link w:val="CommentText"/>
    <w:uiPriority w:val="99"/>
    <w:semiHidden/>
    <w:rsid w:val="008A02A1"/>
    <w:rPr>
      <w:rFonts w:ascii="Arial" w:hAnsi="Arial"/>
      <w:sz w:val="20"/>
      <w:szCs w:val="20"/>
    </w:rPr>
  </w:style>
  <w:style w:type="paragraph" w:styleId="NoSpacing">
    <w:name w:val="No Spacing"/>
    <w:basedOn w:val="Normal"/>
    <w:uiPriority w:val="1"/>
    <w:qFormat/>
    <w:rsid w:val="00086F9C"/>
    <w:pPr>
      <w:widowControl/>
      <w:autoSpaceDE/>
      <w:autoSpaceDN/>
    </w:pPr>
    <w:rPr>
      <w:rFonts w:eastAsiaTheme="minorHAns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76622">
      <w:bodyDiv w:val="1"/>
      <w:marLeft w:val="0"/>
      <w:marRight w:val="0"/>
      <w:marTop w:val="0"/>
      <w:marBottom w:val="0"/>
      <w:divBdr>
        <w:top w:val="none" w:sz="0" w:space="0" w:color="auto"/>
        <w:left w:val="none" w:sz="0" w:space="0" w:color="auto"/>
        <w:bottom w:val="none" w:sz="0" w:space="0" w:color="auto"/>
        <w:right w:val="none" w:sz="0" w:space="0" w:color="auto"/>
      </w:divBdr>
    </w:div>
    <w:div w:id="120535237">
      <w:bodyDiv w:val="1"/>
      <w:marLeft w:val="0"/>
      <w:marRight w:val="0"/>
      <w:marTop w:val="0"/>
      <w:marBottom w:val="0"/>
      <w:divBdr>
        <w:top w:val="none" w:sz="0" w:space="0" w:color="auto"/>
        <w:left w:val="none" w:sz="0" w:space="0" w:color="auto"/>
        <w:bottom w:val="none" w:sz="0" w:space="0" w:color="auto"/>
        <w:right w:val="none" w:sz="0" w:space="0" w:color="auto"/>
      </w:divBdr>
    </w:div>
    <w:div w:id="158355466">
      <w:bodyDiv w:val="1"/>
      <w:marLeft w:val="0"/>
      <w:marRight w:val="0"/>
      <w:marTop w:val="0"/>
      <w:marBottom w:val="0"/>
      <w:divBdr>
        <w:top w:val="none" w:sz="0" w:space="0" w:color="auto"/>
        <w:left w:val="none" w:sz="0" w:space="0" w:color="auto"/>
        <w:bottom w:val="none" w:sz="0" w:space="0" w:color="auto"/>
        <w:right w:val="none" w:sz="0" w:space="0" w:color="auto"/>
      </w:divBdr>
    </w:div>
    <w:div w:id="258411613">
      <w:bodyDiv w:val="1"/>
      <w:marLeft w:val="0"/>
      <w:marRight w:val="0"/>
      <w:marTop w:val="0"/>
      <w:marBottom w:val="0"/>
      <w:divBdr>
        <w:top w:val="none" w:sz="0" w:space="0" w:color="auto"/>
        <w:left w:val="none" w:sz="0" w:space="0" w:color="auto"/>
        <w:bottom w:val="none" w:sz="0" w:space="0" w:color="auto"/>
        <w:right w:val="none" w:sz="0" w:space="0" w:color="auto"/>
      </w:divBdr>
    </w:div>
    <w:div w:id="267784286">
      <w:bodyDiv w:val="1"/>
      <w:marLeft w:val="0"/>
      <w:marRight w:val="0"/>
      <w:marTop w:val="0"/>
      <w:marBottom w:val="0"/>
      <w:divBdr>
        <w:top w:val="none" w:sz="0" w:space="0" w:color="auto"/>
        <w:left w:val="none" w:sz="0" w:space="0" w:color="auto"/>
        <w:bottom w:val="none" w:sz="0" w:space="0" w:color="auto"/>
        <w:right w:val="none" w:sz="0" w:space="0" w:color="auto"/>
      </w:divBdr>
    </w:div>
    <w:div w:id="270666517">
      <w:bodyDiv w:val="1"/>
      <w:marLeft w:val="0"/>
      <w:marRight w:val="0"/>
      <w:marTop w:val="0"/>
      <w:marBottom w:val="0"/>
      <w:divBdr>
        <w:top w:val="none" w:sz="0" w:space="0" w:color="auto"/>
        <w:left w:val="none" w:sz="0" w:space="0" w:color="auto"/>
        <w:bottom w:val="none" w:sz="0" w:space="0" w:color="auto"/>
        <w:right w:val="none" w:sz="0" w:space="0" w:color="auto"/>
      </w:divBdr>
    </w:div>
    <w:div w:id="475298811">
      <w:bodyDiv w:val="1"/>
      <w:marLeft w:val="0"/>
      <w:marRight w:val="0"/>
      <w:marTop w:val="0"/>
      <w:marBottom w:val="0"/>
      <w:divBdr>
        <w:top w:val="none" w:sz="0" w:space="0" w:color="auto"/>
        <w:left w:val="none" w:sz="0" w:space="0" w:color="auto"/>
        <w:bottom w:val="none" w:sz="0" w:space="0" w:color="auto"/>
        <w:right w:val="none" w:sz="0" w:space="0" w:color="auto"/>
      </w:divBdr>
    </w:div>
    <w:div w:id="480271956">
      <w:bodyDiv w:val="1"/>
      <w:marLeft w:val="0"/>
      <w:marRight w:val="0"/>
      <w:marTop w:val="0"/>
      <w:marBottom w:val="0"/>
      <w:divBdr>
        <w:top w:val="none" w:sz="0" w:space="0" w:color="auto"/>
        <w:left w:val="none" w:sz="0" w:space="0" w:color="auto"/>
        <w:bottom w:val="none" w:sz="0" w:space="0" w:color="auto"/>
        <w:right w:val="none" w:sz="0" w:space="0" w:color="auto"/>
      </w:divBdr>
    </w:div>
    <w:div w:id="534008274">
      <w:bodyDiv w:val="1"/>
      <w:marLeft w:val="0"/>
      <w:marRight w:val="0"/>
      <w:marTop w:val="0"/>
      <w:marBottom w:val="0"/>
      <w:divBdr>
        <w:top w:val="none" w:sz="0" w:space="0" w:color="auto"/>
        <w:left w:val="none" w:sz="0" w:space="0" w:color="auto"/>
        <w:bottom w:val="none" w:sz="0" w:space="0" w:color="auto"/>
        <w:right w:val="none" w:sz="0" w:space="0" w:color="auto"/>
      </w:divBdr>
    </w:div>
    <w:div w:id="705495464">
      <w:bodyDiv w:val="1"/>
      <w:marLeft w:val="0"/>
      <w:marRight w:val="0"/>
      <w:marTop w:val="0"/>
      <w:marBottom w:val="0"/>
      <w:divBdr>
        <w:top w:val="none" w:sz="0" w:space="0" w:color="auto"/>
        <w:left w:val="none" w:sz="0" w:space="0" w:color="auto"/>
        <w:bottom w:val="none" w:sz="0" w:space="0" w:color="auto"/>
        <w:right w:val="none" w:sz="0" w:space="0" w:color="auto"/>
      </w:divBdr>
    </w:div>
    <w:div w:id="714895253">
      <w:bodyDiv w:val="1"/>
      <w:marLeft w:val="0"/>
      <w:marRight w:val="0"/>
      <w:marTop w:val="0"/>
      <w:marBottom w:val="0"/>
      <w:divBdr>
        <w:top w:val="none" w:sz="0" w:space="0" w:color="auto"/>
        <w:left w:val="none" w:sz="0" w:space="0" w:color="auto"/>
        <w:bottom w:val="none" w:sz="0" w:space="0" w:color="auto"/>
        <w:right w:val="none" w:sz="0" w:space="0" w:color="auto"/>
      </w:divBdr>
    </w:div>
    <w:div w:id="913516830">
      <w:bodyDiv w:val="1"/>
      <w:marLeft w:val="0"/>
      <w:marRight w:val="0"/>
      <w:marTop w:val="0"/>
      <w:marBottom w:val="0"/>
      <w:divBdr>
        <w:top w:val="none" w:sz="0" w:space="0" w:color="auto"/>
        <w:left w:val="none" w:sz="0" w:space="0" w:color="auto"/>
        <w:bottom w:val="none" w:sz="0" w:space="0" w:color="auto"/>
        <w:right w:val="none" w:sz="0" w:space="0" w:color="auto"/>
      </w:divBdr>
    </w:div>
    <w:div w:id="1205288645">
      <w:bodyDiv w:val="1"/>
      <w:marLeft w:val="0"/>
      <w:marRight w:val="0"/>
      <w:marTop w:val="0"/>
      <w:marBottom w:val="0"/>
      <w:divBdr>
        <w:top w:val="none" w:sz="0" w:space="0" w:color="auto"/>
        <w:left w:val="none" w:sz="0" w:space="0" w:color="auto"/>
        <w:bottom w:val="none" w:sz="0" w:space="0" w:color="auto"/>
        <w:right w:val="none" w:sz="0" w:space="0" w:color="auto"/>
      </w:divBdr>
    </w:div>
    <w:div w:id="1291786474">
      <w:bodyDiv w:val="1"/>
      <w:marLeft w:val="0"/>
      <w:marRight w:val="0"/>
      <w:marTop w:val="0"/>
      <w:marBottom w:val="0"/>
      <w:divBdr>
        <w:top w:val="none" w:sz="0" w:space="0" w:color="auto"/>
        <w:left w:val="none" w:sz="0" w:space="0" w:color="auto"/>
        <w:bottom w:val="none" w:sz="0" w:space="0" w:color="auto"/>
        <w:right w:val="none" w:sz="0" w:space="0" w:color="auto"/>
      </w:divBdr>
    </w:div>
    <w:div w:id="1293947999">
      <w:bodyDiv w:val="1"/>
      <w:marLeft w:val="0"/>
      <w:marRight w:val="0"/>
      <w:marTop w:val="0"/>
      <w:marBottom w:val="0"/>
      <w:divBdr>
        <w:top w:val="none" w:sz="0" w:space="0" w:color="auto"/>
        <w:left w:val="none" w:sz="0" w:space="0" w:color="auto"/>
        <w:bottom w:val="none" w:sz="0" w:space="0" w:color="auto"/>
        <w:right w:val="none" w:sz="0" w:space="0" w:color="auto"/>
      </w:divBdr>
    </w:div>
    <w:div w:id="1366325482">
      <w:bodyDiv w:val="1"/>
      <w:marLeft w:val="0"/>
      <w:marRight w:val="0"/>
      <w:marTop w:val="0"/>
      <w:marBottom w:val="0"/>
      <w:divBdr>
        <w:top w:val="none" w:sz="0" w:space="0" w:color="auto"/>
        <w:left w:val="none" w:sz="0" w:space="0" w:color="auto"/>
        <w:bottom w:val="none" w:sz="0" w:space="0" w:color="auto"/>
        <w:right w:val="none" w:sz="0" w:space="0" w:color="auto"/>
      </w:divBdr>
    </w:div>
    <w:div w:id="1446345606">
      <w:bodyDiv w:val="1"/>
      <w:marLeft w:val="0"/>
      <w:marRight w:val="0"/>
      <w:marTop w:val="0"/>
      <w:marBottom w:val="0"/>
      <w:divBdr>
        <w:top w:val="none" w:sz="0" w:space="0" w:color="auto"/>
        <w:left w:val="none" w:sz="0" w:space="0" w:color="auto"/>
        <w:bottom w:val="none" w:sz="0" w:space="0" w:color="auto"/>
        <w:right w:val="none" w:sz="0" w:space="0" w:color="auto"/>
      </w:divBdr>
    </w:div>
    <w:div w:id="1519661375">
      <w:bodyDiv w:val="1"/>
      <w:marLeft w:val="0"/>
      <w:marRight w:val="0"/>
      <w:marTop w:val="0"/>
      <w:marBottom w:val="0"/>
      <w:divBdr>
        <w:top w:val="none" w:sz="0" w:space="0" w:color="auto"/>
        <w:left w:val="none" w:sz="0" w:space="0" w:color="auto"/>
        <w:bottom w:val="none" w:sz="0" w:space="0" w:color="auto"/>
        <w:right w:val="none" w:sz="0" w:space="0" w:color="auto"/>
      </w:divBdr>
    </w:div>
    <w:div w:id="1552156530">
      <w:bodyDiv w:val="1"/>
      <w:marLeft w:val="0"/>
      <w:marRight w:val="0"/>
      <w:marTop w:val="0"/>
      <w:marBottom w:val="0"/>
      <w:divBdr>
        <w:top w:val="none" w:sz="0" w:space="0" w:color="auto"/>
        <w:left w:val="none" w:sz="0" w:space="0" w:color="auto"/>
        <w:bottom w:val="none" w:sz="0" w:space="0" w:color="auto"/>
        <w:right w:val="none" w:sz="0" w:space="0" w:color="auto"/>
      </w:divBdr>
    </w:div>
    <w:div w:id="1572039964">
      <w:bodyDiv w:val="1"/>
      <w:marLeft w:val="0"/>
      <w:marRight w:val="0"/>
      <w:marTop w:val="0"/>
      <w:marBottom w:val="0"/>
      <w:divBdr>
        <w:top w:val="none" w:sz="0" w:space="0" w:color="auto"/>
        <w:left w:val="none" w:sz="0" w:space="0" w:color="auto"/>
        <w:bottom w:val="none" w:sz="0" w:space="0" w:color="auto"/>
        <w:right w:val="none" w:sz="0" w:space="0" w:color="auto"/>
      </w:divBdr>
    </w:div>
    <w:div w:id="1593929828">
      <w:bodyDiv w:val="1"/>
      <w:marLeft w:val="0"/>
      <w:marRight w:val="0"/>
      <w:marTop w:val="0"/>
      <w:marBottom w:val="0"/>
      <w:divBdr>
        <w:top w:val="none" w:sz="0" w:space="0" w:color="auto"/>
        <w:left w:val="none" w:sz="0" w:space="0" w:color="auto"/>
        <w:bottom w:val="none" w:sz="0" w:space="0" w:color="auto"/>
        <w:right w:val="none" w:sz="0" w:space="0" w:color="auto"/>
      </w:divBdr>
    </w:div>
    <w:div w:id="1873571419">
      <w:bodyDiv w:val="1"/>
      <w:marLeft w:val="0"/>
      <w:marRight w:val="0"/>
      <w:marTop w:val="0"/>
      <w:marBottom w:val="0"/>
      <w:divBdr>
        <w:top w:val="none" w:sz="0" w:space="0" w:color="auto"/>
        <w:left w:val="none" w:sz="0" w:space="0" w:color="auto"/>
        <w:bottom w:val="none" w:sz="0" w:space="0" w:color="auto"/>
        <w:right w:val="none" w:sz="0" w:space="0" w:color="auto"/>
      </w:divBdr>
    </w:div>
    <w:div w:id="2077781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4D191-52DF-4F61-BEB4-A665123D5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1138</Words>
  <Characters>6492</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New Jersey DHS</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Goeke_Brandon</dc:creator>
  <cp:lastModifiedBy>Meyer, Alicia</cp:lastModifiedBy>
  <cp:revision>2</cp:revision>
  <cp:lastPrinted>2022-04-08T17:20:00Z</cp:lastPrinted>
  <dcterms:created xsi:type="dcterms:W3CDTF">2022-06-03T19:55:00Z</dcterms:created>
  <dcterms:modified xsi:type="dcterms:W3CDTF">2022-06-03T19:55:00Z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2021-09-28T00:00:00Z</vt:filetime>
  </property>
  <property fmtid="{D5CDD505-2E9C-101B-9397-08002B2CF9AE}" pid="3" name="Creator">
    <vt:lpwstr>Microsoft® Word 2016</vt:lpwstr>
  </property>
  <property fmtid="{D5CDD505-2E9C-101B-9397-08002B2CF9AE}" pid="4" name="LastSaved">
    <vt:filetime>2022-04-07T00:00:00Z</vt:filetime>
  </property>
</Properties>
</file>