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15C7" w14:textId="77777777" w:rsidR="00B21B44" w:rsidRDefault="00B21B44" w:rsidP="00137719">
      <w:pPr>
        <w:pBdr>
          <w:bottom w:val="single" w:sz="6" w:space="1" w:color="auto"/>
        </w:pBdr>
      </w:pPr>
    </w:p>
    <w:p w14:paraId="4D2E4AC8" w14:textId="6E444118" w:rsidR="00236B4B" w:rsidRDefault="00236B4B" w:rsidP="00137719">
      <w:pPr>
        <w:pBdr>
          <w:bottom w:val="single" w:sz="6" w:space="1" w:color="auto"/>
        </w:pBdr>
      </w:pPr>
      <w:r w:rsidRPr="00236B4B">
        <w:t xml:space="preserve">This </w:t>
      </w:r>
      <w:r>
        <w:t>job aide provides guidance to help you avoid several common application errors.</w:t>
      </w:r>
    </w:p>
    <w:p w14:paraId="03F7B9AB" w14:textId="77777777" w:rsidR="00137719" w:rsidRPr="00836EEC" w:rsidRDefault="00137719" w:rsidP="00137719">
      <w:pPr>
        <w:pStyle w:val="ListParagraph"/>
        <w:numPr>
          <w:ilvl w:val="0"/>
          <w:numId w:val="1"/>
        </w:numPr>
        <w:rPr>
          <w:b/>
          <w:u w:val="single"/>
        </w:rPr>
      </w:pPr>
      <w:r w:rsidRPr="00836EEC">
        <w:rPr>
          <w:b/>
          <w:u w:val="single"/>
        </w:rPr>
        <w:t>Update information about your organization</w:t>
      </w:r>
    </w:p>
    <w:p w14:paraId="519A94E2" w14:textId="0BA8439C" w:rsidR="00137719" w:rsidRDefault="0040092B" w:rsidP="00137719">
      <w:pPr>
        <w:pStyle w:val="ListParagraph"/>
        <w:numPr>
          <w:ilvl w:val="1"/>
          <w:numId w:val="1"/>
        </w:numPr>
      </w:pPr>
      <w:r>
        <w:t>In the black bar near the top of the screen, click Organization</w:t>
      </w:r>
      <w:r w:rsidR="00137719">
        <w:t>. That will bring up the Organization section. It’s open to the Organization Information tab.</w:t>
      </w:r>
    </w:p>
    <w:p w14:paraId="324E920C" w14:textId="77777777" w:rsidR="00533F0E" w:rsidRDefault="00137719" w:rsidP="00836EEC">
      <w:pPr>
        <w:ind w:left="1080"/>
      </w:pPr>
      <w:r>
        <w:rPr>
          <w:noProof/>
        </w:rPr>
        <w:drawing>
          <wp:inline distT="0" distB="0" distL="0" distR="0" wp14:anchorId="4DCF7971" wp14:editId="2B72B80C">
            <wp:extent cx="4924425" cy="589774"/>
            <wp:effectExtent l="19050" t="19050" r="9525" b="203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8977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B459813" w14:textId="77777777" w:rsidR="00092AC0" w:rsidRDefault="00092AC0" w:rsidP="00092AC0">
      <w:pPr>
        <w:pStyle w:val="ListParagraph"/>
        <w:numPr>
          <w:ilvl w:val="1"/>
          <w:numId w:val="1"/>
        </w:numPr>
      </w:pPr>
      <w:r>
        <w:t>Update this page and Save.</w:t>
      </w:r>
    </w:p>
    <w:p w14:paraId="07E7CFD9" w14:textId="77777777" w:rsidR="00092AC0" w:rsidRDefault="00092AC0" w:rsidP="00092AC0">
      <w:pPr>
        <w:pStyle w:val="ListParagraph"/>
        <w:numPr>
          <w:ilvl w:val="1"/>
          <w:numId w:val="1"/>
        </w:numPr>
      </w:pPr>
      <w:r>
        <w:t>Click on the Organization Members tab.</w:t>
      </w:r>
    </w:p>
    <w:p w14:paraId="631D5B1F" w14:textId="77777777" w:rsidR="00137719" w:rsidRDefault="00092AC0" w:rsidP="00836EEC">
      <w:pPr>
        <w:ind w:left="1080"/>
      </w:pPr>
      <w:r>
        <w:rPr>
          <w:noProof/>
        </w:rPr>
        <w:drawing>
          <wp:inline distT="0" distB="0" distL="0" distR="0" wp14:anchorId="6B0B6F96" wp14:editId="30C4B56B">
            <wp:extent cx="4924425" cy="589773"/>
            <wp:effectExtent l="19050" t="19050" r="9525" b="203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3924" cy="5945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3DA34D" w14:textId="77777777" w:rsidR="00092AC0" w:rsidRDefault="00092AC0" w:rsidP="00092AC0">
      <w:pPr>
        <w:pStyle w:val="ListParagraph"/>
        <w:numPr>
          <w:ilvl w:val="1"/>
          <w:numId w:val="1"/>
        </w:numPr>
      </w:pPr>
      <w:r>
        <w:t>Check the people assigned to your organization.</w:t>
      </w:r>
    </w:p>
    <w:p w14:paraId="6FAEC884" w14:textId="77777777" w:rsidR="00092AC0" w:rsidRDefault="00836EEC" w:rsidP="00092AC0">
      <w:pPr>
        <w:pStyle w:val="ListParagraph"/>
        <w:numPr>
          <w:ilvl w:val="2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0570A151" wp14:editId="4CE952ED">
                <wp:simplePos x="0" y="0"/>
                <wp:positionH relativeFrom="margin">
                  <wp:posOffset>4448175</wp:posOffset>
                </wp:positionH>
                <wp:positionV relativeFrom="line">
                  <wp:posOffset>1905</wp:posOffset>
                </wp:positionV>
                <wp:extent cx="1676400" cy="1457325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1F9402" w14:textId="77777777" w:rsidR="00480B5C" w:rsidRPr="00836EEC" w:rsidRDefault="00480B5C" w:rsidP="00836EEC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after="0"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 w:rsidRPr="00836EEC">
                              <w:rPr>
                                <w:u w:val="single"/>
                              </w:rPr>
                              <w:t>Pro Tip</w:t>
                            </w:r>
                            <w:r w:rsidRPr="00836EEC">
                              <w:t>: Both “AO” staff should be listed on the Standardized Board Resolution.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0A15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50.25pt;margin-top:.15pt;width:132pt;height:114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" filled="f" stroked="f" strokeweight=".5pt">
                <v:textbox inset="0,7.2pt,0,7.2pt">
                  <w:txbxContent>
                    <w:p w14:paraId="511F9402" w14:textId="77777777" w:rsidR="00480B5C" w:rsidRPr="00836EEC" w:rsidRDefault="00480B5C" w:rsidP="00836EEC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after="0"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 w:rsidRPr="00836EEC">
                        <w:rPr>
                          <w:u w:val="single"/>
                        </w:rPr>
                        <w:t>Pro Tip</w:t>
                      </w:r>
                      <w:r w:rsidRPr="00836EEC">
                        <w:t>: Both “AO” staff should be listed on the Standardized Board Resolution.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092AC0">
        <w:t>Does anyone no longer work for you? If so, is there an end date?</w:t>
      </w:r>
    </w:p>
    <w:p w14:paraId="1F4F606C" w14:textId="77777777" w:rsidR="00092AC0" w:rsidRDefault="00092AC0" w:rsidP="00092AC0">
      <w:pPr>
        <w:pStyle w:val="ListParagraph"/>
        <w:numPr>
          <w:ilvl w:val="2"/>
          <w:numId w:val="1"/>
        </w:numPr>
      </w:pPr>
      <w:r>
        <w:t xml:space="preserve">Are there at least 2 people with the role of “Authorized Official”? If not, your application will be denied until there are. </w:t>
      </w:r>
    </w:p>
    <w:p w14:paraId="4332DB70" w14:textId="77777777" w:rsidR="00092AC0" w:rsidRDefault="00092AC0" w:rsidP="00092AC0">
      <w:pPr>
        <w:pStyle w:val="ListParagraph"/>
        <w:numPr>
          <w:ilvl w:val="2"/>
          <w:numId w:val="1"/>
        </w:numPr>
      </w:pPr>
      <w:r>
        <w:t xml:space="preserve">Should anyone else have access, perhaps at the Agency Administrator or Agency Staff role? For example, is there a biller who can do the entry of the </w:t>
      </w:r>
      <w:r w:rsidR="00836EEC">
        <w:t>payment voucher</w:t>
      </w:r>
      <w:r>
        <w:t xml:space="preserve">? </w:t>
      </w:r>
    </w:p>
    <w:p w14:paraId="1119271D" w14:textId="77777777" w:rsidR="00137719" w:rsidRDefault="00836EEC">
      <w:r>
        <w:rPr>
          <w:noProof/>
        </w:rPr>
        <mc:AlternateContent>
          <mc:Choice Requires="wps">
            <w:drawing>
              <wp:anchor distT="0" distB="0" distL="91440" distR="91440" simplePos="0" relativeHeight="251661312" behindDoc="0" locked="0" layoutInCell="1" allowOverlap="1" wp14:anchorId="2E1F3846" wp14:editId="7EBE97AA">
                <wp:simplePos x="0" y="0"/>
                <wp:positionH relativeFrom="margin">
                  <wp:posOffset>323850</wp:posOffset>
                </wp:positionH>
                <wp:positionV relativeFrom="line">
                  <wp:posOffset>9525</wp:posOffset>
                </wp:positionV>
                <wp:extent cx="5619750" cy="183959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B8F609" w14:textId="2ABEA171" w:rsidR="00480B5C" w:rsidRPr="00836EEC" w:rsidRDefault="00480B5C" w:rsidP="00836EEC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after="0"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 w:rsidRPr="00836EEC">
                              <w:rPr>
                                <w:u w:val="single"/>
                              </w:rPr>
                              <w:t>Pro Tip</w:t>
                            </w:r>
                            <w:r w:rsidRPr="00836EEC">
                              <w:t xml:space="preserve">: Any staff who will be submitting items in SAGE, such as </w:t>
                            </w:r>
                            <w:r w:rsidR="00B21B44">
                              <w:t>expenditure reports</w:t>
                            </w:r>
                            <w:r w:rsidRPr="00836EEC">
                              <w:t>, must be listed on the Standardized Board Resolution. Names can be written in with specific roles, such as “billing only”.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F3846" id="Text Box 5" o:spid="_x0000_s1027" type="#_x0000_t202" style="position:absolute;margin-left:25.5pt;margin-top:.75pt;width:442.5pt;height:144.85pt;z-index:25166131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" filled="f" stroked="f" strokeweight=".5pt">
                <v:textbox style="mso-fit-shape-to-text:t" inset="0,7.2pt,0,7.2pt">
                  <w:txbxContent>
                    <w:p w14:paraId="52B8F609" w14:textId="2ABEA171" w:rsidR="00480B5C" w:rsidRPr="00836EEC" w:rsidRDefault="00480B5C" w:rsidP="00836EEC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after="0"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 w:rsidRPr="00836EEC">
                        <w:rPr>
                          <w:u w:val="single"/>
                        </w:rPr>
                        <w:t>Pro Tip</w:t>
                      </w:r>
                      <w:r w:rsidRPr="00836EEC">
                        <w:t xml:space="preserve">: Any staff who will be submitting items in SAGE, such as </w:t>
                      </w:r>
                      <w:r w:rsidR="00B21B44">
                        <w:t>expenditure reports</w:t>
                      </w:r>
                      <w:r w:rsidRPr="00836EEC">
                        <w:t>, must be listed on the Standardized Board Resolution. Names can be written in with specific roles, such as “billing only”.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0CFE4BB2" w14:textId="77777777" w:rsidR="00137719" w:rsidRDefault="00137719"/>
    <w:p w14:paraId="12AA9C12" w14:textId="77777777" w:rsidR="00836EEC" w:rsidRDefault="00836EEC"/>
    <w:p w14:paraId="36321F0E" w14:textId="77777777" w:rsidR="00836EEC" w:rsidRDefault="00836EEC"/>
    <w:p w14:paraId="3BDE1E9F" w14:textId="77777777" w:rsidR="0019029B" w:rsidRDefault="0019029B" w:rsidP="0019029B">
      <w:pPr>
        <w:pStyle w:val="ListParagraph"/>
        <w:numPr>
          <w:ilvl w:val="1"/>
          <w:numId w:val="1"/>
        </w:numPr>
      </w:pPr>
      <w:r>
        <w:t>Click on the Organizational Details tab.</w:t>
      </w:r>
    </w:p>
    <w:p w14:paraId="53499EFD" w14:textId="77777777" w:rsidR="00137719" w:rsidRDefault="00836EEC" w:rsidP="0019029B">
      <w:pPr>
        <w:ind w:left="1080"/>
      </w:pPr>
      <w:r>
        <w:rPr>
          <w:noProof/>
        </w:rPr>
        <w:drawing>
          <wp:inline distT="0" distB="0" distL="0" distR="0" wp14:anchorId="70CD4479" wp14:editId="0DC8CF92">
            <wp:extent cx="5000625" cy="598900"/>
            <wp:effectExtent l="19050" t="19050" r="9525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6832" cy="6020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6538F6" w14:textId="77777777" w:rsidR="00236B4B" w:rsidRDefault="00236B4B" w:rsidP="0019029B">
      <w:pPr>
        <w:ind w:left="1080"/>
      </w:pPr>
    </w:p>
    <w:p w14:paraId="2847022C" w14:textId="77777777" w:rsidR="00236B4B" w:rsidRDefault="00236B4B" w:rsidP="0019029B">
      <w:pPr>
        <w:ind w:left="1080"/>
      </w:pPr>
    </w:p>
    <w:p w14:paraId="472B0C6E" w14:textId="77777777" w:rsidR="0019029B" w:rsidRDefault="0019029B" w:rsidP="0019029B">
      <w:pPr>
        <w:pStyle w:val="ListParagraph"/>
        <w:numPr>
          <w:ilvl w:val="1"/>
          <w:numId w:val="1"/>
        </w:numPr>
      </w:pPr>
      <w:r>
        <w:t xml:space="preserve">Click on the </w:t>
      </w:r>
      <w:r w:rsidRPr="00B21B44">
        <w:rPr>
          <w:u w:val="single"/>
        </w:rPr>
        <w:t>Department of</w:t>
      </w:r>
      <w:r>
        <w:t xml:space="preserve"> </w:t>
      </w:r>
      <w:r w:rsidRPr="0019029B">
        <w:rPr>
          <w:u w:val="single"/>
        </w:rPr>
        <w:t>Human Services</w:t>
      </w:r>
      <w:r>
        <w:t xml:space="preserve"> option.</w:t>
      </w:r>
    </w:p>
    <w:p w14:paraId="5988A583" w14:textId="77777777" w:rsidR="0019029B" w:rsidRDefault="0019029B" w:rsidP="0019029B">
      <w:pPr>
        <w:ind w:left="1080"/>
      </w:pPr>
      <w:r>
        <w:rPr>
          <w:noProof/>
        </w:rPr>
        <w:drawing>
          <wp:inline distT="0" distB="0" distL="0" distR="0" wp14:anchorId="6BCFC005" wp14:editId="1C06718F">
            <wp:extent cx="3724275" cy="390525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90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426C5A" w14:textId="77777777" w:rsidR="0019029B" w:rsidRDefault="0019029B" w:rsidP="0019029B">
      <w:pPr>
        <w:pStyle w:val="ListParagraph"/>
        <w:numPr>
          <w:ilvl w:val="1"/>
          <w:numId w:val="1"/>
        </w:numPr>
      </w:pPr>
      <w:r>
        <w:t xml:space="preserve">Update this page. </w:t>
      </w:r>
    </w:p>
    <w:p w14:paraId="1143A9C4" w14:textId="77777777" w:rsidR="00480B5C" w:rsidRDefault="00480B5C" w:rsidP="0019029B">
      <w:pPr>
        <w:pStyle w:val="ListParagraph"/>
        <w:numPr>
          <w:ilvl w:val="2"/>
          <w:numId w:val="1"/>
        </w:numPr>
      </w:pPr>
      <w:r>
        <w:t>There is no certificate of need for this program.</w:t>
      </w:r>
    </w:p>
    <w:p w14:paraId="6BD47B59" w14:textId="77777777" w:rsidR="0019029B" w:rsidRDefault="00480B5C" w:rsidP="0019029B">
      <w:pPr>
        <w:pStyle w:val="ListParagraph"/>
        <w:numPr>
          <w:ilvl w:val="2"/>
          <w:numId w:val="1"/>
        </w:numPr>
      </w:pPr>
      <w:r>
        <w:t>There is no license for this program</w:t>
      </w:r>
      <w:r w:rsidR="0017724F">
        <w:t>.</w:t>
      </w:r>
      <w:r>
        <w:t xml:space="preserve"> If your agency is also a service provider (such as a home care agency), the home care license is NOT relevant to the coordination of this program, so there is no need to upload.</w:t>
      </w:r>
    </w:p>
    <w:p w14:paraId="518CF98C" w14:textId="77777777" w:rsidR="0017724F" w:rsidRDefault="0017724F" w:rsidP="0017724F">
      <w:pPr>
        <w:pStyle w:val="ListParagraph"/>
        <w:numPr>
          <w:ilvl w:val="1"/>
          <w:numId w:val="1"/>
        </w:numPr>
      </w:pPr>
      <w:r>
        <w:t>After saving, click on Home or Documents to exit.</w:t>
      </w:r>
    </w:p>
    <w:p w14:paraId="0BC0B02D" w14:textId="26579E06" w:rsidR="0040092B" w:rsidRPr="0040092B" w:rsidRDefault="0040092B" w:rsidP="0017724F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</w:rPr>
      </w:pPr>
      <w:r w:rsidRPr="0040092B">
        <w:rPr>
          <w:b/>
          <w:color w:val="000000" w:themeColor="text1"/>
          <w:u w:val="single"/>
        </w:rPr>
        <w:t>Choose the Opportunities tab</w:t>
      </w:r>
    </w:p>
    <w:p w14:paraId="2832F454" w14:textId="7C2803E5" w:rsidR="0040092B" w:rsidRDefault="0040092B" w:rsidP="0040092B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r w:rsidRPr="0040092B">
        <w:rPr>
          <w:bCs/>
          <w:color w:val="000000" w:themeColor="text1"/>
        </w:rPr>
        <w:t xml:space="preserve">Search for </w:t>
      </w:r>
      <w:r w:rsidRPr="00B21B44">
        <w:rPr>
          <w:b/>
          <w:i/>
          <w:iCs/>
          <w:color w:val="000000" w:themeColor="text1"/>
        </w:rPr>
        <w:t>A</w:t>
      </w:r>
      <w:r w:rsidR="00527708" w:rsidRPr="00B21B44">
        <w:rPr>
          <w:b/>
          <w:i/>
          <w:iCs/>
          <w:color w:val="000000" w:themeColor="text1"/>
        </w:rPr>
        <w:t>lzheimer Disease Program Initiative 2025</w:t>
      </w:r>
      <w:r w:rsidRPr="0040092B">
        <w:rPr>
          <w:bCs/>
          <w:color w:val="000000" w:themeColor="text1"/>
        </w:rPr>
        <w:t>.</w:t>
      </w:r>
    </w:p>
    <w:p w14:paraId="5D85A1B1" w14:textId="4F3FD703" w:rsidR="0040092B" w:rsidRDefault="0040092B" w:rsidP="0040092B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Choose, and begin application.</w:t>
      </w:r>
    </w:p>
    <w:p w14:paraId="5F286BAC" w14:textId="0A561E01" w:rsidR="0040092B" w:rsidRPr="0040092B" w:rsidRDefault="0040092B" w:rsidP="0040092B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</w:rPr>
      </w:pPr>
      <w:r w:rsidRPr="0040092B">
        <w:rPr>
          <w:b/>
          <w:color w:val="000000" w:themeColor="text1"/>
          <w:u w:val="single"/>
        </w:rPr>
        <w:t>Navigation</w:t>
      </w:r>
    </w:p>
    <w:p w14:paraId="707336C2" w14:textId="1C232A45" w:rsidR="0040092B" w:rsidRDefault="0040092B" w:rsidP="0040092B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Once the application has been initiated, it can be found under Documents.</w:t>
      </w:r>
    </w:p>
    <w:p w14:paraId="24C9CD54" w14:textId="7BA5F608" w:rsidR="0040092B" w:rsidRDefault="0040092B" w:rsidP="0040092B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Within the contract application, all pages for completion are found under Forms.</w:t>
      </w:r>
    </w:p>
    <w:p w14:paraId="28DC7D8E" w14:textId="793B6AEB" w:rsidR="0040092B" w:rsidRDefault="0040092B" w:rsidP="0040092B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To submit the application when completed, go to Status Changes. Click Submit, then click Yes. The status will change to Submitted.</w:t>
      </w:r>
    </w:p>
    <w:p w14:paraId="7B5DEBE9" w14:textId="117877BA" w:rsidR="0040092B" w:rsidRDefault="0040092B" w:rsidP="0040092B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All pages MUST be completed</w:t>
      </w:r>
      <w:r w:rsidR="00B21B44">
        <w:rPr>
          <w:bCs/>
          <w:color w:val="000000" w:themeColor="text1"/>
        </w:rPr>
        <w:t>, using the specifications located in the RFP</w:t>
      </w:r>
      <w:r>
        <w:rPr>
          <w:bCs/>
          <w:color w:val="000000" w:themeColor="text1"/>
        </w:rPr>
        <w:t xml:space="preserve">. </w:t>
      </w:r>
    </w:p>
    <w:p w14:paraId="7781A544" w14:textId="6414F39A" w:rsidR="0040092B" w:rsidRDefault="0040092B" w:rsidP="0040092B">
      <w:pPr>
        <w:pStyle w:val="ListParagraph"/>
        <w:numPr>
          <w:ilvl w:val="2"/>
          <w:numId w:val="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Additional Grantee Requirements page and Lo</w:t>
      </w:r>
      <w:r w:rsidR="00953A1D">
        <w:rPr>
          <w:bCs/>
          <w:color w:val="000000" w:themeColor="text1"/>
        </w:rPr>
        <w:t>c</w:t>
      </w:r>
      <w:r>
        <w:rPr>
          <w:bCs/>
          <w:color w:val="000000" w:themeColor="text1"/>
        </w:rPr>
        <w:t>al Aid &amp; Legislative Districts</w:t>
      </w:r>
      <w:r w:rsidR="00953A1D">
        <w:rPr>
          <w:bCs/>
          <w:color w:val="000000" w:themeColor="text1"/>
        </w:rPr>
        <w:t xml:space="preserve"> are the exceptions. You will not have a Save button on those pages.</w:t>
      </w:r>
    </w:p>
    <w:sectPr w:rsidR="0040092B" w:rsidSect="00836EEC">
      <w:headerReference w:type="default" r:id="rId11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0523" w14:textId="77777777" w:rsidR="003418BA" w:rsidRDefault="003418BA" w:rsidP="00137719">
      <w:pPr>
        <w:spacing w:after="0" w:line="240" w:lineRule="auto"/>
      </w:pPr>
      <w:r>
        <w:separator/>
      </w:r>
    </w:p>
  </w:endnote>
  <w:endnote w:type="continuationSeparator" w:id="0">
    <w:p w14:paraId="1BD4C140" w14:textId="77777777" w:rsidR="003418BA" w:rsidRDefault="003418BA" w:rsidP="0013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B321" w14:textId="77777777" w:rsidR="003418BA" w:rsidRDefault="003418BA" w:rsidP="00137719">
      <w:pPr>
        <w:spacing w:after="0" w:line="240" w:lineRule="auto"/>
      </w:pPr>
      <w:r>
        <w:separator/>
      </w:r>
    </w:p>
  </w:footnote>
  <w:footnote w:type="continuationSeparator" w:id="0">
    <w:p w14:paraId="66FA0502" w14:textId="77777777" w:rsidR="003418BA" w:rsidRDefault="003418BA" w:rsidP="0013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B7CE" w14:textId="2208A7B3" w:rsidR="00480B5C" w:rsidRPr="00137719" w:rsidRDefault="0040092B">
    <w:pPr>
      <w:pStyle w:val="Header"/>
      <w:rPr>
        <w:b/>
        <w:sz w:val="36"/>
      </w:rPr>
    </w:pPr>
    <w:r>
      <w:rPr>
        <w:b/>
        <w:sz w:val="36"/>
      </w:rPr>
      <w:t>Alzheimer’s Disease Program Initiatives (ADPI)</w:t>
    </w:r>
    <w:r w:rsidR="00480B5C" w:rsidRPr="00137719">
      <w:rPr>
        <w:b/>
        <w:sz w:val="36"/>
      </w:rPr>
      <w:t xml:space="preserve"> </w:t>
    </w:r>
    <w:r w:rsidR="00480B5C">
      <w:rPr>
        <w:b/>
        <w:sz w:val="36"/>
      </w:rPr>
      <w:t xml:space="preserve">Contract </w:t>
    </w:r>
    <w:r w:rsidR="00480B5C" w:rsidRPr="00137719">
      <w:rPr>
        <w:b/>
        <w:sz w:val="36"/>
      </w:rPr>
      <w:t>Application: Helpful Tips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0813"/>
    <w:multiLevelType w:val="hybridMultilevel"/>
    <w:tmpl w:val="D62A8F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C0A46"/>
    <w:multiLevelType w:val="hybridMultilevel"/>
    <w:tmpl w:val="8C925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19"/>
    <w:rsid w:val="000673E2"/>
    <w:rsid w:val="00092AC0"/>
    <w:rsid w:val="000B4981"/>
    <w:rsid w:val="00137719"/>
    <w:rsid w:val="0017724F"/>
    <w:rsid w:val="0019029B"/>
    <w:rsid w:val="001931D6"/>
    <w:rsid w:val="00236B4B"/>
    <w:rsid w:val="003418BA"/>
    <w:rsid w:val="003D510C"/>
    <w:rsid w:val="0040092B"/>
    <w:rsid w:val="004143B2"/>
    <w:rsid w:val="00480B5C"/>
    <w:rsid w:val="004C51A2"/>
    <w:rsid w:val="00516F0C"/>
    <w:rsid w:val="00527708"/>
    <w:rsid w:val="00533F0E"/>
    <w:rsid w:val="00836EEC"/>
    <w:rsid w:val="00953A1D"/>
    <w:rsid w:val="00A302AE"/>
    <w:rsid w:val="00B21B44"/>
    <w:rsid w:val="00FD327B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BBA8"/>
  <w15:docId w15:val="{F09E5C18-81EC-4E5F-A321-E99ED932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19"/>
  </w:style>
  <w:style w:type="paragraph" w:styleId="Footer">
    <w:name w:val="footer"/>
    <w:basedOn w:val="Normal"/>
    <w:link w:val="FooterChar"/>
    <w:uiPriority w:val="99"/>
    <w:unhideWhenUsed/>
    <w:rsid w:val="0013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19"/>
  </w:style>
  <w:style w:type="paragraph" w:styleId="ListParagraph">
    <w:name w:val="List Paragraph"/>
    <w:basedOn w:val="Normal"/>
    <w:uiPriority w:val="34"/>
    <w:qFormat/>
    <w:rsid w:val="001377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6EEC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36EEC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Rutberg, Jennifer</cp:lastModifiedBy>
  <cp:revision>4</cp:revision>
  <dcterms:created xsi:type="dcterms:W3CDTF">2025-07-15T16:04:00Z</dcterms:created>
  <dcterms:modified xsi:type="dcterms:W3CDTF">2025-07-15T16:27:00Z</dcterms:modified>
</cp:coreProperties>
</file>